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SMLOUVA O DÍLO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uzavřená dle Občanského zákoníku, § 2586 zákon č.89/2012 Sb.</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Milan Kubíček</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Topenářství – Zámečnictví</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Ladova 413/5, 412 01 Litoměřice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IČ: 72702982   DIČ: CZ8008102674</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Zastoupená Milanem Kubíčkem, telefon 603514299</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(dále jen ,,dodavatel")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Mateřská škola Litoměřice, příspěvková organizace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Masarykova 590/30, 412 01 Litoměřice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IČ: 72744081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Zastoupená Mgr. Bc. Monikou Mejtovou, ředitelkou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(dále jen ,,odběratel")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uzavírají níže uvedeného dne, měsíce a roku tuto smlouvu o dílo: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Předmět smlouvy.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Předmětem této smlouvy je </w:t>
      </w:r>
      <w:r w:rsidDel="00000000" w:rsidR="00000000" w:rsidRPr="00000000">
        <w:rPr>
          <w:sz w:val="24"/>
          <w:szCs w:val="24"/>
          <w:rtl w:val="0"/>
        </w:rPr>
        <w:t xml:space="preserve">výměna topení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dle cenové nabídky ze dne 26.05.2025 která je nedílnou součástí této smlouvy. Kromě vlastního provedení je předmětem díla i veškerý materiál, z něhož se dílo skládá.</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Místo díla: MŠ Baarova, kontaktní osoba Romana Najmanová, zástupce ředitelky pro MŠ Baarova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II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Doba plnění.</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Dodavatel se zavazuje provést dílo na základě dohody v termínu od 01.10.2025 do 31.12.2025. V tomto období se odběratel zavazuje k zajištění vhodných podmínek pro montáž plnění smlouvy zpřístupnění budovy a elektrického proudu.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Dodavatel neodpovídá za nedodržení termínů v případě:</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překážek na straně odběratele, které odběratel neodstraní na žádost dodavatele v požadovaném termínu.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nepříznivých povětrnostních vlivů nebo zásahu vyšší moci,</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že odběratel nebo jiná jím oprávněná osoba nepřevezme dílo v dohodnutém termínu nebo nebude možné s ním tento termín dohodnout.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III.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Platnost cen.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Smluvní strany se dohodly na ceně ve výši, bez DPH 21 %, 66 739,40 Kč, s DPH 21 %, 80 754,67 Kč jako pevné a neměnné.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Částka se určuje jako nejvýše možná, nepřekročitelná.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IV.</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Platební podmínky.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dílo nebude poskytnuta záloha. Po převzetí díla bez vad odběratelem provede dodavatel závěrečné vyúčtování formou konečné faktury. Splatnost faktury se stanovuje nejpozději do 14 dnů od vystavení faktury po písemném převzetí díla bez vad a nedodělků.</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V.</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Úrok z prodlení a smluvní pokuty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případě prodlení dodavatele s provedením Díla podle této smlouvy má odběratel právo na smluvní pokutu ve výši 0, 1 % z celkové ceny plnění za každý den prodlení. V případě prodlení odběratele s placením ceny za provedení Díla má dodavatel právo požadovat úroky z prodlení ve výši 0,1% z dlužné částky za každý započatý den plnění. Ujednáním o smluvních pokutách není dotčeno právo smluvních stran na náhradu vzniklé škody.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VI.</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Odstoupení od smlouvy.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Při nedodržení některého z bodů této smlouvy má odběratel i dodavatel možnost odstoupit od smlouvy, pokud bude mít písemnou formu a bude druhé straně doručena emailem, nebo dopisem. Smlouvu lze zrušit, měnit či doplňovat pouze písemnými dodatky, za odsouhlasení obou smluvních stran. Tato smlouva nabývá účinnosti podpisem obou smluvních stran.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článek VII.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Záruční podmínky.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práci se vztahuje záruka v délce 24 měsíců od předání odběrateli.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 Litoměřicích dne: 26.06.2025</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left" w:leader="none" w:pos="62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Dodavatel, Milan Kubíček                                            Odběratel, Mgr. Bc. Monika Mejtová, ředitelka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ální">
    <w:name w:val="Normální"/>
    <w:next w:val="Normální"/>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table" w:styleId="Normálnítabulka">
    <w:name w:val="Normální tabulka"/>
    <w:next w:val="Normálnítabulk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0"/>
    <w:pPr>
      <w:suppressAutoHyphens w:val="1"/>
      <w:spacing w:line="1" w:lineRule="atLeast"/>
      <w:ind w:leftChars="-1" w:rightChars="0" w:firstLineChars="-1"/>
      <w:textDirection w:val="btLr"/>
      <w:textAlignment w:val="top"/>
      <w:outlineLvl w:val="0"/>
    </w:pPr>
  </w:style>
  <w:style w:type="paragraph" w:styleId="Rozloženídokumentu,Rozvrženídokumentu">
    <w:name w:val="Rozložení dokumentu,Rozvržení dokumentu"/>
    <w:basedOn w:val="Normální"/>
    <w:next w:val="Rozloženídokumentu,Rozvrženídokumentu"/>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4"/>
      <w:szCs w:val="24"/>
      <w:effect w:val="none"/>
      <w:vertAlign w:val="baseline"/>
      <w:cs w:val="0"/>
      <w:em w:val="none"/>
      <w:lang w:bidi="ar-SA" w:eastAsia="cs-CZ" w:val="cs-CZ"/>
    </w:rPr>
  </w:style>
  <w:style w:type="paragraph" w:styleId="Základnítext">
    <w:name w:val="Základní text"/>
    <w:basedOn w:val="Normální"/>
    <w:next w:val="Základnítext"/>
    <w:autoRedefine w:val="0"/>
    <w:hidden w:val="0"/>
    <w:qFormat w:val="0"/>
    <w:pPr>
      <w:tabs>
        <w:tab w:val="center" w:leader="none" w:pos="4536"/>
        <w:tab w:val="left" w:leader="none" w:pos="6255"/>
      </w:tabs>
      <w:suppressAutoHyphens w:val="1"/>
      <w:spacing w:line="1" w:lineRule="atLeast"/>
      <w:ind w:leftChars="-1" w:rightChars="0" w:firstLineChars="-1"/>
      <w:textDirection w:val="btLr"/>
      <w:textAlignment w:val="top"/>
      <w:outlineLvl w:val="0"/>
    </w:pPr>
    <w:rPr>
      <w:w w:val="100"/>
      <w:position w:val="-1"/>
      <w:sz w:val="28"/>
      <w:szCs w:val="24"/>
      <w:effect w:val="none"/>
      <w:vertAlign w:val="baseline"/>
      <w:cs w:val="0"/>
      <w:em w:val="none"/>
      <w:lang w:bidi="ar-SA" w:eastAsia="cs-CZ" w:val="cs-CZ"/>
    </w:rPr>
  </w:style>
  <w:style w:type="paragraph" w:styleId="Základnítext2">
    <w:name w:val="Základní text 2"/>
    <w:basedOn w:val="Normální"/>
    <w:next w:val="Základnítext2"/>
    <w:autoRedefine w:val="0"/>
    <w:hidden w:val="0"/>
    <w:qFormat w:val="0"/>
    <w:pPr>
      <w:tabs>
        <w:tab w:val="center" w:leader="none" w:pos="4536"/>
        <w:tab w:val="left" w:leader="none" w:pos="6255"/>
      </w:tabs>
      <w:suppressAutoHyphens w:val="1"/>
      <w:spacing w:line="1" w:lineRule="atLeast"/>
      <w:ind w:leftChars="-1" w:rightChars="0" w:firstLineChars="-1"/>
      <w:jc w:val="both"/>
      <w:textDirection w:val="btLr"/>
      <w:textAlignment w:val="top"/>
      <w:outlineLvl w:val="0"/>
    </w:pPr>
    <w:rPr>
      <w:w w:val="100"/>
      <w:position w:val="-1"/>
      <w:sz w:val="28"/>
      <w:szCs w:val="24"/>
      <w:effect w:val="none"/>
      <w:vertAlign w:val="baseline"/>
      <w:cs w:val="0"/>
      <w:em w:val="none"/>
      <w:lang w:bidi="ar-SA" w:eastAsia="cs-CZ" w:val="cs-CZ"/>
    </w:rPr>
  </w:style>
  <w:style w:type="paragraph" w:styleId="Název">
    <w:name w:val="Název"/>
    <w:basedOn w:val="Normální"/>
    <w:next w:val="Název"/>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w w:val="100"/>
      <w:position w:val="-1"/>
      <w:sz w:val="48"/>
      <w:szCs w:val="24"/>
      <w:effect w:val="none"/>
      <w:vertAlign w:val="baseline"/>
      <w:cs w:val="0"/>
      <w:em w:val="none"/>
      <w:lang w:bidi="ar-SA" w:eastAsia="cs-CZ" w:val="cs-CZ"/>
    </w:rPr>
  </w:style>
  <w:style w:type="paragraph" w:styleId="Základnítext3">
    <w:name w:val="Základní text 3"/>
    <w:basedOn w:val="Normální"/>
    <w:next w:val="Základnítext3"/>
    <w:autoRedefine w:val="0"/>
    <w:hidden w:val="0"/>
    <w:qFormat w:val="0"/>
    <w:pPr>
      <w:tabs>
        <w:tab w:val="center" w:leader="none" w:pos="4536"/>
        <w:tab w:val="left" w:leader="none" w:pos="6255"/>
      </w:tabs>
      <w:suppressAutoHyphens w:val="1"/>
      <w:spacing w:line="1" w:lineRule="atLeast"/>
      <w:ind w:leftChars="-1" w:rightChars="0" w:firstLineChars="-1"/>
      <w:jc w:val="center"/>
      <w:textDirection w:val="btLr"/>
      <w:textAlignment w:val="top"/>
      <w:outlineLvl w:val="0"/>
    </w:pPr>
    <w:rPr>
      <w:rFonts w:ascii="Tahoma" w:cs="Tahoma" w:hAnsi="Tahoma"/>
      <w:w w:val="100"/>
      <w:position w:val="-1"/>
      <w:sz w:val="22"/>
      <w:szCs w:val="24"/>
      <w:effect w:val="none"/>
      <w:vertAlign w:val="baseline"/>
      <w:cs w:val="0"/>
      <w:em w:val="none"/>
      <w:lang w:bidi="ar-SA" w:eastAsia="cs-CZ" w:val="cs-CZ"/>
    </w:rPr>
  </w:style>
  <w:style w:type="paragraph" w:styleId="Textbubliny">
    <w:name w:val="Text bubliny"/>
    <w:basedOn w:val="Normální"/>
    <w:next w:val="Textbubliny"/>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cs-CZ" w:val="cs-C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NYvZFxfIGu2dPx+uqd+eTRrHg==">CgMxLjA4AHIhMVF1RjVSVDA0MXV0eERjaFZrRDBzc1hEdW8xUG04RlZT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2025-06-27T10:14:00Z</dcterms:created>
  <dc:creator>ing.Kubíček</dc:creator>
</cp:coreProperties>
</file>