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4D945" w14:textId="77777777" w:rsidR="0071018E" w:rsidRDefault="0071018E" w:rsidP="00E82920">
      <w:pPr>
        <w:pStyle w:val="Zkladntext"/>
        <w:spacing w:line="276" w:lineRule="auto"/>
        <w:ind w:right="0"/>
        <w:jc w:val="center"/>
        <w:rPr>
          <w:rFonts w:ascii="Arial" w:hAnsi="Arial" w:cs="Arial"/>
          <w:b/>
          <w:sz w:val="28"/>
          <w:szCs w:val="28"/>
        </w:rPr>
      </w:pPr>
    </w:p>
    <w:p w14:paraId="3F2FF63F" w14:textId="77777777"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 dotace</w:t>
      </w:r>
    </w:p>
    <w:p w14:paraId="2E06A1FC" w14:textId="144ADFBF"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č. D/</w:t>
      </w:r>
      <w:r w:rsidR="009D5C88">
        <w:rPr>
          <w:rFonts w:cs="Arial"/>
          <w:b/>
        </w:rPr>
        <w:t>2535</w:t>
      </w:r>
      <w:r w:rsidRPr="001426D2">
        <w:rPr>
          <w:rFonts w:cs="Arial"/>
          <w:b/>
        </w:rPr>
        <w:t>/</w:t>
      </w:r>
      <w:r w:rsidR="00B0565F">
        <w:rPr>
          <w:rFonts w:cs="Arial"/>
          <w:b/>
        </w:rPr>
        <w:t>202</w:t>
      </w:r>
      <w:r w:rsidR="00973A13">
        <w:rPr>
          <w:rFonts w:cs="Arial"/>
          <w:b/>
        </w:rPr>
        <w:t>5</w:t>
      </w:r>
      <w:r w:rsidR="00C025BD">
        <w:rPr>
          <w:rFonts w:cs="Arial"/>
          <w:b/>
        </w:rPr>
        <w:t>/STR</w:t>
      </w:r>
    </w:p>
    <w:p w14:paraId="4F8104E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23A51EC1" w14:textId="77777777" w:rsidR="00CB1B5B" w:rsidRDefault="00CB1B5B" w:rsidP="00E82920">
      <w:pPr>
        <w:pStyle w:val="Bezmezer"/>
        <w:spacing w:line="276" w:lineRule="auto"/>
        <w:jc w:val="center"/>
      </w:pPr>
      <w:r>
        <w:t>mezi:</w:t>
      </w:r>
    </w:p>
    <w:p w14:paraId="1099A4FD"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827BA" w14:paraId="7020B791" w14:textId="77777777" w:rsidTr="002827BA">
        <w:tc>
          <w:tcPr>
            <w:tcW w:w="2122" w:type="dxa"/>
          </w:tcPr>
          <w:p w14:paraId="715B2D56" w14:textId="77777777" w:rsidR="002827BA" w:rsidRDefault="002827BA" w:rsidP="00E82920">
            <w:pPr>
              <w:pStyle w:val="Bezmezer"/>
              <w:spacing w:line="276" w:lineRule="auto"/>
            </w:pPr>
            <w:r w:rsidRPr="00BC0BE0">
              <w:t>Poskytovatel dotace</w:t>
            </w:r>
            <w:r>
              <w:t>:</w:t>
            </w:r>
          </w:p>
        </w:tc>
        <w:tc>
          <w:tcPr>
            <w:tcW w:w="6940" w:type="dxa"/>
          </w:tcPr>
          <w:p w14:paraId="51E73B9F" w14:textId="77777777" w:rsidR="002827BA" w:rsidRDefault="002827BA" w:rsidP="002827BA">
            <w:pPr>
              <w:pStyle w:val="Bezmezer"/>
              <w:spacing w:line="276" w:lineRule="auto"/>
            </w:pPr>
            <w:r>
              <w:t>Zlínský kraj</w:t>
            </w:r>
          </w:p>
          <w:p w14:paraId="2EE71483" w14:textId="77777777" w:rsidR="002827BA" w:rsidRDefault="002827BA" w:rsidP="002827BA">
            <w:pPr>
              <w:pStyle w:val="Bezmezer"/>
              <w:spacing w:line="276" w:lineRule="auto"/>
            </w:pPr>
            <w:r w:rsidRPr="00BC0BE0">
              <w:t>se sídlem ve Zlíně, tř. T. Bati 21, PSČ 761 90</w:t>
            </w:r>
          </w:p>
          <w:p w14:paraId="720A9F95" w14:textId="77777777" w:rsidR="002827BA" w:rsidRDefault="002827BA" w:rsidP="002827BA">
            <w:pPr>
              <w:pStyle w:val="Bezmezer"/>
              <w:spacing w:line="276" w:lineRule="auto"/>
            </w:pPr>
            <w:r w:rsidRPr="00BC0BE0">
              <w:t>zastupuje:</w:t>
            </w:r>
            <w:r w:rsidR="006E3B58">
              <w:t> </w:t>
            </w:r>
            <w:r w:rsidR="00B0565F">
              <w:t>Ing. Radim Holiš</w:t>
            </w:r>
            <w:r w:rsidRPr="00BC0BE0">
              <w:t>, hejtman</w:t>
            </w:r>
            <w:r>
              <w:t xml:space="preserve"> </w:t>
            </w:r>
          </w:p>
          <w:p w14:paraId="1C990799" w14:textId="77777777" w:rsidR="002827BA" w:rsidRDefault="002827BA" w:rsidP="002827BA">
            <w:pPr>
              <w:pStyle w:val="Bezmezer"/>
              <w:spacing w:line="276" w:lineRule="auto"/>
            </w:pPr>
            <w:r>
              <w:t>IČO: 70891320</w:t>
            </w:r>
          </w:p>
          <w:p w14:paraId="35C544C9" w14:textId="77777777" w:rsidR="002827BA" w:rsidRDefault="002827BA" w:rsidP="002827BA">
            <w:pPr>
              <w:pStyle w:val="Bezmezer"/>
              <w:spacing w:line="276" w:lineRule="auto"/>
            </w:pPr>
            <w:r w:rsidRPr="00BC0BE0">
              <w:t>bankovní spojení:</w:t>
            </w:r>
            <w:r w:rsidR="006E3B58">
              <w:t> </w:t>
            </w:r>
            <w:r w:rsidR="00B0565F">
              <w:t xml:space="preserve">1827552/0800, Česká spořitelna, a. s. </w:t>
            </w:r>
          </w:p>
          <w:p w14:paraId="6BECA271" w14:textId="77777777" w:rsidR="002827BA" w:rsidRDefault="002827BA" w:rsidP="002827BA">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322F32E2"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827BA" w14:paraId="6B900509" w14:textId="77777777" w:rsidTr="002827BA">
        <w:tc>
          <w:tcPr>
            <w:tcW w:w="2122" w:type="dxa"/>
          </w:tcPr>
          <w:p w14:paraId="57BFCFA8" w14:textId="77777777" w:rsidR="002827BA" w:rsidRDefault="002827BA" w:rsidP="002D55D8">
            <w:pPr>
              <w:pStyle w:val="Bezmezer"/>
              <w:spacing w:line="276" w:lineRule="auto"/>
            </w:pPr>
            <w:r w:rsidRPr="00BC0BE0">
              <w:t>Příjemce dotace</w:t>
            </w:r>
            <w:r>
              <w:t>:</w:t>
            </w:r>
          </w:p>
        </w:tc>
        <w:tc>
          <w:tcPr>
            <w:tcW w:w="6940" w:type="dxa"/>
          </w:tcPr>
          <w:p w14:paraId="748E4BC6" w14:textId="13B569CE" w:rsidR="002827BA" w:rsidRPr="0077026D" w:rsidRDefault="002B4728" w:rsidP="002827BA">
            <w:pPr>
              <w:pStyle w:val="Bezmezer"/>
              <w:spacing w:line="276" w:lineRule="auto"/>
              <w:rPr>
                <w:i/>
                <w:color w:val="5B9BD5" w:themeColor="accent1"/>
                <w:sz w:val="16"/>
                <w:szCs w:val="16"/>
              </w:rPr>
            </w:pPr>
            <w:r>
              <w:t>MUDr. Simona Hradilová</w:t>
            </w:r>
          </w:p>
          <w:p w14:paraId="11FDF2C7" w14:textId="486D6F19" w:rsidR="002827BA" w:rsidRDefault="002827BA" w:rsidP="002827BA">
            <w:pPr>
              <w:pStyle w:val="Bezmezer"/>
              <w:spacing w:line="276" w:lineRule="auto"/>
            </w:pPr>
            <w:r>
              <w:t>datum narození:</w:t>
            </w:r>
            <w:r w:rsidR="006E3B58">
              <w:t> </w:t>
            </w:r>
            <w:r w:rsidR="002B4728">
              <w:t>27. 6. 1990</w:t>
            </w:r>
          </w:p>
          <w:p w14:paraId="56577BE8" w14:textId="7087F909" w:rsidR="002827BA" w:rsidRPr="00BC0BE0" w:rsidRDefault="002827BA" w:rsidP="002827BA">
            <w:pPr>
              <w:pStyle w:val="Bezmezer"/>
              <w:spacing w:line="276" w:lineRule="auto"/>
            </w:pPr>
            <w:r w:rsidRPr="00BC0BE0">
              <w:t>sídlo/ adresa bydliště:</w:t>
            </w:r>
            <w:r w:rsidR="006E3B58">
              <w:t> </w:t>
            </w:r>
            <w:r w:rsidR="002B4728">
              <w:t>Loučka 256, 756 4</w:t>
            </w:r>
            <w:r w:rsidR="00F818CC">
              <w:t>4</w:t>
            </w:r>
            <w:r w:rsidR="002B4728">
              <w:t xml:space="preserve"> Loučka</w:t>
            </w:r>
            <w:r w:rsidRPr="00BC0BE0">
              <w:t xml:space="preserve"> </w:t>
            </w:r>
          </w:p>
          <w:p w14:paraId="75395549" w14:textId="2956C046" w:rsidR="002827BA" w:rsidRPr="0077026D" w:rsidRDefault="002827BA" w:rsidP="002827BA">
            <w:pPr>
              <w:pStyle w:val="Bezmezer"/>
              <w:spacing w:line="276" w:lineRule="auto"/>
              <w:rPr>
                <w:i/>
                <w:color w:val="5B9BD5" w:themeColor="accent1"/>
                <w:sz w:val="16"/>
                <w:szCs w:val="16"/>
              </w:rPr>
            </w:pPr>
            <w:r w:rsidRPr="00BC0BE0">
              <w:t>typ příjemce:</w:t>
            </w:r>
            <w:r w:rsidR="006E3B58">
              <w:t> </w:t>
            </w:r>
            <w:r w:rsidR="002B4728">
              <w:t>podnikající fyzická osoba</w:t>
            </w:r>
          </w:p>
          <w:p w14:paraId="3389C1D7" w14:textId="66F54A33" w:rsidR="002827BA" w:rsidRPr="0077026D" w:rsidRDefault="002827BA" w:rsidP="002827BA">
            <w:pPr>
              <w:pStyle w:val="Bezmezer"/>
              <w:spacing w:line="276" w:lineRule="auto"/>
              <w:rPr>
                <w:i/>
                <w:color w:val="5B9BD5" w:themeColor="accent1"/>
                <w:sz w:val="16"/>
                <w:szCs w:val="16"/>
              </w:rPr>
            </w:pPr>
            <w:r w:rsidRPr="00BC0BE0">
              <w:t>IČO:</w:t>
            </w:r>
            <w:r w:rsidR="006E3B58">
              <w:t> </w:t>
            </w:r>
            <w:r w:rsidR="002B4728">
              <w:t>23102926</w:t>
            </w:r>
          </w:p>
          <w:p w14:paraId="46DE135F" w14:textId="31B74E32" w:rsidR="002827BA" w:rsidRPr="00BC0BE0" w:rsidRDefault="002827BA" w:rsidP="002827BA">
            <w:pPr>
              <w:pStyle w:val="Bezmezer"/>
              <w:spacing w:line="276" w:lineRule="auto"/>
            </w:pPr>
            <w:r>
              <w:t>bankovní spojení:</w:t>
            </w:r>
            <w:r w:rsidR="006E3B58">
              <w:t> </w:t>
            </w:r>
            <w:r w:rsidR="00786279">
              <w:t>xxxxxx</w:t>
            </w:r>
          </w:p>
          <w:p w14:paraId="6B02F579" w14:textId="77777777" w:rsidR="002827BA" w:rsidRDefault="002827BA" w:rsidP="002827BA">
            <w:pPr>
              <w:pStyle w:val="Bezmezer"/>
              <w:spacing w:line="276" w:lineRule="auto"/>
            </w:pPr>
            <w:r w:rsidRPr="00BC0BE0">
              <w:t xml:space="preserve">(dále </w:t>
            </w:r>
            <w:r w:rsidR="008A5D70">
              <w:t xml:space="preserve">i </w:t>
            </w:r>
            <w:r w:rsidRPr="00BC0BE0">
              <w:t>jen „</w:t>
            </w:r>
            <w:r w:rsidRPr="002563AC">
              <w:rPr>
                <w:b/>
              </w:rPr>
              <w:t>příjemce</w:t>
            </w:r>
            <w:r w:rsidRPr="00BC0BE0">
              <w:t>“)</w:t>
            </w:r>
          </w:p>
        </w:tc>
      </w:tr>
    </w:tbl>
    <w:p w14:paraId="0F1E21A2" w14:textId="77777777" w:rsidR="0077026D" w:rsidRPr="0013520D" w:rsidRDefault="0077026D" w:rsidP="00B4088C">
      <w:pPr>
        <w:pStyle w:val="Nadpis1"/>
      </w:pPr>
      <w:r w:rsidRPr="0013520D">
        <w:t>Předmět smlouvy</w:t>
      </w:r>
    </w:p>
    <w:p w14:paraId="11FD04F8" w14:textId="6E4DD88F" w:rsidR="0077026D" w:rsidRDefault="0077026D" w:rsidP="00B4088C">
      <w:pPr>
        <w:pStyle w:val="2rove"/>
      </w:pPr>
      <w:r w:rsidRPr="0013520D">
        <w:t xml:space="preserve">Poskytovatel se zavazuje poskytnout příjemci </w:t>
      </w:r>
      <w:r w:rsidRPr="003D6A1A">
        <w:rPr>
          <w:b/>
        </w:rPr>
        <w:t>dotaci</w:t>
      </w:r>
      <w:r w:rsidR="00C025BD">
        <w:t xml:space="preserve"> </w:t>
      </w:r>
      <w:r w:rsidRPr="0013520D">
        <w:t>z Fondu Zlínského kraje (dále jen „</w:t>
      </w:r>
      <w:r w:rsidRPr="002563AC">
        <w:rPr>
          <w:b/>
        </w:rPr>
        <w:t>dotace</w:t>
      </w:r>
      <w:r w:rsidRPr="0013520D">
        <w:t>“) do výše</w:t>
      </w:r>
      <w:r w:rsidR="006E3B58">
        <w:t> </w:t>
      </w:r>
      <w:r w:rsidR="00A639C5">
        <w:t>250 000</w:t>
      </w:r>
      <w:r w:rsidRPr="0013520D">
        <w:t xml:space="preserve"> Kč, (slovy:</w:t>
      </w:r>
      <w:r w:rsidR="006E3B58">
        <w:t> </w:t>
      </w:r>
      <w:r w:rsidR="00A639C5" w:rsidRPr="00A639C5">
        <w:rPr>
          <w:i/>
          <w:iCs/>
        </w:rPr>
        <w:t>dvě stě padesát tisíc</w:t>
      </w:r>
      <w:r w:rsidR="00A639C5">
        <w:t xml:space="preserve"> </w:t>
      </w:r>
      <w:r w:rsidR="00C025BD" w:rsidRPr="00C025BD">
        <w:rPr>
          <w:i/>
        </w:rPr>
        <w:t>korun českých</w:t>
      </w:r>
      <w:r w:rsidRPr="0013520D">
        <w:t xml:space="preserve">), současně však </w:t>
      </w:r>
      <w:r w:rsidRPr="003D6A1A">
        <w:rPr>
          <w:b/>
        </w:rPr>
        <w:t>maximálně</w:t>
      </w:r>
      <w:r w:rsidR="006E3B58">
        <w:rPr>
          <w:b/>
        </w:rPr>
        <w:t> </w:t>
      </w:r>
      <w:r w:rsidR="008B3E4F">
        <w:rPr>
          <w:b/>
        </w:rPr>
        <w:t>61,05</w:t>
      </w:r>
      <w:r w:rsidRPr="003D6A1A">
        <w:rPr>
          <w:b/>
        </w:rPr>
        <w:t xml:space="preserve"> % celkových způsobilých výdajů</w:t>
      </w:r>
      <w:r w:rsidRPr="0013520D">
        <w:t xml:space="preserve"> projektu</w:t>
      </w:r>
      <w:r w:rsidR="00A4650A">
        <w:t xml:space="preserve"> na realizaci projektu</w:t>
      </w:r>
      <w:r>
        <w:t>:</w:t>
      </w:r>
      <w:r w:rsidR="006E3B58">
        <w:t> </w:t>
      </w:r>
      <w:r w:rsidR="008B3E4F">
        <w:t>MUDr. Simona Hradilová</w:t>
      </w:r>
      <w:r w:rsidR="008870B5">
        <w:t xml:space="preserve"> – vybavení ambulance praktického lékaře</w:t>
      </w:r>
      <w:r w:rsidRPr="0013520D">
        <w:t xml:space="preserve"> (dále jen „</w:t>
      </w:r>
      <w:r w:rsidRPr="002563AC">
        <w:rPr>
          <w:b/>
        </w:rPr>
        <w:t>projekt</w:t>
      </w:r>
      <w:r w:rsidRPr="0013520D">
        <w:t>“), evidovaného pod registračním číslem žádosti o poskytnutí dotace</w:t>
      </w:r>
      <w:r w:rsidR="006E3B58">
        <w:t> </w:t>
      </w:r>
      <w:r w:rsidR="008870B5">
        <w:t>RP23-22/16</w:t>
      </w:r>
      <w:r w:rsidRPr="0013520D">
        <w:t xml:space="preserve">, který </w:t>
      </w:r>
      <w:r w:rsidR="00FE4470" w:rsidRPr="0013520D">
        <w:t>je blíže popsán v žádosti o poskytnutí dotace</w:t>
      </w:r>
      <w:r w:rsidR="00C025BD">
        <w:t>.</w:t>
      </w:r>
    </w:p>
    <w:p w14:paraId="32B44BA7" w14:textId="68DA128A" w:rsidR="0077026D" w:rsidRDefault="00E14143" w:rsidP="00E82920">
      <w:pPr>
        <w:pStyle w:val="2rove"/>
        <w:spacing w:line="276" w:lineRule="auto"/>
      </w:pPr>
      <w:r w:rsidRPr="00E14143">
        <w:t>Dotace je poskytována na základě programu</w:t>
      </w:r>
      <w:r w:rsidR="006E3B58">
        <w:t> </w:t>
      </w:r>
      <w:r w:rsidR="00C025BD">
        <w:t>RP23-22 Zachování dostupnosti primární péče a dětských psychiatrů ve Zlínském kraji</w:t>
      </w:r>
      <w:r w:rsidRPr="00E14143">
        <w:t>, schválenéh</w:t>
      </w:r>
      <w:r w:rsidR="004942FC">
        <w:t>o Radou Zlínského kraje dne</w:t>
      </w:r>
      <w:r w:rsidR="006E3B58">
        <w:t> </w:t>
      </w:r>
      <w:r w:rsidR="00C025BD">
        <w:t xml:space="preserve">17. 10. 2022 </w:t>
      </w:r>
      <w:r w:rsidRPr="00E14143">
        <w:t>usnesením č.</w:t>
      </w:r>
      <w:r w:rsidR="006E3B58">
        <w:t> </w:t>
      </w:r>
      <w:r w:rsidR="00C025BD">
        <w:t>0862/R28/22</w:t>
      </w:r>
      <w:r w:rsidRPr="00E14143">
        <w:t xml:space="preserve"> (dále jen „</w:t>
      </w:r>
      <w:r w:rsidRPr="00E14143">
        <w:rPr>
          <w:b/>
        </w:rPr>
        <w:t>program</w:t>
      </w:r>
      <w:r w:rsidRPr="00E14143">
        <w:t>“)</w:t>
      </w:r>
      <w:r w:rsidR="00A166E5">
        <w:t xml:space="preserve"> </w:t>
      </w:r>
      <w:r w:rsidR="00A166E5" w:rsidRPr="00A166E5">
        <w:t>ve znění pozdějších změn</w:t>
      </w:r>
      <w:r w:rsidRPr="00E14143">
        <w:t>.</w:t>
      </w:r>
    </w:p>
    <w:p w14:paraId="49C709ED" w14:textId="77777777" w:rsidR="00E14143" w:rsidRDefault="00E14143" w:rsidP="00E82920">
      <w:pPr>
        <w:pStyle w:val="2rove"/>
        <w:spacing w:line="276" w:lineRule="auto"/>
      </w:pPr>
      <w:r w:rsidRPr="0013520D">
        <w:t>Příjemce se zavazuje zrealizovat projekt tak, jak je popsán v žádosti o poskytnutí dotace a</w:t>
      </w:r>
      <w:r w:rsidR="006E3B58">
        <w:t> </w:t>
      </w:r>
      <w:r w:rsidRPr="0013520D">
        <w:t>v souladu se všemi podmínkami vyhlášeného programu.</w:t>
      </w:r>
    </w:p>
    <w:p w14:paraId="73D4B524" w14:textId="77777777" w:rsidR="00E14143" w:rsidRDefault="008E7B6E" w:rsidP="00E82920">
      <w:pPr>
        <w:pStyle w:val="Nadpis1"/>
        <w:spacing w:line="276" w:lineRule="auto"/>
      </w:pPr>
      <w:r>
        <w:t>Doba realizace</w:t>
      </w:r>
    </w:p>
    <w:p w14:paraId="4236236F" w14:textId="77777777" w:rsidR="008E7B6E" w:rsidRDefault="00F575F2" w:rsidP="00E82920">
      <w:pPr>
        <w:pStyle w:val="2rove"/>
        <w:spacing w:line="276" w:lineRule="auto"/>
      </w:pPr>
      <w:r>
        <w:t>Doba realizace</w:t>
      </w:r>
      <w:r w:rsidR="00FF0072" w:rsidRPr="00FF0072">
        <w:t xml:space="preserve"> </w:t>
      </w:r>
      <w:r>
        <w:t xml:space="preserve">začíná </w:t>
      </w:r>
      <w:r w:rsidR="00C025BD">
        <w:t xml:space="preserve">nejdříve </w:t>
      </w:r>
      <w:r>
        <w:t>dnem</w:t>
      </w:r>
      <w:r w:rsidR="00C025BD">
        <w:t xml:space="preserve"> 1</w:t>
      </w:r>
      <w:r w:rsidR="0020364F">
        <w:t>. 1</w:t>
      </w:r>
      <w:r w:rsidR="00C025BD">
        <w:t>. 2023.</w:t>
      </w:r>
    </w:p>
    <w:p w14:paraId="31FA2ED2" w14:textId="77777777" w:rsidR="00D143CD" w:rsidRDefault="00F575F2" w:rsidP="00E82920">
      <w:pPr>
        <w:pStyle w:val="2rove"/>
        <w:spacing w:line="276" w:lineRule="auto"/>
      </w:pPr>
      <w:r>
        <w:t>Doba realizace</w:t>
      </w:r>
      <w:r w:rsidR="008E7B6E">
        <w:t xml:space="preserve"> </w:t>
      </w:r>
      <w:r w:rsidR="00C025BD">
        <w:t>musí být ukončena do 1 roku po nabytí účinnosti této Smlouvy, nejpozději však dnem 31. 12. 2026.</w:t>
      </w:r>
    </w:p>
    <w:p w14:paraId="65E2EB6E" w14:textId="77777777" w:rsidR="00444289" w:rsidRDefault="002B4723" w:rsidP="00B007CA">
      <w:pPr>
        <w:pStyle w:val="2rove"/>
      </w:pPr>
      <w:r w:rsidRPr="008E7B6E">
        <w:t xml:space="preserve">Způsobilé výdaje musí příjemci vzniknout v době realizace </w:t>
      </w:r>
      <w:r w:rsidR="00D143CD">
        <w:t xml:space="preserve">a </w:t>
      </w:r>
      <w:r w:rsidR="008D1EBC">
        <w:t xml:space="preserve">musí jím být uhrazeny způsobem specifikovaným v odst. 5.2. </w:t>
      </w:r>
    </w:p>
    <w:p w14:paraId="4D6EBD31" w14:textId="77777777" w:rsidR="008E7B6E" w:rsidRDefault="008E7B6E" w:rsidP="00E82920">
      <w:pPr>
        <w:pStyle w:val="Nadpis1"/>
        <w:spacing w:line="276" w:lineRule="auto"/>
      </w:pPr>
      <w:r w:rsidRPr="0013520D">
        <w:t>Monitorovací indikátory</w:t>
      </w:r>
    </w:p>
    <w:p w14:paraId="2C5CDFA9" w14:textId="77777777" w:rsidR="008E7B6E" w:rsidRDefault="008E7B6E" w:rsidP="00E82920">
      <w:pPr>
        <w:pStyle w:val="2rove"/>
        <w:spacing w:line="276" w:lineRule="auto"/>
      </w:pPr>
      <w:r w:rsidRPr="0013520D">
        <w:t xml:space="preserve">Během </w:t>
      </w:r>
      <w:r w:rsidR="00F575F2">
        <w:t xml:space="preserve">doby </w:t>
      </w:r>
      <w:r w:rsidRPr="0013520D">
        <w:t xml:space="preserve">realizace se příjemce zavazuje </w:t>
      </w:r>
      <w:r w:rsidR="00D65F4F">
        <w:t>naplnit</w:t>
      </w:r>
      <w:r w:rsidR="00436CD2">
        <w:t xml:space="preserve"> monitorovací indikátor</w:t>
      </w:r>
      <w:r w:rsidRPr="0013520D">
        <w:t xml:space="preserve"> projektu, je</w:t>
      </w:r>
      <w:r w:rsidR="00436CD2">
        <w:t>hož minimální závazná hodnota je uvedena</w:t>
      </w:r>
      <w:r w:rsidRPr="0013520D">
        <w:t xml:space="preserve"> v následující tabulce, a to nejpozději k datu ukončení </w:t>
      </w:r>
      <w:r w:rsidR="00F575F2">
        <w:t xml:space="preserve">doby </w:t>
      </w:r>
      <w:r w:rsidRPr="0013520D">
        <w:t>realizace:</w:t>
      </w:r>
    </w:p>
    <w:p w14:paraId="3A5DC716" w14:textId="77777777" w:rsidR="00687573" w:rsidRDefault="00687573" w:rsidP="00687573">
      <w:pPr>
        <w:pStyle w:val="2rove"/>
        <w:numPr>
          <w:ilvl w:val="0"/>
          <w:numId w:val="0"/>
        </w:numPr>
        <w:spacing w:line="276" w:lineRule="auto"/>
        <w:ind w:left="567"/>
      </w:pPr>
    </w:p>
    <w:p w14:paraId="5B48AD40" w14:textId="77777777" w:rsidR="00687573" w:rsidRPr="008E7B6E" w:rsidRDefault="00687573" w:rsidP="00687573">
      <w:pPr>
        <w:pStyle w:val="2rove"/>
        <w:numPr>
          <w:ilvl w:val="0"/>
          <w:numId w:val="0"/>
        </w:numPr>
        <w:spacing w:line="276" w:lineRule="auto"/>
        <w:ind w:left="567"/>
      </w:pP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8E7B6E" w:rsidRPr="001426D2" w14:paraId="68F10250" w14:textId="77777777" w:rsidTr="00B4088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01FD2E97" w14:textId="77777777" w:rsidR="008E7B6E" w:rsidRPr="001426D2" w:rsidRDefault="00530D1A" w:rsidP="00E82920">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lastRenderedPageBreak/>
              <w:t>Monitorovací indikátory – výstupy projektu</w:t>
            </w:r>
          </w:p>
        </w:tc>
      </w:tr>
      <w:tr w:rsidR="008E7B6E" w:rsidRPr="001426D2" w14:paraId="565FD50A" w14:textId="77777777" w:rsidTr="00436CD2">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00F29E65"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poř.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76B33F50"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590C9DD"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2E9CF495"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8E7B6E" w:rsidRPr="001426D2" w14:paraId="79342EC2" w14:textId="77777777" w:rsidTr="00436CD2">
        <w:trPr>
          <w:trHeight w:hRule="exact" w:val="291"/>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357CC377" w14:textId="77777777" w:rsidR="008E7B6E" w:rsidRPr="001426D2" w:rsidRDefault="00436CD2"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1</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0E63761D" w14:textId="77777777" w:rsidR="008E7B6E" w:rsidRPr="001426D2" w:rsidRDefault="00436CD2"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Počet podpořených ambulancí</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18B6EDC3" w14:textId="77777777" w:rsidR="008E7B6E" w:rsidRPr="001426D2" w:rsidRDefault="00436CD2"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ks</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3CCC004C" w14:textId="77777777" w:rsidR="008E7B6E" w:rsidRPr="001426D2" w:rsidRDefault="00436CD2" w:rsidP="00436CD2">
            <w:pPr>
              <w:widowControl w:val="0"/>
              <w:tabs>
                <w:tab w:val="left" w:pos="360"/>
                <w:tab w:val="left" w:pos="8928"/>
              </w:tabs>
              <w:spacing w:line="276" w:lineRule="auto"/>
              <w:jc w:val="right"/>
              <w:rPr>
                <w:rFonts w:cs="Arial"/>
                <w:snapToGrid w:val="0"/>
                <w:sz w:val="18"/>
                <w:szCs w:val="18"/>
              </w:rPr>
            </w:pPr>
            <w:r>
              <w:rPr>
                <w:rFonts w:cs="Arial"/>
                <w:snapToGrid w:val="0"/>
                <w:sz w:val="18"/>
                <w:szCs w:val="18"/>
              </w:rPr>
              <w:t>1</w:t>
            </w:r>
          </w:p>
        </w:tc>
      </w:tr>
    </w:tbl>
    <w:p w14:paraId="61F2CFCC" w14:textId="77777777" w:rsidR="008E7B6E" w:rsidRDefault="000417D8" w:rsidP="000417D8">
      <w:pPr>
        <w:pStyle w:val="2rove"/>
      </w:pPr>
      <w:r w:rsidRPr="000417D8">
        <w:t xml:space="preserve">V případě </w:t>
      </w:r>
      <w:r w:rsidR="00436CD2" w:rsidRPr="0013520D">
        <w:t xml:space="preserve">nenaplnění </w:t>
      </w:r>
      <w:r w:rsidR="00436CD2">
        <w:t>monitorovacího</w:t>
      </w:r>
      <w:r w:rsidRPr="000417D8">
        <w:t xml:space="preserve"> indikátor</w:t>
      </w:r>
      <w:r w:rsidR="00436CD2">
        <w:t>u</w:t>
      </w:r>
      <w:r w:rsidR="00F575F2">
        <w:t>,</w:t>
      </w:r>
      <w:r w:rsidRPr="000417D8">
        <w:t xml:space="preserve"> se jedná o podstatné nenaplnění monitorovacích indikátorů</w:t>
      </w:r>
      <w:r>
        <w:t>.</w:t>
      </w:r>
      <w:r w:rsidR="00D65F4F">
        <w:t xml:space="preserve"> </w:t>
      </w:r>
    </w:p>
    <w:p w14:paraId="3B1AA0BF" w14:textId="77777777" w:rsidR="00530D1A" w:rsidRDefault="00530D1A" w:rsidP="00E82920">
      <w:pPr>
        <w:pStyle w:val="Nadpis1"/>
        <w:spacing w:line="276" w:lineRule="auto"/>
      </w:pPr>
      <w:r>
        <w:t>Financování projektu</w:t>
      </w:r>
    </w:p>
    <w:p w14:paraId="07959ED9" w14:textId="7E14DFA9" w:rsidR="00530D1A" w:rsidRPr="0013520D" w:rsidRDefault="00530D1A" w:rsidP="00436CD2">
      <w:pPr>
        <w:pStyle w:val="2rove"/>
        <w:spacing w:line="276" w:lineRule="auto"/>
      </w:pPr>
      <w:r w:rsidRPr="0013520D">
        <w:t xml:space="preserve">Dotace bude příjemci poskytnuta na účet uvedený v záhlaví této smlouvy následujícím způsobem: </w:t>
      </w:r>
      <w:r w:rsidRPr="00436CD2">
        <w:rPr>
          <w:b/>
        </w:rPr>
        <w:t>do 30 pracovních dnů po nabytí účinnosti této smlouvy</w:t>
      </w:r>
      <w:r w:rsidRPr="0013520D">
        <w:t xml:space="preserve"> bude vyplacena </w:t>
      </w:r>
      <w:r w:rsidRPr="00436CD2">
        <w:rPr>
          <w:b/>
        </w:rPr>
        <w:t>první část</w:t>
      </w:r>
      <w:r w:rsidRPr="0013520D">
        <w:t xml:space="preserve"> dotace ve výši</w:t>
      </w:r>
      <w:r w:rsidR="006E3B58">
        <w:t> </w:t>
      </w:r>
      <w:r w:rsidR="00DD4339">
        <w:t>175 000</w:t>
      </w:r>
      <w:r>
        <w:t xml:space="preserve"> </w:t>
      </w:r>
      <w:r w:rsidRPr="0013520D">
        <w:t>Kč (slovy:</w:t>
      </w:r>
      <w:r w:rsidR="00DD4339">
        <w:t xml:space="preserve"> </w:t>
      </w:r>
      <w:r w:rsidR="00DD4339" w:rsidRPr="00DD4339">
        <w:rPr>
          <w:i/>
          <w:iCs/>
        </w:rPr>
        <w:t>sto sedmdesát pět tisíc</w:t>
      </w:r>
      <w:r w:rsidR="00DD4339">
        <w:t xml:space="preserve"> </w:t>
      </w:r>
      <w:r w:rsidR="00436CD2">
        <w:rPr>
          <w:i/>
        </w:rPr>
        <w:t>korun českých</w:t>
      </w:r>
      <w:r w:rsidR="00436CD2">
        <w:t xml:space="preserve">). </w:t>
      </w:r>
      <w:r w:rsidR="00436CD2">
        <w:rPr>
          <w:b/>
        </w:rPr>
        <w:t>Zbylých 3</w:t>
      </w:r>
      <w:r w:rsidRPr="00436CD2">
        <w:rPr>
          <w:b/>
        </w:rPr>
        <w:t>0 %</w:t>
      </w:r>
      <w:r w:rsidRPr="0013520D">
        <w:t xml:space="preserve"> z poskytované dotace, tj.</w:t>
      </w:r>
      <w:r w:rsidR="0036448F">
        <w:t xml:space="preserve"> maximálně</w:t>
      </w:r>
      <w:r w:rsidR="006E3B58">
        <w:t> </w:t>
      </w:r>
      <w:r w:rsidR="00771116">
        <w:t>75 000</w:t>
      </w:r>
      <w:r>
        <w:t xml:space="preserve"> </w:t>
      </w:r>
      <w:r w:rsidRPr="0013520D">
        <w:t>Kč (slovy:</w:t>
      </w:r>
      <w:r w:rsidR="006E3B58">
        <w:t> </w:t>
      </w:r>
      <w:r w:rsidR="00771116">
        <w:rPr>
          <w:i/>
        </w:rPr>
        <w:t xml:space="preserve">sedmdesát pět tisíc </w:t>
      </w:r>
      <w:r w:rsidR="00436CD2" w:rsidRPr="00436CD2">
        <w:rPr>
          <w:i/>
        </w:rPr>
        <w:t>korun českých</w:t>
      </w:r>
      <w:r w:rsidRPr="0013520D">
        <w:t xml:space="preserve">), bude příjemci vyplaceno </w:t>
      </w:r>
      <w:r w:rsidRPr="00436CD2">
        <w:rPr>
          <w:b/>
        </w:rPr>
        <w:t>do 20 pracovních dnů po schválení Závěrečné zprávy</w:t>
      </w:r>
      <w:r w:rsidRPr="0013520D">
        <w:t xml:space="preserve"> s vyúčtováním dotace předložené příjemcem dle </w:t>
      </w:r>
      <w:r w:rsidR="00077168">
        <w:t>čl</w:t>
      </w:r>
      <w:r w:rsidRPr="0013520D">
        <w:t>. 4.</w:t>
      </w:r>
      <w:r w:rsidR="00F575F2">
        <w:t>4</w:t>
      </w:r>
      <w:r w:rsidRPr="0013520D">
        <w:t xml:space="preserve">. </w:t>
      </w:r>
    </w:p>
    <w:p w14:paraId="11FBAE0C" w14:textId="6DAF6DD1" w:rsidR="00CB78A2" w:rsidRDefault="00CB78A2" w:rsidP="00E82920">
      <w:pPr>
        <w:pStyle w:val="2rove"/>
        <w:spacing w:line="276" w:lineRule="auto"/>
      </w:pPr>
      <w:r w:rsidRPr="003D6A1A">
        <w:rPr>
          <w:b/>
        </w:rPr>
        <w:t>Předpokládané celkové způsobilé výdaje</w:t>
      </w:r>
      <w:r w:rsidRPr="0013520D">
        <w:t xml:space="preserve"> projektu činí</w:t>
      </w:r>
      <w:r w:rsidR="006E3B58">
        <w:t> </w:t>
      </w:r>
      <w:r w:rsidR="00C02077">
        <w:t>409 525</w:t>
      </w:r>
      <w:r w:rsidR="002C00E2">
        <w:t xml:space="preserve"> Kč.</w:t>
      </w:r>
      <w:r w:rsidRPr="0013520D">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w:t>
      </w:r>
      <w:r>
        <w:t xml:space="preserve">výdajů projektu stanovená v čl. </w:t>
      </w:r>
      <w:r w:rsidRPr="0013520D">
        <w:t>1.1</w:t>
      </w:r>
      <w:r w:rsidR="00FD00AD">
        <w:t xml:space="preserve">, </w:t>
      </w:r>
      <w:r w:rsidR="00436CD2">
        <w:t>a dotace bude zaokrouhlena na celé koruny dolů</w:t>
      </w:r>
      <w:r>
        <w:t xml:space="preserve">. </w:t>
      </w:r>
      <w:r w:rsidRPr="0013520D">
        <w:t>V případě poklesu celkových způsobilých výdajů projektu je příjemce povinen v termínu pro předložení Závěrečné zprávy s vyúčtováním dotace</w:t>
      </w:r>
      <w:r w:rsidR="009514A5">
        <w:t xml:space="preserve"> (dále jen „</w:t>
      </w:r>
      <w:r w:rsidR="009514A5" w:rsidRPr="000B7FE5">
        <w:rPr>
          <w:b/>
        </w:rPr>
        <w:t>závěrečná zpráva</w:t>
      </w:r>
      <w:r w:rsidR="009514A5">
        <w:t>“)</w:t>
      </w:r>
      <w:r w:rsidRPr="0013520D">
        <w:t xml:space="preserve"> vrátit část poskytnutých prostředků, která převyšuje procentní hranici celkových způsobilých výdajů projektu stanovenou v čl. 1.1. </w:t>
      </w:r>
    </w:p>
    <w:p w14:paraId="7F50B336" w14:textId="77777777" w:rsidR="00CB78A2" w:rsidRDefault="00CB78A2" w:rsidP="00E82920">
      <w:pPr>
        <w:pStyle w:val="2rove"/>
        <w:spacing w:line="276" w:lineRule="auto"/>
      </w:pPr>
      <w:r w:rsidRPr="00CB78A2">
        <w:t>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w:t>
      </w:r>
      <w:r w:rsidR="006E3B58">
        <w:t> </w:t>
      </w:r>
      <w:r w:rsidRPr="00CB78A2">
        <w:t>termínu</w:t>
      </w:r>
      <w:r w:rsidR="009514A5">
        <w:t xml:space="preserve"> pro předložení Závěrečné zpráv</w:t>
      </w:r>
      <w:r w:rsidR="00E52928">
        <w:t>y</w:t>
      </w:r>
      <w:r w:rsidRPr="00CB78A2">
        <w:t xml:space="preserve">. </w:t>
      </w:r>
    </w:p>
    <w:p w14:paraId="55F808F0" w14:textId="77777777" w:rsidR="00CB78A2" w:rsidRDefault="00CB78A2" w:rsidP="00E82920">
      <w:pPr>
        <w:pStyle w:val="2rove"/>
        <w:spacing w:line="276" w:lineRule="auto"/>
      </w:pPr>
      <w:r w:rsidRPr="00C557DB">
        <w:t xml:space="preserve">Po </w:t>
      </w:r>
      <w:r w:rsidR="0036448F">
        <w:t>u</w:t>
      </w:r>
      <w:r w:rsidRPr="00C557DB">
        <w:t xml:space="preserve">končení </w:t>
      </w:r>
      <w:r w:rsidR="0036448F">
        <w:t xml:space="preserve">doby </w:t>
      </w:r>
      <w:r w:rsidRPr="00C557DB">
        <w:t xml:space="preserve">realizace </w:t>
      </w:r>
      <w:r w:rsidR="0036448F">
        <w:t>dle odst. 2.2</w:t>
      </w:r>
      <w:r w:rsidRPr="00C557DB">
        <w:t xml:space="preserve"> je příjemce povinen předložit Odboru</w:t>
      </w:r>
      <w:r w:rsidR="006E3B58">
        <w:t> </w:t>
      </w:r>
      <w:r w:rsidR="00436CD2">
        <w:t>strategického rozvoje kraje,</w:t>
      </w:r>
      <w:r w:rsidRPr="00C557DB">
        <w:t xml:space="preserve"> Krajského úřadu Zlínského kraje </w:t>
      </w:r>
      <w:r w:rsidR="00CD6632">
        <w:rPr>
          <w:b/>
        </w:rPr>
        <w:t>z</w:t>
      </w:r>
      <w:r w:rsidR="00CD6632" w:rsidRPr="003D6A1A">
        <w:rPr>
          <w:b/>
        </w:rPr>
        <w:t xml:space="preserve">ávěrečnou </w:t>
      </w:r>
      <w:r w:rsidRPr="003D6A1A">
        <w:rPr>
          <w:b/>
        </w:rPr>
        <w:t>zprávu, a to nejpozději do</w:t>
      </w:r>
      <w:r w:rsidR="006E3B58">
        <w:rPr>
          <w:b/>
        </w:rPr>
        <w:t> </w:t>
      </w:r>
      <w:r w:rsidR="00436CD2">
        <w:rPr>
          <w:b/>
        </w:rPr>
        <w:t xml:space="preserve">1 roku </w:t>
      </w:r>
      <w:r w:rsidR="00FD00AD">
        <w:rPr>
          <w:b/>
        </w:rPr>
        <w:t>od nabytí účinnosti Smlouvy</w:t>
      </w:r>
      <w:r w:rsidR="0020364F">
        <w:rPr>
          <w:b/>
        </w:rPr>
        <w:t>.</w:t>
      </w:r>
      <w:r w:rsidR="00FD00AD">
        <w:rPr>
          <w:b/>
        </w:rPr>
        <w:t xml:space="preserve"> </w:t>
      </w:r>
    </w:p>
    <w:p w14:paraId="277BD5CD" w14:textId="77777777" w:rsidR="00A439DD" w:rsidRDefault="00A439DD" w:rsidP="00FD00AD">
      <w:pPr>
        <w:pStyle w:val="2rove"/>
        <w:spacing w:line="276" w:lineRule="auto"/>
      </w:pPr>
      <w:r w:rsidRPr="00C557DB">
        <w:t xml:space="preserve">Závěrečnou zprávou se rozumí předložení formuláře s vyplněnou tabulkou s výčtem všech celkových způsobilých výdajů projektu, a předložení </w:t>
      </w:r>
      <w:r w:rsidR="00F575F2">
        <w:t>všech potřebných</w:t>
      </w:r>
      <w:r w:rsidR="00F575F2" w:rsidRPr="00C557DB">
        <w:t xml:space="preserve"> </w:t>
      </w:r>
      <w:r w:rsidRPr="00C557DB">
        <w:t>dokladů</w:t>
      </w:r>
      <w:r>
        <w:t xml:space="preserve"> </w:t>
      </w:r>
      <w:r w:rsidR="00F575F2">
        <w:t xml:space="preserve">uvedených ve </w:t>
      </w:r>
      <w:r w:rsidR="00F575F2" w:rsidRPr="00CD6632">
        <w:rPr>
          <w:b/>
        </w:rPr>
        <w:t>formuláři závěrečné zprávy</w:t>
      </w:r>
      <w:r>
        <w:t xml:space="preserve"> ve výši celkových </w:t>
      </w:r>
      <w:r w:rsidRPr="00983080">
        <w:t>způsobilých</w:t>
      </w:r>
      <w:r>
        <w:t xml:space="preserve"> výdajů</w:t>
      </w:r>
      <w:r w:rsidR="00E52928">
        <w:t xml:space="preserve"> projektu</w:t>
      </w:r>
      <w:r>
        <w:t xml:space="preserve"> a dokladů prokazujících jejich úhradu </w:t>
      </w:r>
      <w:r w:rsidRPr="00C557DB">
        <w:t>(tj. výpisy z bankovního účtu, výdajové a příjmové pokladní doklady)</w:t>
      </w:r>
      <w:r>
        <w:t>.</w:t>
      </w:r>
    </w:p>
    <w:p w14:paraId="54C5E18D" w14:textId="77777777" w:rsidR="00CD2022" w:rsidRDefault="00A439DD" w:rsidP="00983080">
      <w:pPr>
        <w:pStyle w:val="2rove"/>
        <w:numPr>
          <w:ilvl w:val="0"/>
          <w:numId w:val="0"/>
        </w:numPr>
        <w:spacing w:line="276" w:lineRule="auto"/>
        <w:ind w:left="567"/>
      </w:pPr>
      <w:r w:rsidRPr="00F575F2">
        <w:rPr>
          <w:b/>
        </w:rPr>
        <w:t xml:space="preserve">Formulář </w:t>
      </w:r>
      <w:r w:rsidR="00F575F2" w:rsidRPr="00F575F2">
        <w:rPr>
          <w:b/>
        </w:rPr>
        <w:t xml:space="preserve">závěrečné </w:t>
      </w:r>
      <w:r w:rsidRPr="00F575F2">
        <w:rPr>
          <w:b/>
        </w:rPr>
        <w:t>zprávy</w:t>
      </w:r>
      <w:r>
        <w:t xml:space="preserve"> bude příjemci zaslán kontaktní osobou poskytovatele nejpozději </w:t>
      </w:r>
      <w:r w:rsidR="00FD00AD">
        <w:t>na vyžádání</w:t>
      </w:r>
      <w:r>
        <w:t xml:space="preserve">. </w:t>
      </w:r>
    </w:p>
    <w:p w14:paraId="466AD462" w14:textId="77777777" w:rsidR="005B1088" w:rsidRDefault="00357941" w:rsidP="00E82920">
      <w:pPr>
        <w:pStyle w:val="2rove"/>
        <w:spacing w:line="276" w:lineRule="auto"/>
      </w:pPr>
      <w:r w:rsidRPr="00774F80">
        <w:t>V případě, že poskytovatel neshledá v předložené Závěrečné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w:t>
      </w:r>
      <w:r w:rsidR="005B3FE5">
        <w:t> </w:t>
      </w:r>
      <w:r w:rsidRPr="00774F80">
        <w:t>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w:t>
      </w:r>
      <w:r w:rsidR="000B11E0">
        <w:t>, tj.</w:t>
      </w:r>
      <w:r w:rsidR="00F13C74">
        <w:t xml:space="preserve">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w:t>
      </w:r>
    </w:p>
    <w:p w14:paraId="616B3C1B" w14:textId="4B986965" w:rsidR="009514A5" w:rsidRDefault="009514A5" w:rsidP="001C5953">
      <w:pPr>
        <w:pStyle w:val="2rove"/>
      </w:pPr>
      <w:r>
        <w:t xml:space="preserve">V termínu pro předložení Závěrečné zprávy </w:t>
      </w:r>
      <w:r w:rsidRPr="003D6A1A">
        <w:rPr>
          <w:b/>
        </w:rPr>
        <w:t>dle čl. 4.4 vrátí příjemce nevyčerpané finanční prostředky</w:t>
      </w:r>
      <w:r>
        <w:t xml:space="preserve"> na účet poskytovatele. </w:t>
      </w:r>
    </w:p>
    <w:p w14:paraId="55CBAE95" w14:textId="77777777" w:rsidR="001C5953" w:rsidRDefault="001C5953" w:rsidP="001C5953">
      <w:pPr>
        <w:pStyle w:val="2rove"/>
        <w:numPr>
          <w:ilvl w:val="0"/>
          <w:numId w:val="0"/>
        </w:numPr>
        <w:ind w:left="567"/>
      </w:pPr>
    </w:p>
    <w:p w14:paraId="69EDC08E" w14:textId="77777777" w:rsidR="00CB78A2" w:rsidRDefault="00D64AB1" w:rsidP="00E82920">
      <w:pPr>
        <w:pStyle w:val="Nadpis1"/>
        <w:spacing w:line="276" w:lineRule="auto"/>
      </w:pPr>
      <w:r>
        <w:lastRenderedPageBreak/>
        <w:t>Podmínky použití dotace</w:t>
      </w:r>
    </w:p>
    <w:p w14:paraId="6101053D" w14:textId="77777777" w:rsidR="0020364F" w:rsidRDefault="00D64AB1" w:rsidP="0020364F">
      <w:pPr>
        <w:pStyle w:val="2rove"/>
        <w:spacing w:line="276" w:lineRule="auto"/>
      </w:pPr>
      <w:r w:rsidRPr="00F70832">
        <w:t>Příjemce je oprávněn použít dotaci pouze k účelu uvedenému v</w:t>
      </w:r>
      <w:r>
        <w:t> </w:t>
      </w:r>
      <w:r w:rsidRPr="00F70832">
        <w:t>č</w:t>
      </w:r>
      <w:r>
        <w:t>l.</w:t>
      </w:r>
      <w:r w:rsidRPr="00F70832">
        <w:t xml:space="preserve"> </w:t>
      </w:r>
      <w:r>
        <w:t>1</w:t>
      </w:r>
      <w:r w:rsidRPr="00F70832">
        <w:t>.</w:t>
      </w:r>
    </w:p>
    <w:p w14:paraId="7F32E673" w14:textId="77777777" w:rsidR="00D865B0" w:rsidRPr="00B007CA" w:rsidRDefault="00D64AB1" w:rsidP="0020364F">
      <w:pPr>
        <w:pStyle w:val="2rove"/>
        <w:spacing w:line="276" w:lineRule="auto"/>
      </w:pPr>
      <w:r w:rsidRPr="0020364F">
        <w:rPr>
          <w:b/>
        </w:rPr>
        <w:t>Způsobilými výdaji</w:t>
      </w:r>
      <w:r w:rsidRPr="00D64AB1">
        <w:t xml:space="preserve"> jsou proplacená plnění, jež souvisejí s účelem, na který je dotace poskytnuta, a vyhovují zásadám účelnosti, efektivnosti a hospodárnosti podle zákona č.</w:t>
      </w:r>
      <w:r w:rsidR="005B3FE5">
        <w:t> </w:t>
      </w:r>
      <w:r w:rsidRPr="00D64AB1">
        <w:t>320/2001</w:t>
      </w:r>
      <w:r w:rsidR="005B3FE5">
        <w:t> </w:t>
      </w:r>
      <w:r w:rsidRPr="00D64AB1">
        <w:t xml:space="preserve">Sb., o finanční kontrole, ve znění pozdějších předpisů. </w:t>
      </w:r>
      <w:r w:rsidR="00EA1D72" w:rsidRPr="008E7B6E">
        <w:t xml:space="preserve">Způsobilé výdaje musí příjemci vzniknout v době realizace </w:t>
      </w:r>
      <w:r w:rsidR="00EA1D72">
        <w:t>a</w:t>
      </w:r>
      <w:r w:rsidR="00B007CA">
        <w:t xml:space="preserve"> </w:t>
      </w:r>
      <w:r w:rsidR="00D865B0" w:rsidRPr="00B007CA">
        <w:t>být jím v </w:t>
      </w:r>
      <w:r w:rsidR="00D865B0" w:rsidRPr="00983080">
        <w:t>této</w:t>
      </w:r>
      <w:r w:rsidR="00D865B0" w:rsidRPr="00B007CA">
        <w:t xml:space="preserve"> době i uhrazeny.</w:t>
      </w:r>
    </w:p>
    <w:p w14:paraId="5EBFBC31" w14:textId="77777777" w:rsidR="003C6624" w:rsidRPr="003C6624" w:rsidRDefault="003C6624" w:rsidP="003C6624">
      <w:pPr>
        <w:pStyle w:val="3rove-trval"/>
        <w:numPr>
          <w:ilvl w:val="3"/>
          <w:numId w:val="27"/>
        </w:numPr>
      </w:pPr>
      <w:r>
        <w:t xml:space="preserve">pořízení technického, materiálního a softwarového </w:t>
      </w:r>
      <w:r w:rsidRPr="003C6624">
        <w:t>vybavení</w:t>
      </w:r>
      <w:r>
        <w:t xml:space="preserve"> ambulance v rozsahu minimálně dle vyhlášky 92/2012 Sb. o požadavcích na minimální technické a věcné vybavení zdravotnických zařízení a kontaktních pracovišť domácí péče, ve znění pozdějších předpisů,</w:t>
      </w:r>
    </w:p>
    <w:p w14:paraId="7CA38BB9" w14:textId="77777777" w:rsidR="003C6624" w:rsidRPr="003C6624" w:rsidRDefault="003C6624" w:rsidP="003C6624">
      <w:pPr>
        <w:pStyle w:val="3rove-trval"/>
        <w:numPr>
          <w:ilvl w:val="3"/>
          <w:numId w:val="27"/>
        </w:numPr>
      </w:pPr>
      <w:r>
        <w:t xml:space="preserve">zdravotnické přístrojové vybavení ambulance nad rámec vyhlášky, </w:t>
      </w:r>
    </w:p>
    <w:p w14:paraId="293435F0" w14:textId="77777777" w:rsidR="003C6624" w:rsidRPr="003C6624" w:rsidRDefault="003C6624" w:rsidP="003C6624">
      <w:pPr>
        <w:pStyle w:val="3rove-trval"/>
        <w:numPr>
          <w:ilvl w:val="3"/>
          <w:numId w:val="27"/>
        </w:numPr>
      </w:pPr>
      <w:r>
        <w:t>terapeutické pomůcky,</w:t>
      </w:r>
    </w:p>
    <w:p w14:paraId="53060A3C" w14:textId="77777777" w:rsidR="003C6624" w:rsidRPr="003C6624" w:rsidRDefault="003C6624" w:rsidP="003C6624">
      <w:pPr>
        <w:pStyle w:val="3rove-trval"/>
        <w:numPr>
          <w:ilvl w:val="3"/>
          <w:numId w:val="27"/>
        </w:numPr>
      </w:pPr>
      <w:r>
        <w:t>výpočetní technika (tj. počítač, monitor, tiskárna, software a příslušenství).</w:t>
      </w:r>
    </w:p>
    <w:p w14:paraId="29C375AB" w14:textId="77777777" w:rsidR="00FD00AD" w:rsidRDefault="00430948" w:rsidP="00B57038">
      <w:pPr>
        <w:pStyle w:val="2rove"/>
      </w:pPr>
      <w:r w:rsidRPr="003D6A1A">
        <w:rPr>
          <w:b/>
        </w:rPr>
        <w:t>Nezpůsobilými výdaji</w:t>
      </w:r>
      <w:r>
        <w:t xml:space="preserve"> jsou zejména:</w:t>
      </w:r>
    </w:p>
    <w:p w14:paraId="4A85DABE" w14:textId="77777777" w:rsidR="003C6624" w:rsidRPr="002821F8" w:rsidRDefault="003C6624" w:rsidP="003C6624">
      <w:pPr>
        <w:pStyle w:val="3rove-trval"/>
        <w:numPr>
          <w:ilvl w:val="3"/>
          <w:numId w:val="27"/>
        </w:numPr>
      </w:pPr>
      <w:r w:rsidRPr="002821F8">
        <w:t>výdaje na publicitu Zlínského kraje</w:t>
      </w:r>
      <w:r>
        <w:t>,</w:t>
      </w:r>
    </w:p>
    <w:p w14:paraId="0C2578A7" w14:textId="77777777" w:rsidR="003C6624" w:rsidRPr="002821F8" w:rsidRDefault="003C6624" w:rsidP="003C6624">
      <w:pPr>
        <w:pStyle w:val="3rove-trval"/>
        <w:numPr>
          <w:ilvl w:val="3"/>
          <w:numId w:val="27"/>
        </w:numPr>
      </w:pPr>
      <w:r w:rsidRPr="002821F8">
        <w:t>výdaje na přípravné studie nebo jiné přípravné čin</w:t>
      </w:r>
      <w:r>
        <w:t>nosti včetně zpracování Žádosti,</w:t>
      </w:r>
    </w:p>
    <w:p w14:paraId="1492590A" w14:textId="77777777" w:rsidR="003C6624" w:rsidRPr="002821F8" w:rsidRDefault="003C6624" w:rsidP="003C6624">
      <w:pPr>
        <w:pStyle w:val="3rove-trval"/>
        <w:numPr>
          <w:ilvl w:val="3"/>
          <w:numId w:val="27"/>
        </w:numPr>
      </w:pPr>
      <w:r>
        <w:t>nákupy pozemků nebo budov,</w:t>
      </w:r>
    </w:p>
    <w:p w14:paraId="4D6E9B37" w14:textId="77777777" w:rsidR="003C6624" w:rsidRDefault="003C6624" w:rsidP="003C6624">
      <w:pPr>
        <w:pStyle w:val="3rove-trval"/>
        <w:numPr>
          <w:ilvl w:val="3"/>
          <w:numId w:val="27"/>
        </w:numPr>
      </w:pPr>
      <w:r>
        <w:t>stavební úpravy a opravy,</w:t>
      </w:r>
    </w:p>
    <w:p w14:paraId="27456ADE" w14:textId="77777777" w:rsidR="003C6624" w:rsidRPr="00E855EA" w:rsidRDefault="003C6624" w:rsidP="003C6624">
      <w:pPr>
        <w:pStyle w:val="3rove-trval"/>
        <w:numPr>
          <w:ilvl w:val="3"/>
          <w:numId w:val="27"/>
        </w:numPr>
      </w:pPr>
      <w:r>
        <w:t>spotřební materiál,</w:t>
      </w:r>
    </w:p>
    <w:p w14:paraId="2D2190FB" w14:textId="77777777" w:rsidR="003C6624" w:rsidRDefault="003C6624" w:rsidP="003C6624">
      <w:pPr>
        <w:pStyle w:val="3rove-trval"/>
        <w:numPr>
          <w:ilvl w:val="3"/>
          <w:numId w:val="27"/>
        </w:numPr>
      </w:pPr>
      <w:r w:rsidRPr="002821F8">
        <w:t>výdaje na propagaci a marketing příjemce</w:t>
      </w:r>
      <w:r>
        <w:t xml:space="preserve">, </w:t>
      </w:r>
    </w:p>
    <w:p w14:paraId="7BC3A7D9" w14:textId="77777777" w:rsidR="003C6624" w:rsidRDefault="003C6624" w:rsidP="003C6624">
      <w:pPr>
        <w:pStyle w:val="3rove-trval"/>
        <w:numPr>
          <w:ilvl w:val="3"/>
          <w:numId w:val="27"/>
        </w:numPr>
      </w:pPr>
      <w:r>
        <w:t>nájemné,</w:t>
      </w:r>
    </w:p>
    <w:p w14:paraId="1C0B38A7" w14:textId="77777777" w:rsidR="003C6624" w:rsidRDefault="003C6624" w:rsidP="003C6624">
      <w:pPr>
        <w:pStyle w:val="3rove-trval"/>
        <w:numPr>
          <w:ilvl w:val="3"/>
          <w:numId w:val="27"/>
        </w:numPr>
      </w:pPr>
      <w:r>
        <w:t>nákup vody, paliv, energie,</w:t>
      </w:r>
    </w:p>
    <w:p w14:paraId="75892C37" w14:textId="77777777" w:rsidR="003C6624" w:rsidRDefault="003C6624" w:rsidP="003C6624">
      <w:pPr>
        <w:pStyle w:val="3rove-trval"/>
        <w:numPr>
          <w:ilvl w:val="3"/>
          <w:numId w:val="27"/>
        </w:numPr>
      </w:pPr>
      <w:r>
        <w:t>zpracování dat a služby souvisejících s informačními a komunikačními technologiemi,</w:t>
      </w:r>
    </w:p>
    <w:p w14:paraId="2A723A1C" w14:textId="77777777" w:rsidR="003C6624" w:rsidRDefault="003C6624" w:rsidP="003C6624">
      <w:pPr>
        <w:pStyle w:val="3rove-trval"/>
        <w:numPr>
          <w:ilvl w:val="3"/>
          <w:numId w:val="27"/>
        </w:numPr>
      </w:pPr>
      <w:r>
        <w:t>knihy, učební pomůcky, tiskoviny,</w:t>
      </w:r>
    </w:p>
    <w:p w14:paraId="7B2C0F06" w14:textId="77777777" w:rsidR="003C6624" w:rsidRPr="00CE5732" w:rsidRDefault="003C6624" w:rsidP="003C6624">
      <w:pPr>
        <w:pStyle w:val="3rove-trval"/>
        <w:numPr>
          <w:ilvl w:val="3"/>
          <w:numId w:val="27"/>
        </w:numPr>
      </w:pPr>
      <w:r w:rsidRPr="00CE5732">
        <w:t>hračky, textilie, nádobí,</w:t>
      </w:r>
    </w:p>
    <w:p w14:paraId="644944A0" w14:textId="77777777" w:rsidR="003C6624" w:rsidRDefault="003C6624" w:rsidP="003C6624">
      <w:pPr>
        <w:pStyle w:val="3rove-trval"/>
        <w:numPr>
          <w:ilvl w:val="3"/>
          <w:numId w:val="27"/>
        </w:numPr>
      </w:pPr>
      <w:r>
        <w:t>léky a zdravotnický materiál,</w:t>
      </w:r>
    </w:p>
    <w:p w14:paraId="69DA9A3F" w14:textId="77777777" w:rsidR="003C6624" w:rsidRDefault="003C6624" w:rsidP="003C6624">
      <w:pPr>
        <w:pStyle w:val="3rove-trval"/>
        <w:numPr>
          <w:ilvl w:val="3"/>
          <w:numId w:val="27"/>
        </w:numPr>
      </w:pPr>
      <w:r>
        <w:t>prádlo, oděv a obuv,</w:t>
      </w:r>
    </w:p>
    <w:p w14:paraId="025C40DA" w14:textId="77777777" w:rsidR="003C6624" w:rsidRDefault="003C6624" w:rsidP="003C6624">
      <w:pPr>
        <w:pStyle w:val="3rove-trval"/>
        <w:numPr>
          <w:ilvl w:val="3"/>
          <w:numId w:val="27"/>
        </w:numPr>
      </w:pPr>
      <w:r>
        <w:t xml:space="preserve">konzultační, poradenské a právní služby, </w:t>
      </w:r>
    </w:p>
    <w:p w14:paraId="28309622" w14:textId="77777777" w:rsidR="003C6624" w:rsidRDefault="003C6624" w:rsidP="003C6624">
      <w:pPr>
        <w:pStyle w:val="3rove-trval"/>
        <w:numPr>
          <w:ilvl w:val="3"/>
          <w:numId w:val="27"/>
        </w:numPr>
      </w:pPr>
      <w:r>
        <w:t xml:space="preserve">další služby související s vybavením ambulance mimo dopravy, montáže a uvedení do provozu, případně zaškolení, </w:t>
      </w:r>
    </w:p>
    <w:p w14:paraId="6AFC4CE6" w14:textId="77777777" w:rsidR="003C6624" w:rsidRPr="002821F8" w:rsidRDefault="003C6624" w:rsidP="003C6624">
      <w:pPr>
        <w:pStyle w:val="3rove-trval"/>
        <w:numPr>
          <w:ilvl w:val="3"/>
          <w:numId w:val="27"/>
        </w:numPr>
      </w:pPr>
      <w:r>
        <w:t>rozhlasové a televizní poplatky a odměny za užití duševního vlastnictví.</w:t>
      </w:r>
    </w:p>
    <w:p w14:paraId="6C1F0D63" w14:textId="77777777" w:rsidR="00EF3631" w:rsidRDefault="00B24D28" w:rsidP="00E82920">
      <w:pPr>
        <w:pStyle w:val="2rove"/>
        <w:spacing w:line="276" w:lineRule="auto"/>
      </w:pPr>
      <w:r w:rsidRPr="00A103DD">
        <w:t xml:space="preserve">Příjemce je povinen </w:t>
      </w:r>
      <w:r w:rsidR="003B7019">
        <w:t xml:space="preserve">v době realizace </w:t>
      </w:r>
      <w:r w:rsidRPr="00A103DD">
        <w:t>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1633E8">
        <w:rPr>
          <w:b/>
        </w:rPr>
        <w:t>Dotace ZK</w:t>
      </w:r>
      <w:r w:rsidRPr="00A103DD">
        <w:t xml:space="preserve">“ (označeny musí být již originály dokladů). Příjemce je povinen umožnit poskytovateli na základě jeho požadavku provedení kontroly všech prvotních účetních dokladů za účelem prověření předloženého vyúčtování projektu. </w:t>
      </w:r>
      <w:r w:rsidR="003A399C">
        <w:t>Poskytovatel</w:t>
      </w:r>
      <w:r w:rsidRPr="00A103DD">
        <w:t xml:space="preserve"> bude vykonávat u příjemce kontrolu vyplývající ze zákona č.</w:t>
      </w:r>
      <w:r w:rsidR="008E03AA">
        <w:t> </w:t>
      </w:r>
      <w:r w:rsidRPr="00A103DD">
        <w:t>320/2001 Sb., o finanční kontrole, ve znění pozdějších předpisů</w:t>
      </w:r>
      <w:r>
        <w:t>.</w:t>
      </w:r>
    </w:p>
    <w:p w14:paraId="7E51764A" w14:textId="77777777" w:rsidR="00B24D28" w:rsidRDefault="00B24D28" w:rsidP="00E82920">
      <w:pPr>
        <w:pStyle w:val="2rove"/>
        <w:spacing w:line="276" w:lineRule="auto"/>
      </w:pPr>
      <w:r w:rsidRPr="00A103DD">
        <w:t>Ustanovení o dani z přidané hodnoty</w:t>
      </w:r>
      <w:r>
        <w:t xml:space="preserve"> (dále jen „</w:t>
      </w:r>
      <w:r w:rsidRPr="001633E8">
        <w:rPr>
          <w:b/>
        </w:rPr>
        <w:t>DPH</w:t>
      </w:r>
      <w:r>
        <w:t>“)</w:t>
      </w:r>
      <w:r w:rsidRPr="00A103DD">
        <w:t xml:space="preserve"> dle zákona č. 235/2004 </w:t>
      </w:r>
      <w:r w:rsidR="004B6331">
        <w:t>Sb., o dani z</w:t>
      </w:r>
      <w:r w:rsidR="006E3B58">
        <w:t> </w:t>
      </w:r>
      <w:r w:rsidR="004B6331">
        <w:t>přidané hodnoty, ve znění pozdějších předpisů (dále jen „</w:t>
      </w:r>
      <w:r w:rsidR="004B6331" w:rsidRPr="001633E8">
        <w:rPr>
          <w:b/>
        </w:rPr>
        <w:t>zákon o DPH</w:t>
      </w:r>
      <w:r w:rsidR="004B6331">
        <w:t>“)</w:t>
      </w:r>
      <w:r>
        <w:t>:</w:t>
      </w:r>
    </w:p>
    <w:p w14:paraId="1633E14F" w14:textId="77777777" w:rsidR="00B24D28" w:rsidRPr="008E5BB6" w:rsidRDefault="00B24D28" w:rsidP="00765E8A">
      <w:pPr>
        <w:pStyle w:val="3rove-trval"/>
      </w:pPr>
      <w:r w:rsidRPr="008E5BB6">
        <w:t xml:space="preserve">DPH je pro příjemce </w:t>
      </w:r>
      <w:r w:rsidRPr="00765E8A">
        <w:t>způsobilým</w:t>
      </w:r>
      <w:r w:rsidRPr="008E5BB6">
        <w:t xml:space="preserve"> výdajem, pokud příjemce není plátcem DPH nebo příjemci nevzniká nárok na odpočet DPH;</w:t>
      </w:r>
    </w:p>
    <w:p w14:paraId="5F5740E1" w14:textId="77777777" w:rsidR="00B24D28" w:rsidRPr="008E5BB6" w:rsidRDefault="00B24D28" w:rsidP="008E5BB6">
      <w:pPr>
        <w:pStyle w:val="3rove-trval"/>
      </w:pPr>
      <w:r w:rsidRPr="008E5BB6">
        <w:t>v případě, že výdaje projektu jsou způsobilými výdaji pouze z části, pak je DPH způsobilým výdajem ze stejné části;</w:t>
      </w:r>
    </w:p>
    <w:p w14:paraId="3160E5E2" w14:textId="77777777" w:rsidR="00B24D28" w:rsidRDefault="00B24D28" w:rsidP="008E5BB6">
      <w:pPr>
        <w:pStyle w:val="3rove-trval"/>
      </w:pPr>
      <w:r>
        <w:t>p</w:t>
      </w:r>
      <w:r w:rsidRPr="00A103DD">
        <w:t>okud má příjemce nárok na odpočet v poměrné části nebo dle koeficientu, bude způsobilým výdajem část oprávněně neuplatněné DPH</w:t>
      </w:r>
      <w:r>
        <w:t>;</w:t>
      </w:r>
    </w:p>
    <w:p w14:paraId="6D5FE963" w14:textId="77777777" w:rsidR="00B24D28" w:rsidRDefault="00B24D28" w:rsidP="008E5BB6">
      <w:pPr>
        <w:pStyle w:val="3rove-trval"/>
      </w:pPr>
      <w:r>
        <w:lastRenderedPageBreak/>
        <w:t>v</w:t>
      </w:r>
      <w:r w:rsidRPr="00A103DD">
        <w:t> případě, že před předložením Závěrečné zprávy dojde ke změně nároku na odpočet, musí příjemce tuto skutečnost promítnout do Závěrečné zprávy. Způsobilým výdajem je pak pouze oprávněně neuplatněná DPH</w:t>
      </w:r>
      <w:r>
        <w:t>;</w:t>
      </w:r>
    </w:p>
    <w:p w14:paraId="13897673" w14:textId="77777777" w:rsidR="00B24D28" w:rsidRDefault="00B24D28" w:rsidP="008E5BB6">
      <w:pPr>
        <w:pStyle w:val="3rove-trval"/>
      </w:pPr>
      <w:r>
        <w:t>p</w:t>
      </w:r>
      <w:r w:rsidRPr="00A103DD">
        <w:t>okud příjemce není plátcem DPH, ale stane se jím po předložení Závěrečné zprávy, a</w:t>
      </w:r>
      <w:r w:rsidR="006E3B58">
        <w:t> </w:t>
      </w:r>
      <w:r w:rsidRPr="00A103DD">
        <w:t>vznikne mu ve vztahu ke způsobilým výdajům projektu nárok na uplatnění odpočtu DPH, je povinen tuto skutečnost neprodleně oznámit poskytovateli a do 30 dnů od podání přiznání k DPH, v němž si nárokuje odpočet, částku DPH vrátit na účet poskytovatele</w:t>
      </w:r>
      <w:r>
        <w:t>;</w:t>
      </w:r>
    </w:p>
    <w:p w14:paraId="1B91DA71" w14:textId="77777777" w:rsidR="00B24D28" w:rsidRDefault="00B24D28" w:rsidP="008E5BB6">
      <w:pPr>
        <w:pStyle w:val="3rove-trval"/>
      </w:pPr>
      <w:r>
        <w:t>j</w:t>
      </w:r>
      <w:r w:rsidRPr="00A103DD">
        <w:t>estliže se příjemce stane plátcem DPH v</w:t>
      </w:r>
      <w:r w:rsidR="003042E9">
        <w:t> </w:t>
      </w:r>
      <w:r w:rsidRPr="00A103DD">
        <w:t>průběhu</w:t>
      </w:r>
      <w:r w:rsidR="003042E9">
        <w:t xml:space="preserve"> doby</w:t>
      </w:r>
      <w:r w:rsidRPr="00A103DD">
        <w:t xml:space="preserve"> realizace, je povinen tuto skutečnost</w:t>
      </w:r>
      <w:r w:rsidR="00A75A68">
        <w:t xml:space="preserve"> </w:t>
      </w:r>
      <w:r w:rsidR="000B11E0">
        <w:t xml:space="preserve">nejpozději se závěrečnou zprávou </w:t>
      </w:r>
      <w:r w:rsidR="00760945">
        <w:t xml:space="preserve">oznámit </w:t>
      </w:r>
      <w:r w:rsidR="00A75A68">
        <w:t>poskytovateli</w:t>
      </w:r>
      <w:r>
        <w:t>;</w:t>
      </w:r>
    </w:p>
    <w:p w14:paraId="4575F186" w14:textId="77777777" w:rsidR="00B24D28" w:rsidRDefault="00B24D28" w:rsidP="008E5BB6">
      <w:pPr>
        <w:pStyle w:val="3rove-trval"/>
      </w:pPr>
      <w:r>
        <w:t>v</w:t>
      </w:r>
      <w:r w:rsidRPr="00A103DD">
        <w:t xml:space="preserve"> případech, kdy je příjemce plátcem DPH a dotace bude použita v rámci ekonomické činnosti pro úhradu výdaje z titulu plnění, pro které je plátce povinen použít režim přenesení daňové povinnosti dle zákona </w:t>
      </w:r>
      <w:r w:rsidR="004B6331">
        <w:t>o DPH</w:t>
      </w:r>
      <w:r w:rsidRPr="00A103DD">
        <w:t xml:space="preserve">, a </w:t>
      </w:r>
      <w:r w:rsidR="0058284A">
        <w:t>DPH</w:t>
      </w:r>
      <w:r w:rsidRPr="00A103DD">
        <w:t xml:space="preserve"> je způsobilým výdajem,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8BF7EAA" w14:textId="77777777" w:rsidR="00B64E1E" w:rsidRDefault="00CD2C76" w:rsidP="00496893">
      <w:pPr>
        <w:pStyle w:val="2rove"/>
        <w:spacing w:line="276" w:lineRule="auto"/>
      </w:pPr>
      <w:r w:rsidRPr="00AC7A82">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7C48C5B4" w14:textId="7C0A5577" w:rsidR="000A2D19" w:rsidRDefault="000A2D19" w:rsidP="00496893">
      <w:pPr>
        <w:pStyle w:val="2rove"/>
        <w:spacing w:line="276" w:lineRule="auto"/>
      </w:pPr>
      <w:r w:rsidRPr="00AC7A82">
        <w:t>Příjemce je povinen do 15 dnů oznámit poskytovateli vstup právnické osoby do likvidace, zahájení insolvenčního řízení, exekučního řízení, či řízení o výkonu rozhodnutí</w:t>
      </w:r>
      <w:r>
        <w:t>.</w:t>
      </w:r>
    </w:p>
    <w:p w14:paraId="3B2618B5" w14:textId="53C322AB" w:rsidR="00FC2E44" w:rsidRDefault="00A233FD" w:rsidP="00E86D26">
      <w:pPr>
        <w:pStyle w:val="2rove"/>
        <w:spacing w:after="0" w:line="276" w:lineRule="auto"/>
      </w:pPr>
      <w:r>
        <w:t>Příjemce je dále povinen:</w:t>
      </w:r>
    </w:p>
    <w:p w14:paraId="3F8EB5B7" w14:textId="77777777" w:rsidR="00A233FD" w:rsidRDefault="00A233FD" w:rsidP="004C3F28">
      <w:pPr>
        <w:pStyle w:val="3rove-trval"/>
      </w:pPr>
      <w:r>
        <w:t>zajistit, aby všechny údaje, které uvádí poskytovateli, byly vždy úplné a pravdivé,</w:t>
      </w:r>
    </w:p>
    <w:p w14:paraId="60DDFEC7" w14:textId="77777777" w:rsidR="00A233FD" w:rsidRDefault="00A233FD" w:rsidP="004C3F28">
      <w:pPr>
        <w:pStyle w:val="3rove-trval"/>
      </w:pPr>
      <w:r>
        <w:t xml:space="preserve">zabezpečit archivaci veškeré dokumentace k projektu včetně účetnictví o projektu po dobu 10 let </w:t>
      </w:r>
      <w:r w:rsidR="00EC5183">
        <w:t xml:space="preserve">ode dne </w:t>
      </w:r>
      <w:r w:rsidR="00EC5183" w:rsidRPr="00B007CA">
        <w:t xml:space="preserve">ukončení doby realizace </w:t>
      </w:r>
      <w:r w:rsidR="003C6624">
        <w:t>Programu, tj. do konce roku 2037</w:t>
      </w:r>
      <w:r>
        <w:t>,</w:t>
      </w:r>
    </w:p>
    <w:p w14:paraId="3F83F534" w14:textId="77777777" w:rsidR="00A233FD" w:rsidRDefault="00A233FD" w:rsidP="005A3060">
      <w:pPr>
        <w:pStyle w:val="3rove-trval"/>
      </w:pPr>
      <w:r>
        <w:t xml:space="preserve">dohodnout s dodavateli v rámci projektu fakturační podmínky tak, aby byla doložena </w:t>
      </w:r>
      <w:r w:rsidRPr="005A3060">
        <w:t>účelovost</w:t>
      </w:r>
      <w:r>
        <w:t xml:space="preserve"> faktur včetně specifikace jednotlivých výdajů,</w:t>
      </w:r>
    </w:p>
    <w:p w14:paraId="4462AEB9" w14:textId="77777777" w:rsidR="00A233FD" w:rsidRDefault="00A233FD" w:rsidP="005A3060">
      <w:pPr>
        <w:pStyle w:val="3rove-trval"/>
      </w:pPr>
      <w:r w:rsidRPr="005A3060">
        <w:t>nezcizit majetek pořízený na základě této dotace (movité i nemovité věci) nejméně po dobu</w:t>
      </w:r>
      <w:r w:rsidR="006E3B58" w:rsidRPr="005A3060">
        <w:t> </w:t>
      </w:r>
      <w:r w:rsidR="003C6624">
        <w:t>15</w:t>
      </w:r>
      <w:r w:rsidRPr="005A3060">
        <w:t xml:space="preserve"> let ode dne jeho pořízení </w:t>
      </w:r>
      <w:r w:rsidR="00EC5183">
        <w:t xml:space="preserve">nebo </w:t>
      </w:r>
      <w:r w:rsidRPr="005A3060">
        <w:t>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w:t>
      </w:r>
      <w:r w:rsidR="006E3B58" w:rsidRPr="005A3060">
        <w:t> </w:t>
      </w:r>
      <w:r w:rsidRPr="005A3060">
        <w:t>nezatěžovat takový majetek žádnými věcnými právy třetích</w:t>
      </w:r>
      <w:r w:rsidR="00D865B0">
        <w:t xml:space="preserve"> osob, včetně zástavního práva,</w:t>
      </w:r>
    </w:p>
    <w:p w14:paraId="18D5B917" w14:textId="30A611C1" w:rsidR="00D865B0" w:rsidRPr="005A3060" w:rsidRDefault="00D865B0" w:rsidP="005A3060">
      <w:pPr>
        <w:pStyle w:val="3rove-trval"/>
      </w:pPr>
      <w:r>
        <w:t xml:space="preserve">podílet se na zajištění lékařské pohotovostní služby ve Zlínském kraji v průběhu realizace projektu a jeho udržitelnosti. </w:t>
      </w:r>
    </w:p>
    <w:p w14:paraId="5E7A82B2" w14:textId="06F42D93" w:rsidR="00FA2799" w:rsidRDefault="00A233FD" w:rsidP="00FA2799">
      <w:pPr>
        <w:pStyle w:val="2rove"/>
        <w:spacing w:line="276" w:lineRule="auto"/>
      </w:pPr>
      <w:r>
        <w:t>Příjemce bere na vědomí, že dotace poskytnutá dle této smlouvy je</w:t>
      </w:r>
      <w:r w:rsidR="00FA2799">
        <w:t xml:space="preserve"> </w:t>
      </w:r>
      <w:r w:rsidR="00FA2799" w:rsidRPr="00FA2799">
        <w:rPr>
          <w:b/>
        </w:rPr>
        <w:t>podporou de minimis</w:t>
      </w:r>
      <w:r w:rsidR="00FA2799">
        <w:t xml:space="preserve"> ve smyslu</w:t>
      </w:r>
      <w:r w:rsidR="00FA2799" w:rsidRPr="00A233FD">
        <w:t xml:space="preserve"> </w:t>
      </w:r>
      <w:r w:rsidR="00FA2799" w:rsidRPr="00395E26">
        <w:t>Nařízení Komise (EU) 2023/2831 ze dne 13. prosince 2023 o použití článků 107 a 108 Smlouvy o fungování Evropské unie na podporu de minimis.</w:t>
      </w:r>
      <w:r w:rsidR="00FA2799" w:rsidRPr="0099201B">
        <w:t xml:space="preserve"> V souvislosti s</w:t>
      </w:r>
      <w:r w:rsidR="00FA2799">
        <w:t> </w:t>
      </w:r>
      <w:r w:rsidR="00FA2799" w:rsidRPr="0099201B">
        <w:t>podporou de minimis se příjemce zavazuje, že v případě, že v období tří let od nabytí účinnosti této smlouvy dojde k jeho rozdělení na dva či více samostatné podniky, respektive v případě</w:t>
      </w:r>
      <w:r w:rsidR="00FA2799">
        <w:t xml:space="preserve"> jeho sloučení s jiným podnikem nebo </w:t>
      </w:r>
      <w:r w:rsidR="00FA2799" w:rsidRPr="0099201B">
        <w:t xml:space="preserve">převodu jmění podniku na společníka, je povinen </w:t>
      </w:r>
      <w:r w:rsidR="00FA2799">
        <w:t>do 15 dnů</w:t>
      </w:r>
      <w:r w:rsidR="00FA2799" w:rsidRPr="0099201B">
        <w:t xml:space="preserve"> písemně informovat poskytovatele o této skutečnosti a</w:t>
      </w:r>
      <w:r w:rsidR="00FA2799">
        <w:t> </w:t>
      </w:r>
      <w:r w:rsidR="00FA2799" w:rsidRPr="0099201B">
        <w:t xml:space="preserve">poskytnout mu informace nezbytné pro úpravu záznamu podpory de minimis poskytnuté dle této smlouvy v centrálním registru podpor malého rozsahu. </w:t>
      </w:r>
    </w:p>
    <w:p w14:paraId="5DD0CDA5" w14:textId="77777777" w:rsidR="00CB78A2" w:rsidRDefault="00703656" w:rsidP="00E82920">
      <w:pPr>
        <w:pStyle w:val="Nadpis1"/>
        <w:spacing w:line="276" w:lineRule="auto"/>
      </w:pPr>
      <w:r>
        <w:t>Povinnosti příjemce při zajišťování publicity poskytovatele</w:t>
      </w:r>
    </w:p>
    <w:p w14:paraId="2E6E13E6" w14:textId="77777777" w:rsidR="00703656" w:rsidRDefault="00703656" w:rsidP="00E82920">
      <w:pPr>
        <w:pStyle w:val="2rove"/>
        <w:spacing w:line="276" w:lineRule="auto"/>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4FFE3A0B" w14:textId="77777777" w:rsidR="00703656" w:rsidRDefault="00703656" w:rsidP="00E82920">
      <w:pPr>
        <w:pStyle w:val="2rove"/>
        <w:spacing w:line="276" w:lineRule="auto"/>
      </w:pPr>
      <w:r>
        <w:t xml:space="preserve">Přijetím </w:t>
      </w:r>
      <w:r w:rsidRPr="00703656">
        <w:t>finančních prostředků z rozpočtu Zlínského kraje dává příjemce souhlas se zveřejněním údajů o aktivitě financované z rozpočtu Zlínského kraje</w:t>
      </w:r>
      <w:r>
        <w:t>.</w:t>
      </w:r>
    </w:p>
    <w:p w14:paraId="67058984" w14:textId="77777777" w:rsidR="00703656" w:rsidRDefault="00703656" w:rsidP="00E82920">
      <w:pPr>
        <w:pStyle w:val="2rove"/>
        <w:spacing w:line="276" w:lineRule="auto"/>
      </w:pPr>
      <w:r>
        <w:lastRenderedPageBreak/>
        <w:t xml:space="preserve">Přijetím </w:t>
      </w:r>
      <w:r w:rsidRPr="00703656">
        <w:t xml:space="preserve">finančních prostředků z rozpočtu Zlínského kraje získává příjemce souhlas s užitím loga Zlínského kraje, které je k dispozici na </w:t>
      </w:r>
      <w:r w:rsidR="00595EDB">
        <w:t xml:space="preserve">adrese </w:t>
      </w:r>
      <w:r w:rsidR="007D3606" w:rsidRPr="007D3606">
        <w:rPr>
          <w:rFonts w:cs="Arial"/>
          <w:szCs w:val="20"/>
        </w:rPr>
        <w:t>https://zlinskykraj.cz/logo-zlinskeho-kraje</w:t>
      </w:r>
      <w:r w:rsidRPr="00703656">
        <w:t>. Logo bude umístěno na všech dokumentech souvisejících s realizací projektu, které budou propagovat aktivitu financovanou z rozpočtu Zlínského kraje</w:t>
      </w:r>
      <w:r>
        <w:t xml:space="preserve">. </w:t>
      </w:r>
    </w:p>
    <w:p w14:paraId="5A797EC5" w14:textId="77777777" w:rsidR="00703656" w:rsidRDefault="00C92705" w:rsidP="00E82920">
      <w:pPr>
        <w:pStyle w:val="2rove"/>
        <w:spacing w:line="276" w:lineRule="auto"/>
      </w:pPr>
      <w:r>
        <w:t>Příjemce je povinen opatřit veškeré dokumenty související s realizací projektu (tiskové zprávy, plakáty, letáky, brožury, webové stránky</w:t>
      </w:r>
      <w:r w:rsidR="00376A53">
        <w:t>, prezentace</w:t>
      </w:r>
      <w:r>
        <w:t xml:space="preserve"> apod.) logem Zlínského kraje a/nebo formulací: „Název akce“ je financována/spolufinancována Zlínským krajem.</w:t>
      </w:r>
    </w:p>
    <w:p w14:paraId="0201220A" w14:textId="77777777" w:rsidR="00C92705" w:rsidRDefault="00C92705" w:rsidP="003C6624">
      <w:pPr>
        <w:pStyle w:val="2rove"/>
        <w:spacing w:line="276" w:lineRule="auto"/>
      </w:pPr>
      <w:r>
        <w:t xml:space="preserve">Příjemce je dále povinen prezentovat poskytovatele s využitím alespoň 1 prostředku komunikace, který doloží v Závěrečné </w:t>
      </w:r>
      <w:r w:rsidR="00FB265A">
        <w:t>zprávě:</w:t>
      </w:r>
    </w:p>
    <w:p w14:paraId="00837E47" w14:textId="77777777" w:rsidR="000228C3" w:rsidRDefault="000228C3" w:rsidP="004C3F28">
      <w:pPr>
        <w:pStyle w:val="3rove-trval"/>
      </w:pPr>
      <w:r w:rsidRPr="00A960B0">
        <w:t>informační tabule (nástěnky, apod.), (doloží se kopií informace, která byla uveřejněna s uvedením doby uveřejnění)</w:t>
      </w:r>
      <w:r w:rsidR="003C6624">
        <w:t>.</w:t>
      </w:r>
    </w:p>
    <w:p w14:paraId="4F901674" w14:textId="77777777" w:rsidR="00CB78A2" w:rsidRDefault="00357941" w:rsidP="00E82920">
      <w:pPr>
        <w:pStyle w:val="Nadpis1"/>
        <w:spacing w:line="276" w:lineRule="auto"/>
      </w:pPr>
      <w:r>
        <w:t>Sankce</w:t>
      </w:r>
    </w:p>
    <w:p w14:paraId="65BA3481" w14:textId="77777777" w:rsidR="00D64AB1" w:rsidRDefault="00D64AB1" w:rsidP="00E82920">
      <w:pPr>
        <w:pStyle w:val="2rove"/>
        <w:spacing w:line="276" w:lineRule="auto"/>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w:t>
      </w:r>
      <w:r w:rsidR="001E22BF" w:rsidRPr="001633E8">
        <w:rPr>
          <w:b/>
        </w:rPr>
        <w:t>zákon o rozpočtových pravidlech územních rozpočtů</w:t>
      </w:r>
      <w:r w:rsidR="001E22BF">
        <w:t>“)</w:t>
      </w:r>
      <w:r>
        <w:t>.</w:t>
      </w:r>
    </w:p>
    <w:p w14:paraId="337D13D4" w14:textId="77777777" w:rsidR="002D215A" w:rsidRPr="00C61735" w:rsidRDefault="002D215A" w:rsidP="00B60582">
      <w:pPr>
        <w:pStyle w:val="2rove"/>
        <w:spacing w:line="276" w:lineRule="auto"/>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606E731F" w14:textId="77777777" w:rsidR="002D215A" w:rsidRDefault="002D215A" w:rsidP="004C3F28">
      <w:pPr>
        <w:pStyle w:val="3rove-trval"/>
      </w:pPr>
      <w:r>
        <w:t>příjemce nedodrží účel dotace,</w:t>
      </w:r>
    </w:p>
    <w:p w14:paraId="08435491" w14:textId="77777777" w:rsidR="002D215A" w:rsidRPr="00D11E31" w:rsidRDefault="002D215A" w:rsidP="004C3F28">
      <w:pPr>
        <w:pStyle w:val="3rove-trval"/>
      </w:pPr>
      <w:r w:rsidRPr="00D11E31">
        <w:t xml:space="preserve">příjemce </w:t>
      </w:r>
      <w:r>
        <w:t xml:space="preserve">vůbec </w:t>
      </w:r>
      <w:r w:rsidRPr="00D11E31">
        <w:t>nedoloží úhrady výdajů,</w:t>
      </w:r>
    </w:p>
    <w:p w14:paraId="1A0FEC29" w14:textId="77777777" w:rsidR="002D215A" w:rsidRPr="00D11E31" w:rsidRDefault="002D215A" w:rsidP="004C3F28">
      <w:pPr>
        <w:pStyle w:val="3rove-trval"/>
      </w:pPr>
      <w:r w:rsidRPr="00D11E31">
        <w:t>dojde k podstatnému nenaplnění monit</w:t>
      </w:r>
      <w:r>
        <w:t>orovacího indikátoru dle čl. 3.</w:t>
      </w:r>
      <w:r w:rsidR="00EB1154">
        <w:t>2</w:t>
      </w:r>
      <w:r w:rsidR="003C6624">
        <w:t>,</w:t>
      </w:r>
    </w:p>
    <w:p w14:paraId="6FE39E2F" w14:textId="77777777" w:rsidR="002D215A" w:rsidRPr="00D11E31" w:rsidRDefault="002D215A" w:rsidP="004C3F28">
      <w:pPr>
        <w:pStyle w:val="3rove-trval"/>
      </w:pPr>
      <w:r w:rsidRPr="00D11E31">
        <w:t>příjemce nepředloží Závěrečnou zprávu ani ve lhůtě 30 pracovních dní po uplynutí lhůty dle čl. 4.4,</w:t>
      </w:r>
    </w:p>
    <w:p w14:paraId="0A38613F" w14:textId="77777777" w:rsidR="002D215A" w:rsidRDefault="002D215A" w:rsidP="004C3F28">
      <w:pPr>
        <w:pStyle w:val="3rove-trval"/>
      </w:pPr>
      <w:r w:rsidRPr="00D11E31">
        <w:t>příjemce poruší povinnost dle čl. 5.7 nebo 5.8,</w:t>
      </w:r>
    </w:p>
    <w:p w14:paraId="2FF75E37" w14:textId="77777777" w:rsidR="002D215A" w:rsidRPr="00B60582" w:rsidRDefault="002D215A" w:rsidP="004C3F28">
      <w:pPr>
        <w:pStyle w:val="3rove-trval"/>
      </w:pPr>
      <w:r>
        <w:t xml:space="preserve"> </w:t>
      </w:r>
      <w:r w:rsidRPr="00D11E31">
        <w:t>příjemce poruší pravidla veřejné podpory dle čl. 5.9.</w:t>
      </w:r>
    </w:p>
    <w:p w14:paraId="3FE643E4" w14:textId="77777777" w:rsidR="00B60582" w:rsidRPr="00D11E31" w:rsidRDefault="00B60582" w:rsidP="00B60582">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7FC7487B" w14:textId="77777777" w:rsidR="002D215A" w:rsidRDefault="002D215A" w:rsidP="004C3F28">
      <w:pPr>
        <w:pStyle w:val="3rove-trval"/>
        <w:rPr>
          <w:i/>
        </w:rPr>
      </w:pPr>
      <w:r>
        <w:t xml:space="preserve">příjemce neodstraní nedostatky v předložené </w:t>
      </w:r>
      <w:r w:rsidR="00595EDB">
        <w:t xml:space="preserve">závěrečné </w:t>
      </w:r>
      <w:r>
        <w:t>zprávě ani v náhradní lhůtě dle čl. 4.6, výše odvodu se v tomto případě rovná výši neoprávněně použitých nebo zadržených peněžních prostředků,</w:t>
      </w:r>
    </w:p>
    <w:p w14:paraId="1B34A1E7" w14:textId="77777777" w:rsidR="002D215A" w:rsidRPr="00C61735" w:rsidRDefault="00BB6D13" w:rsidP="004C3F28">
      <w:pPr>
        <w:pStyle w:val="3rove-trval"/>
      </w:pPr>
      <w:r>
        <w:t xml:space="preserve">příjemce v rozporu s čl. 5.2 uhradí výdaje později než ve lhůtě stanovené pro předložení závěrečné zprávy. Za toto porušení bude příjemci uložen odvod ve výši takto opožděně uhrazené částky způsobilých výdajů. </w:t>
      </w:r>
    </w:p>
    <w:p w14:paraId="4D33E146" w14:textId="77777777" w:rsidR="00357941" w:rsidRDefault="00357941" w:rsidP="00D11E31">
      <w:pPr>
        <w:pStyle w:val="2rove"/>
        <w:spacing w:line="276" w:lineRule="auto"/>
      </w:pPr>
      <w:r>
        <w:t>O</w:t>
      </w:r>
      <w:r w:rsidR="00077168">
        <w:t xml:space="preserve"> </w:t>
      </w:r>
      <w:r w:rsidR="00077168" w:rsidRPr="00B43670">
        <w:rPr>
          <w:b/>
        </w:rPr>
        <w:t>méně závažné</w:t>
      </w:r>
      <w:r w:rsidRPr="00B43670">
        <w:rPr>
          <w:b/>
        </w:rPr>
        <w:t xml:space="preserve"> porušení</w:t>
      </w:r>
      <w:r>
        <w:t xml:space="preserve"> rozpočtové kázně dle § 22 zákona </w:t>
      </w:r>
      <w:r w:rsidR="001E22BF">
        <w:t>o rozpočtových pravidlech územních rozpočtů</w:t>
      </w:r>
      <w:r>
        <w:t xml:space="preserve">, za které bude příjemci uložen snížený </w:t>
      </w:r>
      <w:r w:rsidRPr="00B43670">
        <w:rPr>
          <w:b/>
        </w:rPr>
        <w:t xml:space="preserve">odvod ve výši </w:t>
      </w:r>
      <w:r w:rsidR="008D0B91" w:rsidRPr="00B43670">
        <w:rPr>
          <w:b/>
        </w:rPr>
        <w:t>5</w:t>
      </w:r>
      <w:r w:rsidRPr="00B43670">
        <w:rPr>
          <w:b/>
        </w:rPr>
        <w:t xml:space="preserve"> %</w:t>
      </w:r>
      <w:r>
        <w:t xml:space="preserve"> z poskytnuté dotace</w:t>
      </w:r>
      <w:r w:rsidR="008D0B91">
        <w:t>,</w:t>
      </w:r>
      <w:r w:rsidR="00077168">
        <w:t xml:space="preserve"> se jedná v případě, kdy</w:t>
      </w:r>
      <w:r>
        <w:t>:</w:t>
      </w:r>
    </w:p>
    <w:p w14:paraId="5A5629C6" w14:textId="77777777" w:rsidR="008D0B91" w:rsidRDefault="00485683" w:rsidP="004C3F28">
      <w:pPr>
        <w:pStyle w:val="3rove-trval"/>
      </w:pPr>
      <w:r>
        <w:t xml:space="preserve">příjemce předloží Závěrečnou zprávu </w:t>
      </w:r>
      <w:r w:rsidR="004D67D0">
        <w:t xml:space="preserve">ve lhůtě </w:t>
      </w:r>
      <w:r w:rsidR="009954FF">
        <w:t xml:space="preserve">do </w:t>
      </w:r>
      <w:r w:rsidR="004D67D0">
        <w:t>30 pracovních dní po uplynutí lhůty dle čl. 4.4</w:t>
      </w:r>
      <w:r w:rsidR="008D0B91">
        <w:t>,</w:t>
      </w:r>
    </w:p>
    <w:p w14:paraId="368D679F" w14:textId="77777777" w:rsidR="00485683" w:rsidRDefault="008D0B91" w:rsidP="004C3F28">
      <w:pPr>
        <w:pStyle w:val="3rove-trval"/>
      </w:pPr>
      <w:r>
        <w:t>příjemce poruší povinnosti dle čl. 6</w:t>
      </w:r>
      <w:r w:rsidR="00126170">
        <w:t>.</w:t>
      </w:r>
    </w:p>
    <w:p w14:paraId="69CD1EAB" w14:textId="77777777" w:rsidR="004D7E38" w:rsidRDefault="004D7E38" w:rsidP="00D11E31">
      <w:pPr>
        <w:pStyle w:val="2rove"/>
      </w:pPr>
      <w:r>
        <w:t xml:space="preserve">O </w:t>
      </w:r>
      <w:r w:rsidRPr="00AD41BD">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p>
    <w:p w14:paraId="7D1E7323" w14:textId="77777777" w:rsidR="00F50470" w:rsidRDefault="00F50470" w:rsidP="004C3F28">
      <w:pPr>
        <w:pStyle w:val="3rove-trval"/>
      </w:pPr>
      <w:r>
        <w:t xml:space="preserve">příjemce odstraní nedostatky či nesrovnalosti v závěrečné zprávě </w:t>
      </w:r>
      <w:r w:rsidR="00C276DF">
        <w:t>až v náhradní lhůtě dle čl. 4.6. Příjemci bude uložen snížený odvod ve výši</w:t>
      </w:r>
      <w:r>
        <w:t xml:space="preserve"> 5 % z částky dotace, které se týkaly odstran</w:t>
      </w:r>
      <w:r w:rsidR="00C276DF">
        <w:t>ěné nedostatky či nesrovnalosti;</w:t>
      </w:r>
      <w:r>
        <w:t xml:space="preserve"> pokud takový rozsah nelze stanovit, bude</w:t>
      </w:r>
      <w:r w:rsidR="00C276DF">
        <w:t xml:space="preserve"> mu</w:t>
      </w:r>
      <w:r>
        <w:t xml:space="preserve"> uložen odvod ve výši 5% ze schválené dotace, </w:t>
      </w:r>
    </w:p>
    <w:p w14:paraId="143410EF" w14:textId="77777777" w:rsidR="004F1656" w:rsidRDefault="00BB6D13" w:rsidP="004C3F28">
      <w:pPr>
        <w:pStyle w:val="3rove-trval"/>
      </w:pPr>
      <w:r>
        <w:t xml:space="preserve">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14:paraId="2C7A672F" w14:textId="77777777" w:rsidR="005B3156" w:rsidRDefault="005B3156" w:rsidP="005B3156">
      <w:pPr>
        <w:pStyle w:val="2rove"/>
      </w:pPr>
      <w:r>
        <w:lastRenderedPageBreak/>
        <w:t>Nastane-li situace, za kterou by byl příjemci uložen odvod podle tohoto článku, ale peněžní prostředky dotace ještě nebyly poskytnuty, odvod nebude příjemci uložen. Namísto toho bude v odpovídající výši zkrácena dotace.</w:t>
      </w:r>
    </w:p>
    <w:p w14:paraId="6ED53F0D" w14:textId="77777777" w:rsidR="004E4E47" w:rsidRDefault="004E4E47" w:rsidP="00E82920">
      <w:pPr>
        <w:pStyle w:val="Nadpis1"/>
        <w:spacing w:line="276" w:lineRule="auto"/>
      </w:pPr>
      <w:r>
        <w:t>Změny podmínek smlouvy</w:t>
      </w:r>
    </w:p>
    <w:p w14:paraId="05E0D2C8" w14:textId="77777777" w:rsidR="004E4E47" w:rsidRDefault="00D9597D" w:rsidP="00E82920">
      <w:pPr>
        <w:pStyle w:val="2rove"/>
        <w:spacing w:line="276" w:lineRule="auto"/>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Závěrečné zprávě. Nepodstatnými změnami jsou</w:t>
      </w:r>
      <w:r>
        <w:t>:</w:t>
      </w:r>
    </w:p>
    <w:p w14:paraId="1D02FC47" w14:textId="07963CC2" w:rsidR="00D9597D" w:rsidRDefault="00747C54" w:rsidP="00501F8C">
      <w:pPr>
        <w:pStyle w:val="3rove-trval"/>
      </w:pPr>
      <w:r>
        <w:t xml:space="preserve">změna adresy nebo </w:t>
      </w:r>
      <w:r w:rsidR="00D9597D" w:rsidRPr="00A960B0">
        <w:t>sídla příjemce</w:t>
      </w:r>
      <w:r w:rsidR="00EC46C6">
        <w:t>,</w:t>
      </w:r>
      <w:r>
        <w:t xml:space="preserve"> </w:t>
      </w:r>
    </w:p>
    <w:p w14:paraId="1694FD6C" w14:textId="77777777" w:rsidR="00D9597D" w:rsidRDefault="00747C54" w:rsidP="00501F8C">
      <w:pPr>
        <w:pStyle w:val="3rove-trval"/>
      </w:pPr>
      <w:r>
        <w:t xml:space="preserve">změna statutárního orgánu nebo </w:t>
      </w:r>
      <w:r w:rsidR="00D9597D" w:rsidRPr="00A960B0">
        <w:t>kontaktní osoby</w:t>
      </w:r>
      <w:r w:rsidR="00D9597D">
        <w:t>,</w:t>
      </w:r>
    </w:p>
    <w:p w14:paraId="6CCAD29A" w14:textId="4D4DACCC" w:rsidR="00D9597D" w:rsidRPr="00EB1154" w:rsidRDefault="00747C54" w:rsidP="00501F8C">
      <w:pPr>
        <w:pStyle w:val="3rove-trval"/>
      </w:pPr>
      <w:r>
        <w:t>změna názvu příjemce</w:t>
      </w:r>
      <w:r w:rsidR="00EC46C6">
        <w:t>,</w:t>
      </w:r>
    </w:p>
    <w:p w14:paraId="3BFE4AE4" w14:textId="77777777" w:rsidR="00747C54" w:rsidRDefault="00747C54" w:rsidP="00501F8C">
      <w:pPr>
        <w:pStyle w:val="3rove-trval"/>
      </w:pPr>
      <w:r>
        <w:t>změna názvu akce/projektu při zachování účelu a všech ostatních parametrů akce/projektu,</w:t>
      </w:r>
    </w:p>
    <w:p w14:paraId="258BEADD" w14:textId="77777777" w:rsidR="00D9597D" w:rsidRDefault="00D9597D" w:rsidP="00501F8C">
      <w:pPr>
        <w:pStyle w:val="3rove-trval"/>
      </w:pPr>
      <w:r w:rsidRPr="00A960B0">
        <w:t>změna zdrojů nebo výše podílů těchto zdrojů na financování projektu (s výjimkou dotace od Zlínského kraje)</w:t>
      </w:r>
      <w:r>
        <w:t>,</w:t>
      </w:r>
    </w:p>
    <w:p w14:paraId="03BDF88E" w14:textId="77777777" w:rsidR="007A3EEB" w:rsidRDefault="007A3EEB" w:rsidP="00501F8C">
      <w:pPr>
        <w:pStyle w:val="3rove-trval"/>
      </w:pPr>
      <w:r>
        <w:t xml:space="preserve">změna harmonogramu </w:t>
      </w:r>
      <w:r w:rsidR="003042E9">
        <w:t xml:space="preserve">doby </w:t>
      </w:r>
      <w:r>
        <w:t>realizace, akce nebo aktivity</w:t>
      </w:r>
      <w:r w:rsidR="008366B8" w:rsidRPr="008366B8">
        <w:t xml:space="preserve"> </w:t>
      </w:r>
      <w:r w:rsidR="008366B8">
        <w:t xml:space="preserve">(změnou harmonogramu nesmí dojít k překročení nejzazšího data </w:t>
      </w:r>
      <w:r w:rsidR="003042E9">
        <w:t xml:space="preserve">doby </w:t>
      </w:r>
      <w:r w:rsidR="008366B8">
        <w:t xml:space="preserve">realizace, akce nebo aktivity stanoveného ve </w:t>
      </w:r>
      <w:r w:rsidR="009E67EA">
        <w:t xml:space="preserve">smlouvě </w:t>
      </w:r>
      <w:r w:rsidR="008366B8">
        <w:t xml:space="preserve">a podpora nebude vyplacena před termínem ukončení </w:t>
      </w:r>
      <w:r w:rsidR="003042E9">
        <w:t xml:space="preserve">doby </w:t>
      </w:r>
      <w:r w:rsidR="008366B8">
        <w:t>realizace, akce nebo aktivity)</w:t>
      </w:r>
      <w:r w:rsidR="00CD087C">
        <w:t>.</w:t>
      </w:r>
    </w:p>
    <w:p w14:paraId="29F51204" w14:textId="77777777" w:rsidR="005651A6" w:rsidRDefault="005651A6" w:rsidP="00E82920">
      <w:pPr>
        <w:pStyle w:val="2rove"/>
        <w:spacing w:line="276" w:lineRule="auto"/>
      </w:pPr>
      <w:r>
        <w:t>Změnu bankovního spojení oznámí příjemce poskytova</w:t>
      </w:r>
      <w:r w:rsidR="007A3EEB">
        <w:t xml:space="preserve">teli písemně ve lhůtě do 15 dní </w:t>
      </w:r>
      <w:r w:rsidR="007A3EEB">
        <w:rPr>
          <w:rFonts w:cs="Arial"/>
        </w:rPr>
        <w:t>ode dne, kdy ke změně došlo.</w:t>
      </w:r>
      <w:r w:rsidR="007A3EEB" w:rsidRPr="007A3EEB">
        <w:rPr>
          <w:rFonts w:cs="Arial"/>
        </w:rPr>
        <w:t xml:space="preserve"> </w:t>
      </w:r>
      <w:r w:rsidR="007A3EEB">
        <w:rPr>
          <w:rFonts w:cs="Arial"/>
        </w:rPr>
        <w:t xml:space="preserve">Informace o změně účtu příjemce je pro poskytovatele závazná ode dne, kdy byla poskytovateli doručena. </w:t>
      </w:r>
    </w:p>
    <w:p w14:paraId="39C0E04C" w14:textId="77777777" w:rsidR="005651A6" w:rsidRDefault="00DE64D6" w:rsidP="00E82920">
      <w:pPr>
        <w:pStyle w:val="2rove"/>
        <w:spacing w:line="276" w:lineRule="auto"/>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376989F8" w14:textId="77777777" w:rsidR="00DE64D6" w:rsidRDefault="00DE64D6" w:rsidP="00E82920">
      <w:pPr>
        <w:pStyle w:val="Nadpis1"/>
        <w:spacing w:line="276" w:lineRule="auto"/>
      </w:pPr>
      <w:r>
        <w:t>Ukončení smlouvy</w:t>
      </w:r>
    </w:p>
    <w:p w14:paraId="66DEB812" w14:textId="77777777" w:rsidR="00971B6C" w:rsidRDefault="00971B6C" w:rsidP="00E82920">
      <w:pPr>
        <w:pStyle w:val="2rove"/>
        <w:spacing w:line="276" w:lineRule="auto"/>
      </w:pPr>
      <w:r>
        <w:t>Smlouvu lze ukončit na základě písemné dohody obou smluvních stran nebo písemnou výpovědí smlouvy, a to za podmínek dále stanovených.</w:t>
      </w:r>
    </w:p>
    <w:p w14:paraId="09488799" w14:textId="77777777" w:rsidR="00971B6C" w:rsidRDefault="00971B6C" w:rsidP="00E82920">
      <w:pPr>
        <w:pStyle w:val="2rove"/>
        <w:spacing w:line="276" w:lineRule="auto"/>
      </w:pPr>
      <w:r>
        <w:t>Poskytovatel je oprávněn vypovědět smlouvu jak před proplacením, tak i po proplacení dotace.</w:t>
      </w:r>
    </w:p>
    <w:p w14:paraId="3E86B221" w14:textId="77777777" w:rsidR="00971B6C" w:rsidRDefault="00971B6C" w:rsidP="00E82920">
      <w:pPr>
        <w:pStyle w:val="2rove"/>
        <w:spacing w:line="276" w:lineRule="auto"/>
      </w:pPr>
      <w:r>
        <w:t xml:space="preserve">Výpovědním důvodem je porušení povinností příjemcem stanovených touto smlouvou nebo obecně závaznými právními předpisy. </w:t>
      </w:r>
      <w:r w:rsidR="00504796">
        <w:t>Porušením se rozumí zejména, pokud příjemce:</w:t>
      </w:r>
    </w:p>
    <w:p w14:paraId="506C62A5" w14:textId="77777777" w:rsidR="00766DAA" w:rsidRDefault="00766DAA" w:rsidP="00501F8C">
      <w:pPr>
        <w:pStyle w:val="3rove-trval"/>
      </w:pPr>
      <w:r>
        <w:t>nedodrží účel dotace,</w:t>
      </w:r>
    </w:p>
    <w:p w14:paraId="691138CB" w14:textId="77777777" w:rsidR="00504796" w:rsidRDefault="00504796" w:rsidP="00501F8C">
      <w:pPr>
        <w:pStyle w:val="3rove-trval"/>
      </w:pPr>
      <w:r>
        <w:t>svým jednáním poruší rozpočtovou kázeň</w:t>
      </w:r>
      <w:r w:rsidR="004F1656">
        <w:t xml:space="preserve"> zejména dle </w:t>
      </w:r>
      <w:r w:rsidR="00F50470">
        <w:t xml:space="preserve">čl. </w:t>
      </w:r>
      <w:r w:rsidR="004F1656">
        <w:t>7.</w:t>
      </w:r>
      <w:r w:rsidR="00CC6CBC">
        <w:t>2</w:t>
      </w:r>
      <w:r w:rsidR="004942FC">
        <w:t>,</w:t>
      </w:r>
      <w:r>
        <w:t xml:space="preserve"> </w:t>
      </w:r>
      <w:r w:rsidR="00F50470">
        <w:t xml:space="preserve">ve smyslu </w:t>
      </w:r>
      <w:r>
        <w:t xml:space="preserve">zákona </w:t>
      </w:r>
      <w:r w:rsidR="001E22BF">
        <w:t>o</w:t>
      </w:r>
      <w:r w:rsidR="006E3B58">
        <w:t> </w:t>
      </w:r>
      <w:r w:rsidR="001E22BF">
        <w:t>rozpočtových pravidlech územních rozpočtů,</w:t>
      </w:r>
    </w:p>
    <w:p w14:paraId="54BCB051" w14:textId="77777777" w:rsidR="00504796" w:rsidRDefault="00504796" w:rsidP="00501F8C">
      <w:pPr>
        <w:pStyle w:val="3rove-trval"/>
      </w:pPr>
      <w:r>
        <w:t>poruší pravidla veřejné podpory</w:t>
      </w:r>
      <w:r w:rsidR="00506961">
        <w:t xml:space="preserve"> zejména dle čl. 5.9</w:t>
      </w:r>
      <w:r>
        <w:t>,</w:t>
      </w:r>
      <w:r w:rsidR="006A3349">
        <w:t xml:space="preserve"> </w:t>
      </w:r>
    </w:p>
    <w:p w14:paraId="65C4F4D5" w14:textId="77777777" w:rsidR="00F50470" w:rsidRDefault="00F50470" w:rsidP="00501F8C">
      <w:pPr>
        <w:pStyle w:val="3rove-trval"/>
      </w:pPr>
      <w:r>
        <w:t>příjemce se opozdí s předložením závěrečné zprávy o více než 30 pracovních dnů oproti lhůtě dle čl. 4.4,</w:t>
      </w:r>
    </w:p>
    <w:p w14:paraId="4FF16E50" w14:textId="62959659" w:rsidR="00504796" w:rsidRDefault="00504796" w:rsidP="00501F8C">
      <w:pPr>
        <w:pStyle w:val="3rove-trval"/>
      </w:pPr>
      <w:r>
        <w:t xml:space="preserve">je on sám, případně jako právnická osoba či některá osoba tvořící statutární orgán příjemce odsouzen/a za trestný čin, </w:t>
      </w:r>
      <w:r w:rsidRPr="00504796">
        <w:t>jehož skutková podstat</w:t>
      </w:r>
      <w:r w:rsidR="00A171B4">
        <w:t>a</w:t>
      </w:r>
      <w:r w:rsidRPr="00504796">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7C21D238" w14:textId="77777777" w:rsidR="00504796" w:rsidRDefault="00504796" w:rsidP="00501F8C">
      <w:pPr>
        <w:pStyle w:val="3rove-trval"/>
      </w:pPr>
      <w:r w:rsidRPr="00BC32A3">
        <w:t xml:space="preserve">bylo </w:t>
      </w:r>
      <w:r>
        <w:t xml:space="preserve">vůči příjemci </w:t>
      </w:r>
      <w:r w:rsidRPr="00BC32A3">
        <w:t>zahájeno insolvenční řízení podle zákona č. 182/2006 Sb., o úpadku a</w:t>
      </w:r>
      <w:r w:rsidR="006E3B58">
        <w:t> </w:t>
      </w:r>
      <w:r w:rsidRPr="00BC32A3">
        <w:t>způsobech jeho řešení, ve znění pozdějších předpisů, exekuční řízení či řízení o</w:t>
      </w:r>
      <w:r w:rsidR="006E3B58">
        <w:t> </w:t>
      </w:r>
      <w:r w:rsidRPr="00BC32A3">
        <w:t>výkonu rozhodnutí</w:t>
      </w:r>
      <w:r>
        <w:t>,</w:t>
      </w:r>
    </w:p>
    <w:p w14:paraId="388AA269" w14:textId="77777777" w:rsidR="00504796" w:rsidRDefault="00504796" w:rsidP="00501F8C">
      <w:pPr>
        <w:pStyle w:val="3rove-trval"/>
      </w:pPr>
      <w:r w:rsidRPr="00BC32A3">
        <w:lastRenderedPageBreak/>
        <w:t>uvedl nepravdivé, neúplné nebo zkreslené údaje, na které se váže uzavření této smlouvy</w:t>
      </w:r>
      <w:r>
        <w:t>,</w:t>
      </w:r>
    </w:p>
    <w:p w14:paraId="3985578F" w14:textId="77777777" w:rsidR="00504796" w:rsidRDefault="00504796" w:rsidP="00501F8C">
      <w:pPr>
        <w:pStyle w:val="3rove-trval"/>
      </w:pPr>
      <w:r w:rsidRPr="00BC32A3">
        <w:t>je v</w:t>
      </w:r>
      <w:r>
        <w:t> </w:t>
      </w:r>
      <w:r w:rsidRPr="00BC32A3">
        <w:t>likvidaci</w:t>
      </w:r>
      <w:r>
        <w:t>,</w:t>
      </w:r>
    </w:p>
    <w:p w14:paraId="4B7CD261" w14:textId="77777777" w:rsidR="00504796" w:rsidRDefault="00504796" w:rsidP="00501F8C">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Pr="00BC32A3">
        <w:t>realizace) může poskytovatel smlouvu vypovědět i bez učinění předchozí výzvy k</w:t>
      </w:r>
      <w:r w:rsidR="001C6112">
        <w:t> </w:t>
      </w:r>
      <w:r w:rsidRPr="00BC32A3">
        <w:t>nápravě</w:t>
      </w:r>
      <w:r w:rsidR="001C6112">
        <w:t>,</w:t>
      </w:r>
    </w:p>
    <w:p w14:paraId="0E9FAD61" w14:textId="77777777" w:rsidR="00504796" w:rsidRDefault="006A3349" w:rsidP="00501F8C">
      <w:pPr>
        <w:pStyle w:val="3rove-trval"/>
      </w:pPr>
      <w:r>
        <w:t xml:space="preserve">podstatně </w:t>
      </w:r>
      <w:r w:rsidR="001C6112" w:rsidRPr="001C6112">
        <w:t xml:space="preserve">nenaplní monitorovací indikátor </w:t>
      </w:r>
      <w:r w:rsidR="0029484F">
        <w:t>dle čl. 3.2.</w:t>
      </w:r>
    </w:p>
    <w:p w14:paraId="1ECB296C" w14:textId="77777777" w:rsidR="001C6112" w:rsidRDefault="00EC4D55" w:rsidP="00E82920">
      <w:pPr>
        <w:pStyle w:val="2rove"/>
        <w:spacing w:line="276" w:lineRule="auto"/>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7300DD23" w14:textId="77777777" w:rsidR="00EC4D55" w:rsidRDefault="00EC4D55" w:rsidP="00E82920">
      <w:pPr>
        <w:pStyle w:val="2rove"/>
        <w:spacing w:line="276" w:lineRule="auto"/>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03307DCE" w14:textId="77777777" w:rsidR="00EC4D55" w:rsidRDefault="00EC4D55" w:rsidP="00E82920">
      <w:pPr>
        <w:pStyle w:val="2rove"/>
        <w:spacing w:line="276" w:lineRule="auto"/>
      </w:pPr>
      <w:r w:rsidRPr="00BC32A3">
        <w:t>Výpověď smlouvy musí být učiněna písemně a musí v ní být uvedeny důvody jejího udělení.</w:t>
      </w:r>
    </w:p>
    <w:p w14:paraId="76570580" w14:textId="77777777" w:rsidR="00EC4D55" w:rsidRDefault="00EC4D55" w:rsidP="00E82920">
      <w:pPr>
        <w:pStyle w:val="2rove"/>
        <w:spacing w:line="276" w:lineRule="auto"/>
      </w:pPr>
      <w:r w:rsidRPr="00BC32A3">
        <w:t>Výpovědní doba činí jeden měsíc a začne běžet od prvního dne měsíce následujícího po měsíci, v němž byla výpověď doručena příjemci. Účinky doručení pro účely této smlouvy však nastávají i</w:t>
      </w:r>
      <w:r w:rsidR="006E3B58">
        <w:t> </w:t>
      </w:r>
      <w:r w:rsidRPr="00BC32A3">
        <w:t>tehdy, pokud příjemce svým jednáním nebo opomenutím doručení zmařil.</w:t>
      </w:r>
    </w:p>
    <w:p w14:paraId="037AEC27" w14:textId="77777777" w:rsidR="00EC4D55" w:rsidRDefault="00EC4D55" w:rsidP="00E82920">
      <w:pPr>
        <w:pStyle w:val="2rove"/>
        <w:spacing w:line="276" w:lineRule="auto"/>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1DC246E6" w14:textId="77777777" w:rsidR="00EC4D55" w:rsidRDefault="00EC4D55" w:rsidP="00E82920">
      <w:pPr>
        <w:pStyle w:val="2rove"/>
        <w:spacing w:line="276" w:lineRule="auto"/>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412697E8" w14:textId="77777777" w:rsidR="00EC4D55" w:rsidRDefault="00EC4D55" w:rsidP="00E82920">
      <w:pPr>
        <w:pStyle w:val="2rove"/>
        <w:spacing w:line="276" w:lineRule="auto"/>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009E7B86" w14:textId="77777777" w:rsidR="00EC4D55" w:rsidRDefault="00EC4D55" w:rsidP="00E82920">
      <w:pPr>
        <w:pStyle w:val="2rove"/>
        <w:spacing w:line="276" w:lineRule="auto"/>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AF567CB" w14:textId="77777777" w:rsidR="00EC4D55" w:rsidRDefault="00EC4D55" w:rsidP="00E82920">
      <w:pPr>
        <w:pStyle w:val="2rove"/>
        <w:spacing w:line="276" w:lineRule="auto"/>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139BC5B8" w14:textId="77777777" w:rsidR="00EC4D55" w:rsidRDefault="00EC4D55" w:rsidP="00E82920">
      <w:pPr>
        <w:pStyle w:val="Nadpis1"/>
        <w:spacing w:line="276" w:lineRule="auto"/>
      </w:pPr>
      <w:r>
        <w:t xml:space="preserve"> Závěrečná ustanovení</w:t>
      </w:r>
    </w:p>
    <w:p w14:paraId="59FCE328" w14:textId="46127A97" w:rsidR="00EC4D55" w:rsidRPr="009D5C88" w:rsidRDefault="00EC4D55" w:rsidP="00E82920">
      <w:pPr>
        <w:pStyle w:val="2rove"/>
        <w:spacing w:line="276" w:lineRule="auto"/>
      </w:pPr>
      <w:r w:rsidRPr="009D5C88">
        <w:t>Jako kontaktní místo poskytovatele se pro účely této smlouvy stanovuje:</w:t>
      </w:r>
      <w:r w:rsidR="0029484F" w:rsidRPr="009D5C88">
        <w:t xml:space="preserve"> Krajský úřad Zlínského kraje, O</w:t>
      </w:r>
      <w:r w:rsidRPr="009D5C88">
        <w:t>dbor</w:t>
      </w:r>
      <w:r w:rsidR="006E3B58" w:rsidRPr="009D5C88">
        <w:t> </w:t>
      </w:r>
      <w:r w:rsidR="0029484F" w:rsidRPr="009D5C88">
        <w:t>strategického rozvoje kraje</w:t>
      </w:r>
      <w:r w:rsidRPr="009D5C88">
        <w:t>,</w:t>
      </w:r>
      <w:r w:rsidR="006E3B58" w:rsidRPr="009D5C88">
        <w:t> </w:t>
      </w:r>
      <w:r w:rsidR="0029484F" w:rsidRPr="009D5C88">
        <w:t xml:space="preserve">Ing. </w:t>
      </w:r>
      <w:r w:rsidR="009D5C88" w:rsidRPr="009D5C88">
        <w:t>Barbora Kubernátová</w:t>
      </w:r>
      <w:r w:rsidRPr="009D5C88">
        <w:t>, tel.:</w:t>
      </w:r>
      <w:r w:rsidR="006E3B58" w:rsidRPr="009D5C88">
        <w:t> </w:t>
      </w:r>
      <w:r w:rsidR="00786279">
        <w:t>xxxxxxxxx</w:t>
      </w:r>
      <w:r w:rsidRPr="009D5C88">
        <w:t>, e-mail:</w:t>
      </w:r>
      <w:r w:rsidR="006E3B58" w:rsidRPr="009D5C88">
        <w:t> </w:t>
      </w:r>
      <w:r w:rsidR="00786279">
        <w:t>xxxxx</w:t>
      </w:r>
      <w:r w:rsidR="0029484F" w:rsidRPr="009D5C88">
        <w:t>@</w:t>
      </w:r>
      <w:r w:rsidR="000A2D19">
        <w:t>zlinskykraj</w:t>
      </w:r>
      <w:r w:rsidR="0029484F" w:rsidRPr="009D5C88">
        <w:t xml:space="preserve">.cz. </w:t>
      </w:r>
    </w:p>
    <w:p w14:paraId="55A36207" w14:textId="77777777" w:rsidR="00EC4D55" w:rsidRDefault="00EC4D55" w:rsidP="00E82920">
      <w:pPr>
        <w:pStyle w:val="2rove"/>
        <w:spacing w:line="276" w:lineRule="auto"/>
      </w:pPr>
      <w:r w:rsidRPr="00BC32A3">
        <w:t>V případě rozporu mezi skutečnostmi uvedenými v programu a ustanoveními této smlouvy, se přednostně aplikují ustanovení této smlouvy</w:t>
      </w:r>
      <w:r>
        <w:t>.</w:t>
      </w:r>
    </w:p>
    <w:p w14:paraId="77F480FA" w14:textId="77777777" w:rsidR="00EC4D55" w:rsidRDefault="00EC4D55" w:rsidP="00E82920">
      <w:pPr>
        <w:pStyle w:val="2rove"/>
        <w:spacing w:line="276" w:lineRule="auto"/>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7A05003C" w14:textId="77777777" w:rsidR="00EC4D55" w:rsidRDefault="00EC4D55" w:rsidP="00E82920">
      <w:pPr>
        <w:pStyle w:val="2rove"/>
        <w:spacing w:line="276" w:lineRule="auto"/>
      </w:pPr>
      <w:r w:rsidRPr="00BC32A3">
        <w:t>Tato smlouva byla uzavřena na základě svobodné vůle, nebyla uzavřena v tísni za nápadně nevýhodných podmínek</w:t>
      </w:r>
      <w:r>
        <w:t>.</w:t>
      </w:r>
    </w:p>
    <w:p w14:paraId="2CE70319" w14:textId="55F3ED8E" w:rsidR="00EC4D55" w:rsidRDefault="009E67EA" w:rsidP="00E82920">
      <w:pPr>
        <w:pStyle w:val="2rove"/>
        <w:spacing w:line="276" w:lineRule="auto"/>
      </w:pPr>
      <w:r>
        <w:t xml:space="preserve">Smlouva je uzavírána elektronicky. </w:t>
      </w:r>
    </w:p>
    <w:p w14:paraId="356E8EF4" w14:textId="6D5C5922" w:rsidR="00EC4D55" w:rsidRDefault="00EC4D55" w:rsidP="00E82920">
      <w:pPr>
        <w:pStyle w:val="2rove"/>
        <w:spacing w:line="276" w:lineRule="auto"/>
      </w:pPr>
      <w:r w:rsidRPr="00BC32A3">
        <w:t>Smlouva podléhá zveřejnění v registru smluv v souladu se zákonem č. 340/2015 Sb., zákon o registru smluv</w:t>
      </w:r>
      <w:r w:rsidR="00C069A0">
        <w:t>, ve znění pozdějších předpisů</w:t>
      </w:r>
      <w:r w:rsidRPr="00BC32A3">
        <w:t xml:space="preserve">. Smluvní strany se dohodly, že poskytovatel </w:t>
      </w:r>
      <w:r w:rsidRPr="00BC32A3">
        <w:lastRenderedPageBreak/>
        <w:t>odešle v zákonné lhůtě smlouvu k řádnému uveřejnění do registru smluv. O</w:t>
      </w:r>
      <w:r w:rsidR="006E3B58">
        <w:t> </w:t>
      </w:r>
      <w:r w:rsidRPr="00BC32A3">
        <w:t xml:space="preserve">uveřejnění smlouvy bude příjemce bezodkladně informován. </w:t>
      </w:r>
    </w:p>
    <w:p w14:paraId="4BAD83E2" w14:textId="2C070812" w:rsidR="002B3431" w:rsidRDefault="002B3431" w:rsidP="00E82920">
      <w:pPr>
        <w:pStyle w:val="2rove"/>
        <w:spacing w:line="276" w:lineRule="auto"/>
      </w:pPr>
      <w:r w:rsidRPr="00BC32A3">
        <w:t>Tato smlouva nabývá účinnosti dnem zveřejnění v registru smluv.</w:t>
      </w:r>
    </w:p>
    <w:p w14:paraId="2E8CE1EF" w14:textId="77777777" w:rsidR="00193C3A" w:rsidRDefault="00193C3A" w:rsidP="00193C3A">
      <w:pPr>
        <w:pStyle w:val="2rove"/>
        <w:numPr>
          <w:ilvl w:val="0"/>
          <w:numId w:val="0"/>
        </w:numPr>
        <w:spacing w:line="276" w:lineRule="auto"/>
        <w:ind w:left="567"/>
      </w:pPr>
    </w:p>
    <w:p w14:paraId="55ABE947" w14:textId="24CD5B81" w:rsidR="006A4FA0" w:rsidRPr="00303D3B" w:rsidRDefault="006A4FA0" w:rsidP="002B3431">
      <w:pPr>
        <w:pStyle w:val="2rove"/>
        <w:widowControl w:val="0"/>
        <w:numPr>
          <w:ilvl w:val="0"/>
          <w:numId w:val="0"/>
        </w:numPr>
        <w:pBdr>
          <w:top w:val="single" w:sz="6" w:space="1" w:color="auto"/>
          <w:left w:val="single" w:sz="6" w:space="1" w:color="auto"/>
          <w:bottom w:val="single" w:sz="6" w:space="1" w:color="auto"/>
          <w:right w:val="single" w:sz="6" w:space="1" w:color="auto"/>
        </w:pBdr>
        <w:tabs>
          <w:tab w:val="left" w:pos="8928"/>
        </w:tabs>
        <w:spacing w:after="0" w:line="276" w:lineRule="auto"/>
        <w:ind w:left="567" w:hanging="567"/>
        <w:rPr>
          <w:rFonts w:cs="Arial"/>
          <w:b/>
          <w:szCs w:val="20"/>
        </w:rPr>
      </w:pPr>
      <w:r w:rsidRPr="00303D3B">
        <w:rPr>
          <w:rFonts w:cs="Arial"/>
          <w:b/>
          <w:szCs w:val="20"/>
        </w:rPr>
        <w:t>Doložka dle § 23 zákona č. 129/2000 Sb., o krajích, ve znění pozdějších předpisů</w:t>
      </w:r>
    </w:p>
    <w:p w14:paraId="3F213211" w14:textId="32E79434"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6E3B58">
        <w:rPr>
          <w:rFonts w:cs="Arial"/>
          <w:szCs w:val="20"/>
        </w:rPr>
        <w:t> </w:t>
      </w:r>
      <w:r w:rsidR="002B3431">
        <w:rPr>
          <w:rFonts w:cs="Arial"/>
          <w:szCs w:val="20"/>
        </w:rPr>
        <w:t xml:space="preserve">Rada Zlínského kraje </w:t>
      </w:r>
    </w:p>
    <w:p w14:paraId="778A97E1" w14:textId="52B00C2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6E3B58">
        <w:rPr>
          <w:rFonts w:cs="Arial"/>
          <w:szCs w:val="20"/>
        </w:rPr>
        <w:t> </w:t>
      </w:r>
      <w:r w:rsidR="002B3431">
        <w:rPr>
          <w:rFonts w:cs="Arial"/>
          <w:szCs w:val="20"/>
        </w:rPr>
        <w:t>2. 6. 2025, 0461/R14/25</w:t>
      </w:r>
    </w:p>
    <w:p w14:paraId="1AF18D8C"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p w14:paraId="22937508" w14:textId="77777777" w:rsidR="009E67EA" w:rsidRDefault="009E67EA" w:rsidP="00E82920">
      <w:pPr>
        <w:pStyle w:val="2rove"/>
        <w:numPr>
          <w:ilvl w:val="0"/>
          <w:numId w:val="0"/>
        </w:numPr>
        <w:spacing w:line="276" w:lineRule="auto"/>
      </w:pPr>
    </w:p>
    <w:p w14:paraId="0DFD8428" w14:textId="6CAF7682" w:rsidR="009E67EA" w:rsidRDefault="009E67EA" w:rsidP="00E82920">
      <w:pPr>
        <w:pStyle w:val="2rove"/>
        <w:numPr>
          <w:ilvl w:val="0"/>
          <w:numId w:val="0"/>
        </w:numPr>
        <w:spacing w:line="276" w:lineRule="auto"/>
        <w:rPr>
          <w:i/>
          <w:color w:val="5B9BD5" w:themeColor="accent1"/>
          <w:sz w:val="16"/>
          <w:szCs w:val="16"/>
        </w:rPr>
      </w:pPr>
      <w:r>
        <w:t xml:space="preserve">Zkontroloval: </w:t>
      </w:r>
      <w:r w:rsidR="00786279">
        <w:t>xxxxx</w:t>
      </w:r>
    </w:p>
    <w:p w14:paraId="51C3BA9D" w14:textId="77777777" w:rsidR="009E67EA" w:rsidRDefault="009E67EA" w:rsidP="00E82920">
      <w:pPr>
        <w:pStyle w:val="2rove"/>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640E2B6C" w14:textId="77777777" w:rsidTr="00501F8C">
        <w:trPr>
          <w:trHeight w:val="567"/>
          <w:jc w:val="center"/>
        </w:trPr>
        <w:tc>
          <w:tcPr>
            <w:tcW w:w="4531" w:type="dxa"/>
            <w:vAlign w:val="center"/>
          </w:tcPr>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002"/>
            </w:tblGrid>
            <w:tr w:rsidR="00DF5F8A" w14:paraId="3D869F8C" w14:textId="77777777" w:rsidTr="00DF5F8A">
              <w:trPr>
                <w:trHeight w:val="567"/>
                <w:jc w:val="center"/>
              </w:trPr>
              <w:tc>
                <w:tcPr>
                  <w:tcW w:w="2313" w:type="dxa"/>
                  <w:vAlign w:val="center"/>
                </w:tcPr>
                <w:p w14:paraId="02E7924E" w14:textId="112BF0AB" w:rsidR="00DF5F8A" w:rsidRDefault="00DF5F8A" w:rsidP="00DF5F8A">
                  <w:pPr>
                    <w:spacing w:line="276" w:lineRule="auto"/>
                  </w:pPr>
                </w:p>
              </w:tc>
              <w:tc>
                <w:tcPr>
                  <w:tcW w:w="2002" w:type="dxa"/>
                  <w:vAlign w:val="center"/>
                </w:tcPr>
                <w:p w14:paraId="08E4686C" w14:textId="5A8A92BB" w:rsidR="00DF5F8A" w:rsidRDefault="00DF5F8A" w:rsidP="00DF5F8A">
                  <w:pPr>
                    <w:spacing w:line="276" w:lineRule="auto"/>
                  </w:pPr>
                </w:p>
              </w:tc>
            </w:tr>
            <w:tr w:rsidR="00DF5F8A" w14:paraId="406B2E43" w14:textId="77777777" w:rsidTr="00DF5F8A">
              <w:trPr>
                <w:trHeight w:val="567"/>
                <w:jc w:val="center"/>
              </w:trPr>
              <w:tc>
                <w:tcPr>
                  <w:tcW w:w="2313" w:type="dxa"/>
                  <w:vAlign w:val="center"/>
                </w:tcPr>
                <w:p w14:paraId="2EC08BD3" w14:textId="369D5A92" w:rsidR="00DF5F8A" w:rsidRDefault="00DF5F8A" w:rsidP="00DF5F8A">
                  <w:pPr>
                    <w:spacing w:line="276" w:lineRule="auto"/>
                  </w:pPr>
                  <w:r>
                    <w:t>Ve Zlíně dne </w:t>
                  </w:r>
                  <w:r w:rsidR="00786279">
                    <w:t>1. 7. 2025</w:t>
                  </w:r>
                </w:p>
                <w:p w14:paraId="2D49010D" w14:textId="77777777" w:rsidR="00DF5F8A" w:rsidRDefault="00DF5F8A" w:rsidP="00DF5F8A">
                  <w:pPr>
                    <w:spacing w:line="276" w:lineRule="auto"/>
                  </w:pPr>
                </w:p>
                <w:p w14:paraId="70A3A40D" w14:textId="0B0DD8F6" w:rsidR="00DF5F8A" w:rsidRDefault="00DF5F8A" w:rsidP="00DF5F8A">
                  <w:pPr>
                    <w:spacing w:line="276" w:lineRule="auto"/>
                  </w:pPr>
                  <w:r>
                    <w:t>Za poskytovatele</w:t>
                  </w:r>
                </w:p>
              </w:tc>
              <w:tc>
                <w:tcPr>
                  <w:tcW w:w="2002" w:type="dxa"/>
                  <w:vAlign w:val="center"/>
                </w:tcPr>
                <w:p w14:paraId="50D96E59" w14:textId="6F494B99" w:rsidR="00DF5F8A" w:rsidRDefault="00DF5F8A" w:rsidP="00DF5F8A">
                  <w:pPr>
                    <w:spacing w:line="276" w:lineRule="auto"/>
                  </w:pPr>
                </w:p>
              </w:tc>
            </w:tr>
            <w:tr w:rsidR="00DF5F8A" w14:paraId="48F9A9C2" w14:textId="77777777" w:rsidTr="00DF5F8A">
              <w:trPr>
                <w:trHeight w:val="567"/>
                <w:jc w:val="center"/>
              </w:trPr>
              <w:tc>
                <w:tcPr>
                  <w:tcW w:w="2313" w:type="dxa"/>
                  <w:vAlign w:val="center"/>
                </w:tcPr>
                <w:p w14:paraId="2F1E83A4" w14:textId="77777777" w:rsidR="00DF5F8A" w:rsidRDefault="00DF5F8A" w:rsidP="00DF5F8A">
                  <w:pPr>
                    <w:spacing w:line="276" w:lineRule="auto"/>
                  </w:pPr>
                </w:p>
              </w:tc>
              <w:tc>
                <w:tcPr>
                  <w:tcW w:w="2002" w:type="dxa"/>
                  <w:vAlign w:val="center"/>
                </w:tcPr>
                <w:p w14:paraId="40AD0731" w14:textId="77777777" w:rsidR="00DF5F8A" w:rsidRDefault="00DF5F8A" w:rsidP="00DF5F8A">
                  <w:pPr>
                    <w:spacing w:line="276" w:lineRule="auto"/>
                  </w:pPr>
                </w:p>
              </w:tc>
            </w:tr>
          </w:tbl>
          <w:p w14:paraId="5A9BFC20" w14:textId="2C563979" w:rsidR="006A4FA0" w:rsidRDefault="006A4FA0" w:rsidP="00E82920">
            <w:pPr>
              <w:spacing w:line="276" w:lineRule="auto"/>
            </w:pPr>
          </w:p>
        </w:tc>
        <w:tc>
          <w:tcPr>
            <w:tcW w:w="4531" w:type="dxa"/>
            <w:vAlign w:val="center"/>
          </w:tcPr>
          <w:p w14:paraId="7A24829B" w14:textId="5120C883" w:rsidR="00DF5F8A" w:rsidRDefault="00DF5F8A" w:rsidP="00E82920">
            <w:pPr>
              <w:spacing w:line="276" w:lineRule="auto"/>
            </w:pPr>
            <w:r>
              <w:t>V Loučce dne</w:t>
            </w:r>
            <w:r w:rsidR="00786279">
              <w:t xml:space="preserve"> 5. 6. 2025</w:t>
            </w:r>
          </w:p>
          <w:p w14:paraId="5440F1D6" w14:textId="77777777" w:rsidR="00DF5F8A" w:rsidRDefault="00DF5F8A" w:rsidP="00E82920">
            <w:pPr>
              <w:spacing w:line="276" w:lineRule="auto"/>
            </w:pPr>
          </w:p>
          <w:p w14:paraId="2D2448EB" w14:textId="64BA2597" w:rsidR="006A4FA0" w:rsidRDefault="00DF5F8A" w:rsidP="00E82920">
            <w:pPr>
              <w:spacing w:line="276" w:lineRule="auto"/>
            </w:pPr>
            <w:r>
              <w:t xml:space="preserve">Za příjemce </w:t>
            </w:r>
          </w:p>
        </w:tc>
      </w:tr>
      <w:tr w:rsidR="006A4FA0" w14:paraId="37CEE459" w14:textId="77777777" w:rsidTr="004054E1">
        <w:trPr>
          <w:trHeight w:val="1102"/>
          <w:jc w:val="center"/>
        </w:trPr>
        <w:tc>
          <w:tcPr>
            <w:tcW w:w="4531" w:type="dxa"/>
            <w:vAlign w:val="center"/>
          </w:tcPr>
          <w:p w14:paraId="0EA4B617" w14:textId="77777777" w:rsidR="006A4FA0" w:rsidRDefault="006A4FA0" w:rsidP="00E82920">
            <w:pPr>
              <w:spacing w:line="276" w:lineRule="auto"/>
            </w:pPr>
          </w:p>
        </w:tc>
        <w:tc>
          <w:tcPr>
            <w:tcW w:w="4531" w:type="dxa"/>
            <w:vAlign w:val="center"/>
          </w:tcPr>
          <w:p w14:paraId="5FEA3A63" w14:textId="77777777" w:rsidR="006A4FA0" w:rsidRDefault="006A4FA0" w:rsidP="00E82920">
            <w:pPr>
              <w:spacing w:line="276" w:lineRule="auto"/>
            </w:pPr>
          </w:p>
        </w:tc>
      </w:tr>
      <w:tr w:rsidR="006A4FA0" w14:paraId="46460475" w14:textId="77777777" w:rsidTr="00501F8C">
        <w:trPr>
          <w:trHeight w:val="567"/>
          <w:jc w:val="center"/>
        </w:trPr>
        <w:tc>
          <w:tcPr>
            <w:tcW w:w="4531" w:type="dxa"/>
            <w:vAlign w:val="center"/>
          </w:tcPr>
          <w:p w14:paraId="171AF1E4" w14:textId="77D80222" w:rsidR="006A4FA0" w:rsidRDefault="00786279" w:rsidP="00501F8C">
            <w:pPr>
              <w:spacing w:line="276" w:lineRule="auto"/>
              <w:jc w:val="center"/>
            </w:pPr>
            <w:r>
              <w:t>xxxxx</w:t>
            </w:r>
          </w:p>
          <w:p w14:paraId="7FBE7D35" w14:textId="016E932F" w:rsidR="006A4FA0" w:rsidRDefault="002B3431" w:rsidP="002F1FE4">
            <w:pPr>
              <w:spacing w:line="276" w:lineRule="auto"/>
              <w:jc w:val="center"/>
            </w:pPr>
            <w:r>
              <w:t>Ing. Radim Holiš</w:t>
            </w:r>
            <w:r w:rsidR="00B779C7">
              <w:t xml:space="preserve">, </w:t>
            </w:r>
            <w:r w:rsidR="006A4FA0">
              <w:t xml:space="preserve">hejtman </w:t>
            </w:r>
          </w:p>
        </w:tc>
        <w:tc>
          <w:tcPr>
            <w:tcW w:w="4531" w:type="dxa"/>
            <w:vAlign w:val="center"/>
          </w:tcPr>
          <w:p w14:paraId="49D66219" w14:textId="0A4D3987" w:rsidR="006A4FA0" w:rsidRDefault="00786279" w:rsidP="00501F8C">
            <w:pPr>
              <w:pStyle w:val="Bezmezer"/>
              <w:spacing w:line="276" w:lineRule="auto"/>
              <w:jc w:val="center"/>
            </w:pPr>
            <w:r>
              <w:t>xxxxx</w:t>
            </w:r>
          </w:p>
          <w:p w14:paraId="407E3F0F" w14:textId="2D60B241" w:rsidR="006A4FA0" w:rsidRDefault="002B3431" w:rsidP="00501F8C">
            <w:pPr>
              <w:spacing w:line="276" w:lineRule="auto"/>
              <w:jc w:val="center"/>
            </w:pPr>
            <w:r w:rsidRPr="002B3431">
              <w:t>MUDr. Simona Hradilová</w:t>
            </w:r>
          </w:p>
        </w:tc>
      </w:tr>
    </w:tbl>
    <w:p w14:paraId="0725C676" w14:textId="77777777" w:rsidR="008E7B6E" w:rsidRDefault="008E7B6E" w:rsidP="00501F8C">
      <w:pPr>
        <w:pStyle w:val="2rove"/>
        <w:numPr>
          <w:ilvl w:val="0"/>
          <w:numId w:val="0"/>
        </w:numPr>
        <w:spacing w:line="276" w:lineRule="auto"/>
      </w:pPr>
    </w:p>
    <w:sectPr w:rsidR="008E7B6E" w:rsidSect="0079756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BA06B" w14:textId="77777777" w:rsidR="0094061E" w:rsidRDefault="0094061E" w:rsidP="00324D78">
      <w:pPr>
        <w:spacing w:after="0" w:line="240" w:lineRule="auto"/>
      </w:pPr>
      <w:r>
        <w:separator/>
      </w:r>
    </w:p>
  </w:endnote>
  <w:endnote w:type="continuationSeparator" w:id="0">
    <w:p w14:paraId="3AD5D705" w14:textId="77777777" w:rsidR="0094061E" w:rsidRDefault="0094061E" w:rsidP="00324D78">
      <w:pPr>
        <w:spacing w:after="0" w:line="240" w:lineRule="auto"/>
      </w:pPr>
      <w:r>
        <w:continuationSeparator/>
      </w:r>
    </w:p>
  </w:endnote>
  <w:endnote w:type="continuationNotice" w:id="1">
    <w:p w14:paraId="6D005320" w14:textId="77777777" w:rsidR="0094061E" w:rsidRDefault="00940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1F26" w14:textId="77777777" w:rsidR="00C50D92" w:rsidRDefault="00786279">
    <w:sdt>
      <w:sdtPr>
        <w:id w:val="-1705238520"/>
        <w:docPartObj>
          <w:docPartGallery w:val="Page Numbers (Top of Page)"/>
          <w:docPartUnique/>
        </w:docPartObj>
      </w:sdtPr>
      <w:sdtEndPr/>
      <w:sdtContent>
        <w:r w:rsidR="008E03AA">
          <w:t xml:space="preserve">Stránka </w:t>
        </w:r>
        <w:r w:rsidR="008E03AA">
          <w:rPr>
            <w:b/>
            <w:bCs/>
            <w:sz w:val="24"/>
            <w:szCs w:val="24"/>
          </w:rPr>
          <w:fldChar w:fldCharType="begin"/>
        </w:r>
        <w:r w:rsidR="008E03AA">
          <w:rPr>
            <w:b/>
            <w:bCs/>
          </w:rPr>
          <w:instrText>PAGE</w:instrText>
        </w:r>
        <w:r w:rsidR="008E03AA">
          <w:rPr>
            <w:b/>
            <w:bCs/>
            <w:sz w:val="24"/>
            <w:szCs w:val="24"/>
          </w:rPr>
          <w:fldChar w:fldCharType="separate"/>
        </w:r>
        <w:r w:rsidR="00B0565F">
          <w:rPr>
            <w:b/>
            <w:bCs/>
            <w:noProof/>
          </w:rPr>
          <w:t>2</w:t>
        </w:r>
        <w:r w:rsidR="008E03AA">
          <w:rPr>
            <w:b/>
            <w:bCs/>
            <w:sz w:val="24"/>
            <w:szCs w:val="24"/>
          </w:rPr>
          <w:fldChar w:fldCharType="end"/>
        </w:r>
        <w:r w:rsidR="008E03AA">
          <w:t xml:space="preserve"> z </w:t>
        </w:r>
        <w:r w:rsidR="008E03AA">
          <w:rPr>
            <w:b/>
            <w:bCs/>
            <w:sz w:val="24"/>
            <w:szCs w:val="24"/>
          </w:rPr>
          <w:fldChar w:fldCharType="begin"/>
        </w:r>
        <w:r w:rsidR="008E03AA">
          <w:rPr>
            <w:b/>
            <w:bCs/>
          </w:rPr>
          <w:instrText>NUMPAGES</w:instrText>
        </w:r>
        <w:r w:rsidR="008E03AA">
          <w:rPr>
            <w:b/>
            <w:bCs/>
            <w:sz w:val="24"/>
            <w:szCs w:val="24"/>
          </w:rPr>
          <w:fldChar w:fldCharType="separate"/>
        </w:r>
        <w:r w:rsidR="00B0565F">
          <w:rPr>
            <w:b/>
            <w:bCs/>
            <w:noProof/>
          </w:rPr>
          <w:t>8</w:t>
        </w:r>
        <w:r w:rsidR="008E03AA">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40726" w14:textId="77777777" w:rsidR="0094061E" w:rsidRDefault="0094061E" w:rsidP="00324D78">
      <w:pPr>
        <w:spacing w:after="0" w:line="240" w:lineRule="auto"/>
      </w:pPr>
      <w:r>
        <w:separator/>
      </w:r>
    </w:p>
  </w:footnote>
  <w:footnote w:type="continuationSeparator" w:id="0">
    <w:p w14:paraId="43706661" w14:textId="77777777" w:rsidR="0094061E" w:rsidRDefault="0094061E" w:rsidP="00324D78">
      <w:pPr>
        <w:spacing w:after="0" w:line="240" w:lineRule="auto"/>
      </w:pPr>
      <w:r>
        <w:continuationSeparator/>
      </w:r>
    </w:p>
  </w:footnote>
  <w:footnote w:type="continuationNotice" w:id="1">
    <w:p w14:paraId="0F0069E5" w14:textId="77777777" w:rsidR="0094061E" w:rsidRDefault="009406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576C"/>
    <w:multiLevelType w:val="hybridMultilevel"/>
    <w:tmpl w:val="5F72FA5A"/>
    <w:lvl w:ilvl="0" w:tplc="0ABAF44A">
      <w:numFmt w:val="bullet"/>
      <w:lvlText w:val="-"/>
      <w:lvlJc w:val="left"/>
      <w:pPr>
        <w:tabs>
          <w:tab w:val="num" w:pos="644"/>
        </w:tabs>
        <w:ind w:left="644"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1"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31925955"/>
    <w:multiLevelType w:val="multilevel"/>
    <w:tmpl w:val="7610A30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hint="default"/>
        <w:b w:val="0"/>
        <w:i/>
        <w:color w:val="9CC2E5" w:themeColor="accent1" w:themeTint="99"/>
      </w:rPr>
    </w:lvl>
    <w:lvl w:ilvl="3">
      <w:start w:val="1"/>
      <w:numFmt w:val="lowerLetter"/>
      <w:lvlRestart w:val="2"/>
      <w:pStyle w:val="3rove-trval"/>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51740A1D"/>
    <w:multiLevelType w:val="multilevel"/>
    <w:tmpl w:val="59B60964"/>
    <w:lvl w:ilvl="0">
      <w:start w:val="1"/>
      <w:numFmt w:val="decimal"/>
      <w:lvlText w:val="%1."/>
      <w:lvlJc w:val="center"/>
      <w:pPr>
        <w:ind w:left="431" w:hanging="142"/>
      </w:pPr>
      <w:rPr>
        <w:rFonts w:ascii="Arial" w:hAnsi="Arial" w:hint="default"/>
        <w:b/>
        <w:i w:val="0"/>
        <w:color w:val="auto"/>
        <w:sz w:val="20"/>
        <w:u w:val="none"/>
      </w:rPr>
    </w:lvl>
    <w:lvl w:ilvl="1">
      <w:start w:val="1"/>
      <w:numFmt w:val="decimal"/>
      <w:lvlText w:val="%1.%2"/>
      <w:lvlJc w:val="left"/>
      <w:pPr>
        <w:ind w:left="567" w:hanging="567"/>
      </w:pPr>
      <w:rPr>
        <w:rFonts w:ascii="Arial" w:hAnsi="Arial" w:hint="default"/>
        <w:b w:val="0"/>
        <w:i w:val="0"/>
        <w:color w:val="auto"/>
        <w:sz w:val="20"/>
      </w:rPr>
    </w:lvl>
    <w:lvl w:ilvl="2">
      <w:start w:val="1"/>
      <w:numFmt w:val="lowerLetter"/>
      <w:lvlText w:val="%1.%2.%3)"/>
      <w:lvlJc w:val="left"/>
      <w:pPr>
        <w:ind w:left="1304" w:hanging="737"/>
      </w:pPr>
      <w:rPr>
        <w:rFonts w:hint="default"/>
        <w:b w:val="0"/>
        <w:i/>
        <w:color w:val="9CC2E5" w:themeColor="accent1" w:themeTint="99"/>
      </w:rPr>
    </w:lvl>
    <w:lvl w:ilvl="3">
      <w:start w:val="1"/>
      <w:numFmt w:val="bullet"/>
      <w:lvlText w:val=""/>
      <w:lvlJc w:val="left"/>
      <w:pPr>
        <w:ind w:left="1304" w:hanging="737"/>
      </w:pPr>
      <w:rPr>
        <w:rFonts w:ascii="Symbol" w:hAnsi="Symbol"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num w:numId="1" w16cid:durableId="1784878538">
    <w:abstractNumId w:val="2"/>
  </w:num>
  <w:num w:numId="2" w16cid:durableId="512884951">
    <w:abstractNumId w:val="5"/>
  </w:num>
  <w:num w:numId="3" w16cid:durableId="1662002550">
    <w:abstractNumId w:val="2"/>
  </w:num>
  <w:num w:numId="4" w16cid:durableId="70277488">
    <w:abstractNumId w:val="2"/>
  </w:num>
  <w:num w:numId="5" w16cid:durableId="1788618152">
    <w:abstractNumId w:val="2"/>
  </w:num>
  <w:num w:numId="6" w16cid:durableId="2009360090">
    <w:abstractNumId w:val="2"/>
  </w:num>
  <w:num w:numId="7" w16cid:durableId="994914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0328150">
    <w:abstractNumId w:val="2"/>
  </w:num>
  <w:num w:numId="9" w16cid:durableId="1710258492">
    <w:abstractNumId w:val="2"/>
  </w:num>
  <w:num w:numId="10" w16cid:durableId="408622899">
    <w:abstractNumId w:val="2"/>
  </w:num>
  <w:num w:numId="11" w16cid:durableId="451562364">
    <w:abstractNumId w:val="2"/>
  </w:num>
  <w:num w:numId="12" w16cid:durableId="1226524463">
    <w:abstractNumId w:val="1"/>
  </w:num>
  <w:num w:numId="13" w16cid:durableId="938293917">
    <w:abstractNumId w:val="2"/>
    <w:lvlOverride w:ilvl="0">
      <w:startOverride w:val="1"/>
    </w:lvlOverride>
    <w:lvlOverride w:ilvl="1">
      <w:startOverride w:val="1"/>
    </w:lvlOverride>
    <w:lvlOverride w:ilvl="2">
      <w:startOverride w:val="1"/>
    </w:lvlOverride>
  </w:num>
  <w:num w:numId="14" w16cid:durableId="910190049">
    <w:abstractNumId w:val="4"/>
  </w:num>
  <w:num w:numId="15" w16cid:durableId="734742432">
    <w:abstractNumId w:val="2"/>
  </w:num>
  <w:num w:numId="16" w16cid:durableId="1395620060">
    <w:abstractNumId w:val="2"/>
  </w:num>
  <w:num w:numId="17" w16cid:durableId="1932277803">
    <w:abstractNumId w:val="2"/>
  </w:num>
  <w:num w:numId="18" w16cid:durableId="1742361300">
    <w:abstractNumId w:val="2"/>
  </w:num>
  <w:num w:numId="19" w16cid:durableId="2142384093">
    <w:abstractNumId w:val="2"/>
  </w:num>
  <w:num w:numId="20" w16cid:durableId="286619578">
    <w:abstractNumId w:val="2"/>
  </w:num>
  <w:num w:numId="21" w16cid:durableId="87820876">
    <w:abstractNumId w:val="2"/>
  </w:num>
  <w:num w:numId="22" w16cid:durableId="1550530857">
    <w:abstractNumId w:val="2"/>
  </w:num>
  <w:num w:numId="23" w16cid:durableId="1029913594">
    <w:abstractNumId w:val="2"/>
  </w:num>
  <w:num w:numId="24" w16cid:durableId="2048673887">
    <w:abstractNumId w:val="2"/>
  </w:num>
  <w:num w:numId="25" w16cid:durableId="272054904">
    <w:abstractNumId w:val="0"/>
  </w:num>
  <w:num w:numId="26" w16cid:durableId="2110347196">
    <w:abstractNumId w:val="2"/>
  </w:num>
  <w:num w:numId="27" w16cid:durableId="95489309">
    <w:abstractNumId w:val="3"/>
  </w:num>
  <w:num w:numId="28" w16cid:durableId="1990745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D"/>
    <w:rsid w:val="000132A3"/>
    <w:rsid w:val="00013EEE"/>
    <w:rsid w:val="00016F4B"/>
    <w:rsid w:val="000228C3"/>
    <w:rsid w:val="0003487A"/>
    <w:rsid w:val="000417D8"/>
    <w:rsid w:val="0005319A"/>
    <w:rsid w:val="0005501A"/>
    <w:rsid w:val="00077168"/>
    <w:rsid w:val="0008212D"/>
    <w:rsid w:val="00083923"/>
    <w:rsid w:val="00090713"/>
    <w:rsid w:val="00095DF0"/>
    <w:rsid w:val="000A2D19"/>
    <w:rsid w:val="000A6E68"/>
    <w:rsid w:val="000B0AC2"/>
    <w:rsid w:val="000B11E0"/>
    <w:rsid w:val="000B7FE5"/>
    <w:rsid w:val="000C5740"/>
    <w:rsid w:val="000D31A2"/>
    <w:rsid w:val="000D3A8A"/>
    <w:rsid w:val="000E7D0E"/>
    <w:rsid w:val="000F686B"/>
    <w:rsid w:val="00100850"/>
    <w:rsid w:val="00110246"/>
    <w:rsid w:val="00114376"/>
    <w:rsid w:val="00116E6A"/>
    <w:rsid w:val="00123AD3"/>
    <w:rsid w:val="00126170"/>
    <w:rsid w:val="00141F9B"/>
    <w:rsid w:val="001422DD"/>
    <w:rsid w:val="0014635F"/>
    <w:rsid w:val="001477A0"/>
    <w:rsid w:val="001575B6"/>
    <w:rsid w:val="001633E8"/>
    <w:rsid w:val="00165E3A"/>
    <w:rsid w:val="00185DE1"/>
    <w:rsid w:val="00186F11"/>
    <w:rsid w:val="00193C3A"/>
    <w:rsid w:val="001C4D9E"/>
    <w:rsid w:val="001C5953"/>
    <w:rsid w:val="001C6112"/>
    <w:rsid w:val="001D77E5"/>
    <w:rsid w:val="001E11F1"/>
    <w:rsid w:val="001E22BF"/>
    <w:rsid w:val="001E5A62"/>
    <w:rsid w:val="00202565"/>
    <w:rsid w:val="00202B53"/>
    <w:rsid w:val="002031A5"/>
    <w:rsid w:val="0020364F"/>
    <w:rsid w:val="002065FF"/>
    <w:rsid w:val="00206EC6"/>
    <w:rsid w:val="00211237"/>
    <w:rsid w:val="00214E04"/>
    <w:rsid w:val="00220F80"/>
    <w:rsid w:val="00222CBA"/>
    <w:rsid w:val="00223423"/>
    <w:rsid w:val="002322B2"/>
    <w:rsid w:val="002354AD"/>
    <w:rsid w:val="00253134"/>
    <w:rsid w:val="00254F2A"/>
    <w:rsid w:val="002563AC"/>
    <w:rsid w:val="00281988"/>
    <w:rsid w:val="002827BA"/>
    <w:rsid w:val="00282F08"/>
    <w:rsid w:val="00287043"/>
    <w:rsid w:val="0029484F"/>
    <w:rsid w:val="002A0530"/>
    <w:rsid w:val="002A56F2"/>
    <w:rsid w:val="002B1861"/>
    <w:rsid w:val="002B1A10"/>
    <w:rsid w:val="002B3431"/>
    <w:rsid w:val="002B4723"/>
    <w:rsid w:val="002B4728"/>
    <w:rsid w:val="002B57B6"/>
    <w:rsid w:val="002C00E2"/>
    <w:rsid w:val="002C5090"/>
    <w:rsid w:val="002D215A"/>
    <w:rsid w:val="002F1FE4"/>
    <w:rsid w:val="00303D3B"/>
    <w:rsid w:val="003042E9"/>
    <w:rsid w:val="00306C0D"/>
    <w:rsid w:val="0030743E"/>
    <w:rsid w:val="003131AB"/>
    <w:rsid w:val="00313590"/>
    <w:rsid w:val="00324D78"/>
    <w:rsid w:val="00340702"/>
    <w:rsid w:val="00340B35"/>
    <w:rsid w:val="00357803"/>
    <w:rsid w:val="00357941"/>
    <w:rsid w:val="0036448F"/>
    <w:rsid w:val="003659F7"/>
    <w:rsid w:val="003705D1"/>
    <w:rsid w:val="0037131F"/>
    <w:rsid w:val="00373C3D"/>
    <w:rsid w:val="00374AE6"/>
    <w:rsid w:val="00376A53"/>
    <w:rsid w:val="00381A8A"/>
    <w:rsid w:val="003A2B2E"/>
    <w:rsid w:val="003A399C"/>
    <w:rsid w:val="003B4183"/>
    <w:rsid w:val="003B4F68"/>
    <w:rsid w:val="003B7019"/>
    <w:rsid w:val="003C4D8A"/>
    <w:rsid w:val="003C6624"/>
    <w:rsid w:val="003D40FC"/>
    <w:rsid w:val="003D4418"/>
    <w:rsid w:val="003D6684"/>
    <w:rsid w:val="003D6A1A"/>
    <w:rsid w:val="003D7EC4"/>
    <w:rsid w:val="003E3BE0"/>
    <w:rsid w:val="003E3DF1"/>
    <w:rsid w:val="003F1035"/>
    <w:rsid w:val="004054E1"/>
    <w:rsid w:val="00412219"/>
    <w:rsid w:val="00415855"/>
    <w:rsid w:val="004272E4"/>
    <w:rsid w:val="00430948"/>
    <w:rsid w:val="00432A5A"/>
    <w:rsid w:val="004340C5"/>
    <w:rsid w:val="00436CD2"/>
    <w:rsid w:val="00444289"/>
    <w:rsid w:val="00463EEE"/>
    <w:rsid w:val="00477791"/>
    <w:rsid w:val="00485683"/>
    <w:rsid w:val="004872A7"/>
    <w:rsid w:val="004942FC"/>
    <w:rsid w:val="00496893"/>
    <w:rsid w:val="004A3A15"/>
    <w:rsid w:val="004B6331"/>
    <w:rsid w:val="004C0FC3"/>
    <w:rsid w:val="004C3F28"/>
    <w:rsid w:val="004D67D0"/>
    <w:rsid w:val="004D7E38"/>
    <w:rsid w:val="004E4E47"/>
    <w:rsid w:val="004E6FCB"/>
    <w:rsid w:val="004F068F"/>
    <w:rsid w:val="004F1656"/>
    <w:rsid w:val="005000EC"/>
    <w:rsid w:val="00501F8C"/>
    <w:rsid w:val="00504796"/>
    <w:rsid w:val="00506961"/>
    <w:rsid w:val="005143BA"/>
    <w:rsid w:val="005160EE"/>
    <w:rsid w:val="00516C51"/>
    <w:rsid w:val="005269E1"/>
    <w:rsid w:val="00530D1A"/>
    <w:rsid w:val="00535F16"/>
    <w:rsid w:val="005405D6"/>
    <w:rsid w:val="005529CE"/>
    <w:rsid w:val="00552A30"/>
    <w:rsid w:val="0056114B"/>
    <w:rsid w:val="005651A6"/>
    <w:rsid w:val="00567CAC"/>
    <w:rsid w:val="0057462A"/>
    <w:rsid w:val="005803A9"/>
    <w:rsid w:val="005815A6"/>
    <w:rsid w:val="0058284A"/>
    <w:rsid w:val="00584FAF"/>
    <w:rsid w:val="00586C8E"/>
    <w:rsid w:val="00592774"/>
    <w:rsid w:val="00595EDB"/>
    <w:rsid w:val="005A2387"/>
    <w:rsid w:val="005A3060"/>
    <w:rsid w:val="005B1088"/>
    <w:rsid w:val="005B3156"/>
    <w:rsid w:val="005B3FE5"/>
    <w:rsid w:val="005C0FC8"/>
    <w:rsid w:val="005C3F37"/>
    <w:rsid w:val="005C5366"/>
    <w:rsid w:val="005F0EEE"/>
    <w:rsid w:val="005F5EF1"/>
    <w:rsid w:val="006033A0"/>
    <w:rsid w:val="00610168"/>
    <w:rsid w:val="006120A4"/>
    <w:rsid w:val="006137BD"/>
    <w:rsid w:val="00626FA3"/>
    <w:rsid w:val="006458DC"/>
    <w:rsid w:val="00663A3B"/>
    <w:rsid w:val="00664E5A"/>
    <w:rsid w:val="00674C5D"/>
    <w:rsid w:val="00687573"/>
    <w:rsid w:val="006A3349"/>
    <w:rsid w:val="006A4FA0"/>
    <w:rsid w:val="006E3B58"/>
    <w:rsid w:val="006E48D9"/>
    <w:rsid w:val="00703656"/>
    <w:rsid w:val="007077EE"/>
    <w:rsid w:val="0071018E"/>
    <w:rsid w:val="00747C54"/>
    <w:rsid w:val="00760945"/>
    <w:rsid w:val="00765E8A"/>
    <w:rsid w:val="00766DAA"/>
    <w:rsid w:val="0077026D"/>
    <w:rsid w:val="00771116"/>
    <w:rsid w:val="00774B8A"/>
    <w:rsid w:val="00786279"/>
    <w:rsid w:val="00794512"/>
    <w:rsid w:val="0079756B"/>
    <w:rsid w:val="007A3EEB"/>
    <w:rsid w:val="007B1390"/>
    <w:rsid w:val="007B16C0"/>
    <w:rsid w:val="007B258A"/>
    <w:rsid w:val="007C01EB"/>
    <w:rsid w:val="007C0AD4"/>
    <w:rsid w:val="007C1859"/>
    <w:rsid w:val="007C2258"/>
    <w:rsid w:val="007D3606"/>
    <w:rsid w:val="007D786E"/>
    <w:rsid w:val="007E1791"/>
    <w:rsid w:val="007E4CE9"/>
    <w:rsid w:val="008024B4"/>
    <w:rsid w:val="00826193"/>
    <w:rsid w:val="00836085"/>
    <w:rsid w:val="008366B8"/>
    <w:rsid w:val="00846F07"/>
    <w:rsid w:val="00860737"/>
    <w:rsid w:val="00867936"/>
    <w:rsid w:val="00870EEC"/>
    <w:rsid w:val="008861B6"/>
    <w:rsid w:val="008870B5"/>
    <w:rsid w:val="00887BFA"/>
    <w:rsid w:val="00890E4B"/>
    <w:rsid w:val="008A5D70"/>
    <w:rsid w:val="008A6407"/>
    <w:rsid w:val="008B3CAE"/>
    <w:rsid w:val="008B3E4F"/>
    <w:rsid w:val="008C55EA"/>
    <w:rsid w:val="008D0B91"/>
    <w:rsid w:val="008D1EBC"/>
    <w:rsid w:val="008D374D"/>
    <w:rsid w:val="008E03AA"/>
    <w:rsid w:val="008E5BB6"/>
    <w:rsid w:val="008E75C2"/>
    <w:rsid w:val="008E7B6E"/>
    <w:rsid w:val="008F6C71"/>
    <w:rsid w:val="009021DC"/>
    <w:rsid w:val="009139D6"/>
    <w:rsid w:val="00927879"/>
    <w:rsid w:val="00930026"/>
    <w:rsid w:val="0094061E"/>
    <w:rsid w:val="00945181"/>
    <w:rsid w:val="009465C0"/>
    <w:rsid w:val="009514A5"/>
    <w:rsid w:val="009609DE"/>
    <w:rsid w:val="009631A7"/>
    <w:rsid w:val="00971B6C"/>
    <w:rsid w:val="009726C2"/>
    <w:rsid w:val="00973A13"/>
    <w:rsid w:val="00983080"/>
    <w:rsid w:val="009859A3"/>
    <w:rsid w:val="00990D91"/>
    <w:rsid w:val="0099201B"/>
    <w:rsid w:val="00994345"/>
    <w:rsid w:val="009954FF"/>
    <w:rsid w:val="009968D7"/>
    <w:rsid w:val="009A7B68"/>
    <w:rsid w:val="009B7C70"/>
    <w:rsid w:val="009C62B9"/>
    <w:rsid w:val="009D5C88"/>
    <w:rsid w:val="009D6548"/>
    <w:rsid w:val="009E1DBD"/>
    <w:rsid w:val="009E67EA"/>
    <w:rsid w:val="009F6EDA"/>
    <w:rsid w:val="00A166E5"/>
    <w:rsid w:val="00A171B4"/>
    <w:rsid w:val="00A20D53"/>
    <w:rsid w:val="00A233FD"/>
    <w:rsid w:val="00A35B90"/>
    <w:rsid w:val="00A439DD"/>
    <w:rsid w:val="00A4650A"/>
    <w:rsid w:val="00A517D6"/>
    <w:rsid w:val="00A566CC"/>
    <w:rsid w:val="00A60925"/>
    <w:rsid w:val="00A639C5"/>
    <w:rsid w:val="00A64E56"/>
    <w:rsid w:val="00A66CDB"/>
    <w:rsid w:val="00A75A68"/>
    <w:rsid w:val="00A954DB"/>
    <w:rsid w:val="00A96CAC"/>
    <w:rsid w:val="00AB0C43"/>
    <w:rsid w:val="00AB4AFB"/>
    <w:rsid w:val="00AB55C8"/>
    <w:rsid w:val="00AB7406"/>
    <w:rsid w:val="00AD41BD"/>
    <w:rsid w:val="00AF403C"/>
    <w:rsid w:val="00B007CA"/>
    <w:rsid w:val="00B036EE"/>
    <w:rsid w:val="00B0565F"/>
    <w:rsid w:val="00B06852"/>
    <w:rsid w:val="00B21DB2"/>
    <w:rsid w:val="00B24D28"/>
    <w:rsid w:val="00B4088C"/>
    <w:rsid w:val="00B43670"/>
    <w:rsid w:val="00B56AC2"/>
    <w:rsid w:val="00B57038"/>
    <w:rsid w:val="00B572AA"/>
    <w:rsid w:val="00B60582"/>
    <w:rsid w:val="00B64E1E"/>
    <w:rsid w:val="00B7467E"/>
    <w:rsid w:val="00B779C7"/>
    <w:rsid w:val="00BB6D13"/>
    <w:rsid w:val="00BD1A8B"/>
    <w:rsid w:val="00BD2867"/>
    <w:rsid w:val="00BE049C"/>
    <w:rsid w:val="00BE1FEE"/>
    <w:rsid w:val="00BE451E"/>
    <w:rsid w:val="00BF1BAB"/>
    <w:rsid w:val="00C02077"/>
    <w:rsid w:val="00C025BD"/>
    <w:rsid w:val="00C069A0"/>
    <w:rsid w:val="00C201D2"/>
    <w:rsid w:val="00C23931"/>
    <w:rsid w:val="00C23F57"/>
    <w:rsid w:val="00C276DF"/>
    <w:rsid w:val="00C3703E"/>
    <w:rsid w:val="00C41132"/>
    <w:rsid w:val="00C50D92"/>
    <w:rsid w:val="00C64D04"/>
    <w:rsid w:val="00C70342"/>
    <w:rsid w:val="00C736EB"/>
    <w:rsid w:val="00C81F2E"/>
    <w:rsid w:val="00C86C32"/>
    <w:rsid w:val="00C92705"/>
    <w:rsid w:val="00C93792"/>
    <w:rsid w:val="00C9772B"/>
    <w:rsid w:val="00CA6054"/>
    <w:rsid w:val="00CB1B5B"/>
    <w:rsid w:val="00CB40FE"/>
    <w:rsid w:val="00CB78A2"/>
    <w:rsid w:val="00CC6CBC"/>
    <w:rsid w:val="00CD087C"/>
    <w:rsid w:val="00CD0D0C"/>
    <w:rsid w:val="00CD15CD"/>
    <w:rsid w:val="00CD2022"/>
    <w:rsid w:val="00CD2C76"/>
    <w:rsid w:val="00CD6632"/>
    <w:rsid w:val="00CD6741"/>
    <w:rsid w:val="00CE1DC5"/>
    <w:rsid w:val="00CF3AEF"/>
    <w:rsid w:val="00D0470B"/>
    <w:rsid w:val="00D067FC"/>
    <w:rsid w:val="00D11E31"/>
    <w:rsid w:val="00D143CD"/>
    <w:rsid w:val="00D24B65"/>
    <w:rsid w:val="00D44423"/>
    <w:rsid w:val="00D53684"/>
    <w:rsid w:val="00D62E0E"/>
    <w:rsid w:val="00D62FDD"/>
    <w:rsid w:val="00D64AB1"/>
    <w:rsid w:val="00D65F4F"/>
    <w:rsid w:val="00D77279"/>
    <w:rsid w:val="00D81E06"/>
    <w:rsid w:val="00D865B0"/>
    <w:rsid w:val="00D87383"/>
    <w:rsid w:val="00D9597D"/>
    <w:rsid w:val="00DA3937"/>
    <w:rsid w:val="00DB2509"/>
    <w:rsid w:val="00DC297B"/>
    <w:rsid w:val="00DD4339"/>
    <w:rsid w:val="00DD47CA"/>
    <w:rsid w:val="00DE1A8D"/>
    <w:rsid w:val="00DE5507"/>
    <w:rsid w:val="00DE64D6"/>
    <w:rsid w:val="00DE6C50"/>
    <w:rsid w:val="00DF5F8A"/>
    <w:rsid w:val="00E00200"/>
    <w:rsid w:val="00E11474"/>
    <w:rsid w:val="00E14143"/>
    <w:rsid w:val="00E24859"/>
    <w:rsid w:val="00E2743A"/>
    <w:rsid w:val="00E35B80"/>
    <w:rsid w:val="00E52928"/>
    <w:rsid w:val="00E81330"/>
    <w:rsid w:val="00E82920"/>
    <w:rsid w:val="00E84126"/>
    <w:rsid w:val="00E85813"/>
    <w:rsid w:val="00E8594B"/>
    <w:rsid w:val="00E86D26"/>
    <w:rsid w:val="00E917D9"/>
    <w:rsid w:val="00E961AC"/>
    <w:rsid w:val="00EA1D72"/>
    <w:rsid w:val="00EA26E7"/>
    <w:rsid w:val="00EA63B6"/>
    <w:rsid w:val="00EB1154"/>
    <w:rsid w:val="00EC46C6"/>
    <w:rsid w:val="00EC4D55"/>
    <w:rsid w:val="00EC5183"/>
    <w:rsid w:val="00EE01AD"/>
    <w:rsid w:val="00EE159D"/>
    <w:rsid w:val="00EE1FAD"/>
    <w:rsid w:val="00EE3182"/>
    <w:rsid w:val="00EF0397"/>
    <w:rsid w:val="00EF3631"/>
    <w:rsid w:val="00EF4D59"/>
    <w:rsid w:val="00F03FF4"/>
    <w:rsid w:val="00F120BA"/>
    <w:rsid w:val="00F13C74"/>
    <w:rsid w:val="00F26AF6"/>
    <w:rsid w:val="00F3780D"/>
    <w:rsid w:val="00F40D13"/>
    <w:rsid w:val="00F43D0C"/>
    <w:rsid w:val="00F50470"/>
    <w:rsid w:val="00F54213"/>
    <w:rsid w:val="00F575F2"/>
    <w:rsid w:val="00F57D0B"/>
    <w:rsid w:val="00F63FD3"/>
    <w:rsid w:val="00F71A22"/>
    <w:rsid w:val="00F75253"/>
    <w:rsid w:val="00F818CC"/>
    <w:rsid w:val="00F8398D"/>
    <w:rsid w:val="00F90976"/>
    <w:rsid w:val="00FA2799"/>
    <w:rsid w:val="00FB0E5C"/>
    <w:rsid w:val="00FB265A"/>
    <w:rsid w:val="00FB5911"/>
    <w:rsid w:val="00FC1D25"/>
    <w:rsid w:val="00FC2E44"/>
    <w:rsid w:val="00FD00AD"/>
    <w:rsid w:val="00FD4695"/>
    <w:rsid w:val="00FE1CF5"/>
    <w:rsid w:val="00FE4470"/>
    <w:rsid w:val="00FE506E"/>
    <w:rsid w:val="00FE5892"/>
    <w:rsid w:val="00FE69B7"/>
    <w:rsid w:val="00FF0072"/>
    <w:rsid w:val="00FF01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D43D0"/>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827BA"/>
    <w:rPr>
      <w:rFonts w:ascii="Arial" w:hAnsi="Arial"/>
      <w:sz w:val="20"/>
    </w:rPr>
  </w:style>
  <w:style w:type="paragraph" w:styleId="Nadpis1">
    <w:name w:val="heading 1"/>
    <w:aliases w:val="1. úroveň,Nadpis článku smlouvy"/>
    <w:basedOn w:val="Normln"/>
    <w:next w:val="2rove"/>
    <w:link w:val="Nadpis1Char"/>
    <w:qFormat/>
    <w:rsid w:val="00B4088C"/>
    <w:pPr>
      <w:keepNext/>
      <w:numPr>
        <w:numId w:val="1"/>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rove">
    <w:name w:val="2. úroveň"/>
    <w:basedOn w:val="Normln"/>
    <w:uiPriority w:val="1"/>
    <w:qFormat/>
    <w:rsid w:val="002827BA"/>
    <w:pPr>
      <w:numPr>
        <w:ilvl w:val="1"/>
        <w:numId w:val="1"/>
      </w:numPr>
      <w:spacing w:before="60" w:after="60" w:line="240" w:lineRule="auto"/>
      <w:jc w:val="both"/>
      <w:outlineLvl w:val="1"/>
    </w:pPr>
  </w:style>
  <w:style w:type="paragraph" w:customStyle="1" w:styleId="3rove-kodstrann">
    <w:name w:val="3. úroveň - k odstranění"/>
    <w:basedOn w:val="2rove"/>
    <w:uiPriority w:val="2"/>
    <w:qFormat/>
    <w:rsid w:val="00501F8C"/>
    <w:pPr>
      <w:numPr>
        <w:ilvl w:val="2"/>
      </w:numPr>
      <w:spacing w:before="0"/>
      <w:outlineLvl w:val="2"/>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1. úroveň Char,Nadpis článku smlouvy Char"/>
    <w:basedOn w:val="Standardnpsmoodstavce"/>
    <w:link w:val="Nadpis1"/>
    <w:rsid w:val="00B4088C"/>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character" w:customStyle="1" w:styleId="Kvbruaodstrann">
    <w:name w:val="K výběru a odstranění"/>
    <w:basedOn w:val="Standardnpsmoodstavce"/>
    <w:uiPriority w:val="1"/>
    <w:qFormat/>
    <w:rsid w:val="00983080"/>
    <w:rPr>
      <w:i/>
      <w:color w:val="5B9BD5" w:themeColor="accent1"/>
      <w:sz w:val="16"/>
      <w:szCs w:val="16"/>
    </w:rPr>
  </w:style>
  <w:style w:type="paragraph" w:customStyle="1" w:styleId="3rove-trval">
    <w:name w:val="3. úroveň - trvalá"/>
    <w:basedOn w:val="3rove-kodstrann"/>
    <w:uiPriority w:val="3"/>
    <w:qFormat/>
    <w:rsid w:val="00501F8C"/>
    <w:pPr>
      <w:numPr>
        <w:ilvl w:val="3"/>
      </w:numPr>
    </w:pPr>
  </w:style>
  <w:style w:type="character" w:styleId="Hypertextovodkaz">
    <w:name w:val="Hyperlink"/>
    <w:basedOn w:val="Standardnpsmoodstavce"/>
    <w:uiPriority w:val="99"/>
    <w:unhideWhenUsed/>
    <w:rsid w:val="00595EDB"/>
    <w:rPr>
      <w:color w:val="0563C1" w:themeColor="hyperlink"/>
      <w:u w:val="single"/>
    </w:rPr>
  </w:style>
  <w:style w:type="paragraph" w:styleId="Odstavecseseznamem">
    <w:name w:val="List Paragraph"/>
    <w:basedOn w:val="Normln"/>
    <w:link w:val="OdstavecseseznamemChar"/>
    <w:uiPriority w:val="34"/>
    <w:qFormat/>
    <w:rsid w:val="003C6624"/>
    <w:pPr>
      <w:spacing w:after="200" w:line="276" w:lineRule="auto"/>
      <w:ind w:left="720"/>
      <w:contextualSpacing/>
    </w:pPr>
    <w:rPr>
      <w:rFonts w:asciiTheme="minorHAnsi" w:hAnsiTheme="minorHAnsi"/>
      <w:sz w:val="22"/>
    </w:rPr>
  </w:style>
  <w:style w:type="character" w:customStyle="1" w:styleId="OdstavecseseznamemChar">
    <w:name w:val="Odstavec se seznamem Char"/>
    <w:basedOn w:val="Standardnpsmoodstavce"/>
    <w:link w:val="Odstavecseseznamem"/>
    <w:uiPriority w:val="34"/>
    <w:qFormat/>
    <w:rsid w:val="003C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886">
      <w:bodyDiv w:val="1"/>
      <w:marLeft w:val="0"/>
      <w:marRight w:val="0"/>
      <w:marTop w:val="0"/>
      <w:marBottom w:val="0"/>
      <w:divBdr>
        <w:top w:val="none" w:sz="0" w:space="0" w:color="auto"/>
        <w:left w:val="none" w:sz="0" w:space="0" w:color="auto"/>
        <w:bottom w:val="none" w:sz="0" w:space="0" w:color="auto"/>
        <w:right w:val="none" w:sz="0" w:space="0" w:color="auto"/>
      </w:divBdr>
    </w:div>
    <w:div w:id="447117501">
      <w:bodyDiv w:val="1"/>
      <w:marLeft w:val="0"/>
      <w:marRight w:val="0"/>
      <w:marTop w:val="0"/>
      <w:marBottom w:val="0"/>
      <w:divBdr>
        <w:top w:val="none" w:sz="0" w:space="0" w:color="auto"/>
        <w:left w:val="none" w:sz="0" w:space="0" w:color="auto"/>
        <w:bottom w:val="none" w:sz="0" w:space="0" w:color="auto"/>
        <w:right w:val="none" w:sz="0" w:space="0" w:color="auto"/>
      </w:divBdr>
    </w:div>
    <w:div w:id="178325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18462D9BBA65644BA36A404E812B974" ma:contentTypeVersion="12" ma:contentTypeDescription="Vytvoří nový dokument" ma:contentTypeScope="" ma:versionID="23f88153f019cbd187e85fb024116e43">
  <xsd:schema xmlns:xsd="http://www.w3.org/2001/XMLSchema" xmlns:xs="http://www.w3.org/2001/XMLSchema" xmlns:p="http://schemas.microsoft.com/office/2006/metadata/properties" xmlns:ns3="a51bdc13-f277-4602-9319-a884ad649568" xmlns:ns4="bd8f3fd4-6e3e-4a9b-b72e-f218a73e6586" targetNamespace="http://schemas.microsoft.com/office/2006/metadata/properties" ma:root="true" ma:fieldsID="a95462cfca7c260cb70b654b3dac7e7a" ns3:_="" ns4:_="">
    <xsd:import namespace="a51bdc13-f277-4602-9319-a884ad649568"/>
    <xsd:import namespace="bd8f3fd4-6e3e-4a9b-b72e-f218a73e65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dc13-f277-4602-9319-a884ad64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3fd4-6e3e-4a9b-b72e-f218a73e658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AC49A-6DC5-4B53-9794-86AA23A2226B}">
  <ds:schemaRefs>
    <ds:schemaRef ds:uri="http://schemas.openxmlformats.org/officeDocument/2006/bibliography"/>
  </ds:schemaRefs>
</ds:datastoreItem>
</file>

<file path=customXml/itemProps2.xml><?xml version="1.0" encoding="utf-8"?>
<ds:datastoreItem xmlns:ds="http://schemas.openxmlformats.org/officeDocument/2006/customXml" ds:itemID="{F1E34715-77BD-408A-AA4F-7FEF4100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dc13-f277-4602-9319-a884ad649568"/>
    <ds:schemaRef ds:uri="bd8f3fd4-6e3e-4a9b-b72e-f218a73e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D5670-2DE6-40EF-A2AC-0B17642393BA}">
  <ds:schemaRefs>
    <ds:schemaRef ds:uri="http://schemas.microsoft.com/sharepoint/v3/contenttype/forms"/>
  </ds:schemaRefs>
</ds:datastoreItem>
</file>

<file path=customXml/itemProps4.xml><?xml version="1.0" encoding="utf-8"?>
<ds:datastoreItem xmlns:ds="http://schemas.openxmlformats.org/officeDocument/2006/customXml" ds:itemID="{E53B9A84-F13D-4057-B7DD-29ED6BE3B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5</TotalTime>
  <Pages>8</Pages>
  <Words>3351</Words>
  <Characters>19773</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Kubernátová Barbora</cp:lastModifiedBy>
  <cp:revision>3</cp:revision>
  <dcterms:created xsi:type="dcterms:W3CDTF">2025-07-02T07:58:00Z</dcterms:created>
  <dcterms:modified xsi:type="dcterms:W3CDTF">2025-07-02T08:02:00Z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0x010100B18462D9BBA65644BA36A404E812B974</vt:lpwstr>
  </property>
</Properties>
</file>