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Divadlo Archa, o.p.s.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sídlem č. p. 1047, Na Poříčí 26, Praha 1</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zastoupená Jindřichem Krippnerem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ředitelem společnosti</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IČO: 26 72 30 00, DIČ: CZ 26 72 30 00,</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(dále jen ARCHA+)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ind w:right="-226"/>
        <w:rPr>
          <w:rFonts w:ascii="Arial" w:cs="Arial" w:eastAsia="Arial" w:hAnsi="Arial"/>
          <w:sz w:val="22"/>
          <w:szCs w:val="22"/>
        </w:rPr>
      </w:pPr>
      <w:r w:rsidDel="00000000" w:rsidR="00000000" w:rsidRPr="00000000">
        <w:rPr>
          <w:rFonts w:ascii="Arial" w:cs="Arial" w:eastAsia="Arial" w:hAnsi="Arial"/>
          <w:sz w:val="22"/>
          <w:szCs w:val="22"/>
          <w:rtl w:val="0"/>
        </w:rPr>
        <w:t xml:space="preserve">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Divadelní společnost Petra Bezruče s.r.o.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sídlem 28. října 1701/120, Moravská Ostrava, 702 00 Ostrava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zastoupená Filipem Krejčím, jednatelem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IČO: 28. října 1701/120, Moravská Ostrava, 702 00 Ostrava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(dále jen DPB)</w:t>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dále také jako „Smluvní strana“/společně jako „Smluvní strany“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ind w:right="-226"/>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uzavírají podle § 1746 odst. 2 zákona č. 89/2012 Sb, občanského zákoníku níže uvedeného dne, měsíce a roku tuto</w:t>
      </w:r>
    </w:p>
    <w:p w:rsidR="00000000" w:rsidDel="00000000" w:rsidP="00000000" w:rsidRDefault="00000000" w:rsidRPr="00000000" w14:paraId="00000012">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SMLOUVU O SPOLUPRÁCI PŘI USPOŘÁDÁNÍ PŘEDSTAVENÍ</w:t>
      </w:r>
    </w:p>
    <w:p w:rsidR="00000000" w:rsidDel="00000000" w:rsidP="00000000" w:rsidRDefault="00000000" w:rsidRPr="00000000" w14:paraId="00000014">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w:t>
      </w:r>
    </w:p>
    <w:p w:rsidR="00000000" w:rsidDel="00000000" w:rsidP="00000000" w:rsidRDefault="00000000" w:rsidRPr="00000000" w14:paraId="00000016">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Předmět smlouvy</w:t>
      </w:r>
    </w:p>
    <w:p w:rsidR="00000000" w:rsidDel="00000000" w:rsidP="00000000" w:rsidRDefault="00000000" w:rsidRPr="00000000" w14:paraId="00000017">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ind w:right="-2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Smluvní strany se dohodly na vzájemné spolupráci při uspořádání repríz tří inscenací v repertoáru DPB</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(dále jen Představení</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Představení se uskuteční  v prostoru ARCHY+ v termínech a časech dle článku II odst 1. Předmětem této smlouvy je úprava vzájemných práv a povinností smluvních stran souvisejících s uspořádáním Představení dle tohoto článku. </w:t>
      </w:r>
    </w:p>
    <w:p w:rsidR="00000000" w:rsidDel="00000000" w:rsidP="00000000" w:rsidRDefault="00000000" w:rsidRPr="00000000" w14:paraId="00000019">
      <w:pPr>
        <w:ind w:right="-226"/>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1A">
      <w:pPr>
        <w:ind w:right="-226"/>
        <w:jc w:val="center"/>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II</w:t>
      </w: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01B">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Práva a povinnosti ARCHY+</w:t>
      </w:r>
    </w:p>
    <w:p w:rsidR="00000000" w:rsidDel="00000000" w:rsidP="00000000" w:rsidRDefault="00000000" w:rsidRPr="00000000" w14:paraId="0000001C">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Na základě dohody dle článku I. se v prostoru ARCHY+ uskuteční Představení:</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26" w:hanging="360"/>
        <w:jc w:val="both"/>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Pozdě příchozí</w:t>
      </w:r>
      <w:r w:rsidDel="00000000" w:rsidR="00000000" w:rsidRPr="00000000">
        <w:rPr>
          <w:rFonts w:ascii="Arial" w:cs="Arial" w:eastAsia="Arial" w:hAnsi="Arial"/>
          <w:sz w:val="22"/>
          <w:szCs w:val="22"/>
          <w:rtl w:val="0"/>
        </w:rPr>
        <w:t xml:space="preserve"> dne 27. 6. 2025 od 19 hodin na velkém sále ARCHY+</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26" w:hanging="360"/>
        <w:jc w:val="both"/>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Krysař</w:t>
      </w:r>
      <w:r w:rsidDel="00000000" w:rsidR="00000000" w:rsidRPr="00000000">
        <w:rPr>
          <w:rFonts w:ascii="Arial" w:cs="Arial" w:eastAsia="Arial" w:hAnsi="Arial"/>
          <w:sz w:val="22"/>
          <w:szCs w:val="22"/>
          <w:rtl w:val="0"/>
        </w:rPr>
        <w:t xml:space="preserve"> dne 28. 6. 2025 od 19 hodin na velkém sále ARCHY+</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26" w:hanging="360"/>
        <w:jc w:val="both"/>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Nepřítel lidu</w:t>
      </w:r>
      <w:r w:rsidDel="00000000" w:rsidR="00000000" w:rsidRPr="00000000">
        <w:rPr>
          <w:rFonts w:ascii="Arial" w:cs="Arial" w:eastAsia="Arial" w:hAnsi="Arial"/>
          <w:sz w:val="22"/>
          <w:szCs w:val="22"/>
          <w:rtl w:val="0"/>
        </w:rPr>
        <w:t xml:space="preserve"> dne 29. 6. 2025 od 19 hodin na velkém sále ARCHY+</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26" w:firstLine="0"/>
        <w:jc w:val="both"/>
        <w:rPr>
          <w:rFonts w:ascii="Arial" w:cs="Arial" w:eastAsia="Arial" w:hAnsi="Arial"/>
          <w:color w:val="222222"/>
          <w:sz w:val="22"/>
          <w:szCs w:val="22"/>
          <w:highlight w:val="whit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ARCHA+ pro uvedení</w:t>
      </w:r>
      <w:r w:rsidDel="00000000" w:rsidR="00000000" w:rsidRPr="00000000">
        <w:rPr>
          <w:rFonts w:ascii="Arial" w:cs="Arial" w:eastAsia="Arial" w:hAnsi="Arial"/>
          <w:sz w:val="22"/>
          <w:szCs w:val="22"/>
          <w:rtl w:val="0"/>
        </w:rPr>
        <w:t xml:space="preserve"> 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ředstavení připraví a zajistí prostory velk</w:t>
      </w:r>
      <w:r w:rsidDel="00000000" w:rsidR="00000000" w:rsidRPr="00000000">
        <w:rPr>
          <w:rFonts w:ascii="Arial" w:cs="Arial" w:eastAsia="Arial" w:hAnsi="Arial"/>
          <w:sz w:val="22"/>
          <w:szCs w:val="22"/>
          <w:rtl w:val="0"/>
        </w:rPr>
        <w:t xml:space="preserve">ého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sálu a jeho zázemí </w:t>
      </w:r>
      <w:r w:rsidDel="00000000" w:rsidR="00000000" w:rsidRPr="00000000">
        <w:rPr>
          <w:rFonts w:ascii="Arial" w:cs="Arial" w:eastAsia="Arial" w:hAnsi="Arial"/>
          <w:sz w:val="22"/>
          <w:szCs w:val="22"/>
          <w:rtl w:val="0"/>
        </w:rPr>
        <w:t xml:space="preserve">dle požadavků DPB a možností ARCHY+ (elevace ze tří stran, maximální kapacita míst k sezení 150).</w:t>
      </w:r>
      <w:r w:rsidDel="00000000" w:rsidR="00000000" w:rsidRPr="00000000">
        <w:rPr>
          <w:rFonts w:ascii="Arial" w:cs="Arial" w:eastAsia="Arial" w:hAnsi="Arial"/>
          <w:color w:val="222222"/>
          <w:sz w:val="22"/>
          <w:szCs w:val="22"/>
          <w:highlight w:val="whit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26"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Kontaktní osobou za ARCHU+ je dramaturg Štěpán Kubišta</w:t>
      </w:r>
      <w:r w:rsidDel="00000000" w:rsidR="00000000" w:rsidRPr="00000000">
        <w:rPr>
          <w:rFonts w:ascii="Arial" w:cs="Arial" w:eastAsia="Arial" w:hAnsi="Arial"/>
          <w:sz w:val="22"/>
          <w:szCs w:val="22"/>
          <w:rtl w:val="0"/>
        </w:rPr>
        <w:t xml:space="preserve">, </w:t>
      </w:r>
      <w:hyperlink r:id="rId7">
        <w:r w:rsidDel="00000000" w:rsidR="00000000" w:rsidRPr="00000000">
          <w:rPr>
            <w:rFonts w:ascii="Arial" w:cs="Arial" w:eastAsia="Arial" w:hAnsi="Arial"/>
            <w:color w:val="1155cc"/>
            <w:sz w:val="22"/>
            <w:szCs w:val="22"/>
            <w:u w:val="single"/>
            <w:rtl w:val="0"/>
          </w:rPr>
          <w:t xml:space="preserve">stepan.kubista@acha-plus.cz</w:t>
        </w:r>
      </w:hyperlink>
      <w:r w:rsidDel="00000000" w:rsidR="00000000" w:rsidRPr="00000000">
        <w:rPr>
          <w:rFonts w:ascii="Arial" w:cs="Arial" w:eastAsia="Arial" w:hAnsi="Arial"/>
          <w:sz w:val="22"/>
          <w:szCs w:val="22"/>
          <w:rtl w:val="0"/>
        </w:rPr>
        <w:t xml:space="preserve">. Harmonogram příjezdu techniky, stavby a dalších příprav včetně souborných zkoušek bude nejpozději týden před dnem konání prvního představení upřesněn s produkční Eliškou Zemanovou - </w:t>
      </w:r>
      <w:hyperlink r:id="rId8">
        <w:r w:rsidDel="00000000" w:rsidR="00000000" w:rsidRPr="00000000">
          <w:rPr>
            <w:rFonts w:ascii="Arial" w:cs="Arial" w:eastAsia="Arial" w:hAnsi="Arial"/>
            <w:color w:val="1155cc"/>
            <w:sz w:val="22"/>
            <w:szCs w:val="22"/>
            <w:u w:val="single"/>
            <w:rtl w:val="0"/>
          </w:rPr>
          <w:t xml:space="preserve">eliska.zemanova@archa-plus.cz</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ARCHA+ </w:t>
      </w:r>
      <w:r w:rsidDel="00000000" w:rsidR="00000000" w:rsidRPr="00000000">
        <w:rPr>
          <w:rFonts w:ascii="Arial" w:cs="Arial" w:eastAsia="Arial" w:hAnsi="Arial"/>
          <w:sz w:val="22"/>
          <w:szCs w:val="22"/>
          <w:rtl w:val="0"/>
        </w:rPr>
        <w:t xml:space="preserve">zajistí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osvětlovací, zvukařské,  jevištní a video služby </w:t>
      </w:r>
      <w:r w:rsidDel="00000000" w:rsidR="00000000" w:rsidRPr="00000000">
        <w:rPr>
          <w:rFonts w:ascii="Arial" w:cs="Arial" w:eastAsia="Arial" w:hAnsi="Arial"/>
          <w:sz w:val="22"/>
          <w:szCs w:val="22"/>
          <w:rtl w:val="0"/>
        </w:rPr>
        <w:t xml:space="preserve">dle požadavku DPB především dle zaslaných technických požadavků, které jsou jako přílohy součástí této smlouvy.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ARCHA+ zajistí produkční, uvaděče a hledištní personál v dostatečném počtu.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ARCHA+ zajistí propagaci</w:t>
      </w:r>
      <w:r w:rsidDel="00000000" w:rsidR="00000000" w:rsidRPr="00000000">
        <w:rPr>
          <w:rFonts w:ascii="Arial" w:cs="Arial" w:eastAsia="Arial" w:hAnsi="Arial"/>
          <w:sz w:val="22"/>
          <w:szCs w:val="22"/>
          <w:rtl w:val="0"/>
        </w:rPr>
        <w:t xml:space="preserve"> Představení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dle běžného standardu</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ARCHA+ zajistí předprodej vstupenek na </w:t>
      </w:r>
      <w:r w:rsidDel="00000000" w:rsidR="00000000" w:rsidRPr="00000000">
        <w:rPr>
          <w:rFonts w:ascii="Arial" w:cs="Arial" w:eastAsia="Arial" w:hAnsi="Arial"/>
          <w:sz w:val="22"/>
          <w:szCs w:val="22"/>
          <w:rtl w:val="0"/>
        </w:rPr>
        <w:t xml:space="preserve">Představení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prostřednictvím GoOut. Smluvní strany se dohodly na následující</w:t>
      </w:r>
      <w:r w:rsidDel="00000000" w:rsidR="00000000" w:rsidRPr="00000000">
        <w:rPr>
          <w:rFonts w:ascii="Arial" w:cs="Arial" w:eastAsia="Arial" w:hAnsi="Arial"/>
          <w:sz w:val="22"/>
          <w:szCs w:val="22"/>
          <w:rtl w:val="0"/>
        </w:rPr>
        <w:t xml:space="preserve"> výši vstupného: základní vstupné - 530 Kč /se slevou pro studenty a seniory - 430 Kč, friendlist pro soubor - 200 Kč.  Smluvní strany mají právo využít předem domluvený</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počet volných vstupenek na</w:t>
      </w:r>
      <w:r w:rsidDel="00000000" w:rsidR="00000000" w:rsidRPr="00000000">
        <w:rPr>
          <w:rFonts w:ascii="Arial" w:cs="Arial" w:eastAsia="Arial" w:hAnsi="Arial"/>
          <w:sz w:val="22"/>
          <w:szCs w:val="22"/>
          <w:rtl w:val="0"/>
        </w:rPr>
        <w:t xml:space="preserve"> každé představení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Kontaktní osobou pro jednání o předprodeji je </w:t>
      </w:r>
      <w:r w:rsidDel="00000000" w:rsidR="00000000" w:rsidRPr="00000000">
        <w:rPr>
          <w:rFonts w:ascii="Arial" w:cs="Arial" w:eastAsia="Arial" w:hAnsi="Arial"/>
          <w:sz w:val="22"/>
          <w:szCs w:val="22"/>
          <w:rtl w:val="0"/>
        </w:rPr>
        <w:t xml:space="preserve">Martina Žáková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color w:val="000000"/>
          <w:sz w:val="22"/>
          <w:szCs w:val="22"/>
          <w:u w:val="none"/>
          <w:rtl w:val="0"/>
        </w:rPr>
        <w:t xml:space="preserve">martina.zakova</w:t>
      </w:r>
      <w:hyperlink r:id="rId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@archa-plus.</w:t>
        </w:r>
      </w:hyperlink>
      <w:hyperlink r:id="rId10">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w:t>
        </w:r>
      </w:hyperlink>
      <w:r w:rsidDel="00000000" w:rsidR="00000000" w:rsidRPr="00000000">
        <w:rPr>
          <w:rFonts w:ascii="Arial" w:cs="Arial" w:eastAsia="Arial" w:hAnsi="Arial"/>
          <w:sz w:val="22"/>
          <w:szCs w:val="22"/>
          <w:highlight w:val="white"/>
          <w:rtl w:val="0"/>
        </w:rPr>
        <w:t xml:space="preserve">z.</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27">
      <w:pPr>
        <w:numPr>
          <w:ilvl w:val="0"/>
          <w:numId w:val="2"/>
        </w:numPr>
        <w:ind w:left="360" w:right="-2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ARCHA+ zašle nejpozději 5 pracovních dnů po uskutečnění posledního Představení vyúčtování tržeb ze vstupného. Čistá tržba ze vstupného, tj tržba po odečtení poplatku ve výši 3,7% náleží DPB.</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ARCHA+ nenese odpovědnost za škody (na zdraví a majetku) účinkujících a dalších osob zajištěných ze strany</w:t>
      </w:r>
      <w:r w:rsidDel="00000000" w:rsidR="00000000" w:rsidRPr="00000000">
        <w:rPr>
          <w:rFonts w:ascii="Arial" w:cs="Arial" w:eastAsia="Arial" w:hAnsi="Arial"/>
          <w:sz w:val="22"/>
          <w:szCs w:val="22"/>
          <w:rtl w:val="0"/>
        </w:rPr>
        <w:t xml:space="preserve"> DPB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sz w:val="22"/>
          <w:szCs w:val="22"/>
          <w:rtl w:val="0"/>
        </w:rPr>
        <w:t xml:space="preserve"> DPB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zavazuje takové škody pokrýt a uhradit svým pojištěním, případně se nároků na škodu vzdát. </w:t>
      </w:r>
    </w:p>
    <w:p w:rsidR="00000000" w:rsidDel="00000000" w:rsidP="00000000" w:rsidRDefault="00000000" w:rsidRPr="00000000" w14:paraId="00000029">
      <w:pPr>
        <w:numPr>
          <w:ilvl w:val="0"/>
          <w:numId w:val="2"/>
        </w:numPr>
        <w:ind w:left="360" w:right="-226" w:hanging="360"/>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ARCHA+ je oprávněna fotografie, audio a video záznamy z Představení používat bez omezení pro propagaci Představení a pro prezentaci své činnosti, nikoliv však ke komerčním účelům.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2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III.</w:t>
      </w:r>
    </w:p>
    <w:p w:rsidR="00000000" w:rsidDel="00000000" w:rsidP="00000000" w:rsidRDefault="00000000" w:rsidRPr="00000000" w14:paraId="0000002C">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Práva a povinnosti DPB</w:t>
      </w:r>
    </w:p>
    <w:p w:rsidR="00000000" w:rsidDel="00000000" w:rsidP="00000000" w:rsidRDefault="00000000" w:rsidRPr="00000000" w14:paraId="0000002D">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1"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DPB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zavazuje na své náklady a svým jménem zajistit</w:t>
      </w:r>
      <w:r w:rsidDel="00000000" w:rsidR="00000000" w:rsidRPr="00000000">
        <w:rPr>
          <w:rFonts w:ascii="Arial" w:cs="Arial" w:eastAsia="Arial" w:hAnsi="Arial"/>
          <w:sz w:val="22"/>
          <w:szCs w:val="22"/>
          <w:rtl w:val="0"/>
        </w:rPr>
        <w:t xml:space="preserve"> Představení v termínech dle článku Ii odst. 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Představení budou sehrána obvyklým způsobem.</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1"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DPB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zavazuje zajistit na své náklady dopravu (</w:t>
      </w:r>
      <w:r w:rsidDel="00000000" w:rsidR="00000000" w:rsidRPr="00000000">
        <w:rPr>
          <w:rFonts w:ascii="Arial" w:cs="Arial" w:eastAsia="Arial" w:hAnsi="Arial"/>
          <w:sz w:val="22"/>
          <w:szCs w:val="22"/>
          <w:rtl w:val="0"/>
        </w:rPr>
        <w:t xml:space="preserve">Ostrava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Praha - Ostrava) u</w:t>
      </w:r>
      <w:r w:rsidDel="00000000" w:rsidR="00000000" w:rsidRPr="00000000">
        <w:rPr>
          <w:rFonts w:ascii="Arial" w:cs="Arial" w:eastAsia="Arial" w:hAnsi="Arial"/>
          <w:sz w:val="22"/>
          <w:szCs w:val="22"/>
          <w:rtl w:val="0"/>
        </w:rPr>
        <w:t xml:space="preserve">měleckého souboru a technických pracovníků, dále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dekorací, rekvizit a kostýmů.</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1"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DPB se zavazuje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uhradit všechny honoráře členů </w:t>
      </w:r>
      <w:r w:rsidDel="00000000" w:rsidR="00000000" w:rsidRPr="00000000">
        <w:rPr>
          <w:rFonts w:ascii="Arial" w:cs="Arial" w:eastAsia="Arial" w:hAnsi="Arial"/>
          <w:sz w:val="22"/>
          <w:szCs w:val="22"/>
          <w:rtl w:val="0"/>
        </w:rPr>
        <w:t xml:space="preserve">uměleckého souboru a technických pracovníků,</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další náklady spojené s</w:t>
      </w:r>
      <w:r w:rsidDel="00000000" w:rsidR="00000000" w:rsidRPr="00000000">
        <w:rPr>
          <w:rFonts w:ascii="Arial" w:cs="Arial" w:eastAsia="Arial" w:hAnsi="Arial"/>
          <w:sz w:val="22"/>
          <w:szCs w:val="22"/>
          <w:rtl w:val="0"/>
        </w:rPr>
        <w:t xml:space="preserve"> ubytováním a dietami.</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1"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DPB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uhradí všechny autorské odměny včetně licencí a jiných autorských poplatků. ARCHA+ nenese odpovědnost za případná porušení autorských a dalších práv vyplývajících z autorského zákona souvisejících s uvedením </w:t>
      </w:r>
      <w:r w:rsidDel="00000000" w:rsidR="00000000" w:rsidRPr="00000000">
        <w:rPr>
          <w:rFonts w:ascii="Arial" w:cs="Arial" w:eastAsia="Arial" w:hAnsi="Arial"/>
          <w:sz w:val="22"/>
          <w:szCs w:val="22"/>
          <w:rtl w:val="0"/>
        </w:rPr>
        <w:t xml:space="preserve">Představení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 prostoru ARCHA+ dle této smlouvy. </w:t>
      </w:r>
    </w:p>
    <w:p w:rsidR="00000000" w:rsidDel="00000000" w:rsidP="00000000" w:rsidRDefault="00000000" w:rsidRPr="00000000" w14:paraId="00000032">
      <w:pPr>
        <w:numPr>
          <w:ilvl w:val="0"/>
          <w:numId w:val="1"/>
        </w:numPr>
        <w:ind w:left="501"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DPB prohlašuje, že je mu znám stav prostoru ARCHY+, kde se Představení uskuteční. Zároveň ve spolupráci s kompetentním pracovníky ARCHY+ seznámilo účinkující a vlastní technický personál s bezpečnostními předpisy a zavazuje se je dodržovat, stejně tak jako se zavazuje dodržovat právní předpisy platné v oblasti bezpečnosti práce a požární ochrany.</w:t>
      </w:r>
    </w:p>
    <w:p w:rsidR="00000000" w:rsidDel="00000000" w:rsidP="00000000" w:rsidRDefault="00000000" w:rsidRPr="00000000" w14:paraId="00000033">
      <w:pPr>
        <w:numPr>
          <w:ilvl w:val="0"/>
          <w:numId w:val="1"/>
        </w:numPr>
        <w:ind w:left="501"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DPB souhlasí s pořízením fotografií z Představení a jejich užitím ARCHOU+ výhradně pro nekomerční účely. ARCHA+ není povinna fotografie z představení pořídit ani zveřejnit.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1"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DPB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zavazuje zajistit, aby kostýmy, dekorace a scéna užité v </w:t>
      </w:r>
      <w:r w:rsidDel="00000000" w:rsidR="00000000" w:rsidRPr="00000000">
        <w:rPr>
          <w:rFonts w:ascii="Arial" w:cs="Arial" w:eastAsia="Arial" w:hAnsi="Arial"/>
          <w:sz w:val="22"/>
          <w:szCs w:val="22"/>
          <w:rtl w:val="0"/>
        </w:rPr>
        <w:t xml:space="preserve">Představeních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splňovaly požadavky platných bezpečnostních a protipožárních norem. Jakékoliv rizikové skutečnosti související s BOZP je </w:t>
      </w:r>
      <w:r w:rsidDel="00000000" w:rsidR="00000000" w:rsidRPr="00000000">
        <w:rPr>
          <w:rFonts w:ascii="Arial" w:cs="Arial" w:eastAsia="Arial" w:hAnsi="Arial"/>
          <w:sz w:val="22"/>
          <w:szCs w:val="22"/>
          <w:rtl w:val="0"/>
        </w:rPr>
        <w:t xml:space="preserve">DPB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povi</w:t>
      </w:r>
      <w:r w:rsidDel="00000000" w:rsidR="00000000" w:rsidRPr="00000000">
        <w:rPr>
          <w:rFonts w:ascii="Arial" w:cs="Arial" w:eastAsia="Arial" w:hAnsi="Arial"/>
          <w:sz w:val="22"/>
          <w:szCs w:val="22"/>
          <w:rtl w:val="0"/>
        </w:rPr>
        <w:t xml:space="preserve">nno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nahlásit s dostatečným předstihem.</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1"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DPB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zavazuje zajistit propagaci</w:t>
      </w:r>
      <w:r w:rsidDel="00000000" w:rsidR="00000000" w:rsidRPr="00000000">
        <w:rPr>
          <w:rFonts w:ascii="Arial" w:cs="Arial" w:eastAsia="Arial" w:hAnsi="Arial"/>
          <w:sz w:val="22"/>
          <w:szCs w:val="22"/>
          <w:rtl w:val="0"/>
        </w:rPr>
        <w:t xml:space="preserve"> Představení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dle běžného standardu a dodat v dostatečném předstihu ARŠE+ propagační materiály vztahující se k Představení. </w:t>
      </w:r>
    </w:p>
    <w:p w:rsidR="00000000" w:rsidDel="00000000" w:rsidP="00000000" w:rsidRDefault="00000000" w:rsidRPr="00000000" w14:paraId="00000036">
      <w:pPr>
        <w:numPr>
          <w:ilvl w:val="0"/>
          <w:numId w:val="1"/>
        </w:numPr>
        <w:ind w:left="501"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DPB uhradí ARŠE+ cenu za vybrané služby dle článku II. </w:t>
      </w:r>
    </w:p>
    <w:p w:rsidR="00000000" w:rsidDel="00000000" w:rsidP="00000000" w:rsidRDefault="00000000" w:rsidRPr="00000000" w14:paraId="00000037">
      <w:pPr>
        <w:ind w:left="501" w:right="-22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1" w:right="-226"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I</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w:t>
      </w:r>
    </w:p>
    <w:p w:rsidR="00000000" w:rsidDel="00000000" w:rsidP="00000000" w:rsidRDefault="00000000" w:rsidRPr="00000000" w14:paraId="00000039">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Finanční podmínky</w:t>
      </w:r>
    </w:p>
    <w:p w:rsidR="00000000" w:rsidDel="00000000" w:rsidP="00000000" w:rsidRDefault="00000000" w:rsidRPr="00000000" w14:paraId="0000003A">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numPr>
          <w:ilvl w:val="0"/>
          <w:numId w:val="5"/>
        </w:numPr>
        <w:ind w:left="360"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Za služby dle článku II (technické a produkční zajištění služeb) uhradí DPB cenu, kalkulovanou ve výši 30.000  Kč za jedno představení, tj 90.000 Kč za Představení dle článku II. Cena je kalkulovaná dle poždavků vyplývajících ze zaslaných riderů, které jsou formou přílohy součástí této smlouvy. K ceně bude připočtena DPH ve výši 21% a bude uhrazena na základě daňových dokladů vystavených ARCHOU+ se splatností 14 dnů. </w:t>
      </w:r>
    </w:p>
    <w:p w:rsidR="00000000" w:rsidDel="00000000" w:rsidP="00000000" w:rsidRDefault="00000000" w:rsidRPr="00000000" w14:paraId="0000003C">
      <w:pPr>
        <w:numPr>
          <w:ilvl w:val="0"/>
          <w:numId w:val="5"/>
        </w:numPr>
        <w:ind w:left="360"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 případě, že bude DPB požadovat v době příprav technické a produkční zajištění nad rámec zaslaných požadavků a tedy i schválené kalkulace nákladů, budou tyto vícenáklady připočteny k ceně dle odstavce 1. </w:t>
      </w:r>
    </w:p>
    <w:p w:rsidR="00000000" w:rsidDel="00000000" w:rsidP="00000000" w:rsidRDefault="00000000" w:rsidRPr="00000000" w14:paraId="0000003D">
      <w:pPr>
        <w:numPr>
          <w:ilvl w:val="0"/>
          <w:numId w:val="5"/>
        </w:numPr>
        <w:ind w:left="360"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Příjmy ze vstupného náleží DPB. Vstupné bude uhrazeno na základě daňového dokladu vystaveného DBP se splatností 14 dnů. Podkladem pro vystavení daňového dokladu bude vyúčtování zaslané ARCHOU+ nejpozději 5 pracovních dnů po uskutečnění posledního Představení. Z celkové tržby bude odečten poplatek ve výši 3,7%. Tržba zahrnuje DPH, je-li DPB plátce DPH.  </w:t>
      </w:r>
    </w:p>
    <w:p w:rsidR="00000000" w:rsidDel="00000000" w:rsidP="00000000" w:rsidRDefault="00000000" w:rsidRPr="00000000" w14:paraId="0000003E">
      <w:pPr>
        <w:numPr>
          <w:ilvl w:val="0"/>
          <w:numId w:val="5"/>
        </w:numPr>
        <w:ind w:left="360" w:right="-226"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Strany potvrzují, že uhrazením faktur dle bodů 1 a 3 budou vyrovnány závazky smluvních stran.</w:t>
        <w:tab/>
      </w:r>
    </w:p>
    <w:p w:rsidR="00000000" w:rsidDel="00000000" w:rsidP="00000000" w:rsidRDefault="00000000" w:rsidRPr="00000000" w14:paraId="0000003F">
      <w:pPr>
        <w:ind w:left="0" w:right="-226"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0">
      <w:pPr>
        <w:ind w:left="4680" w:right="-226"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V.</w:t>
      </w:r>
    </w:p>
    <w:p w:rsidR="00000000" w:rsidDel="00000000" w:rsidP="00000000" w:rsidRDefault="00000000" w:rsidRPr="00000000" w14:paraId="00000041">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Odstoupení od smlouvy</w:t>
      </w:r>
    </w:p>
    <w:p w:rsidR="00000000" w:rsidDel="00000000" w:rsidP="00000000" w:rsidRDefault="00000000" w:rsidRPr="00000000" w14:paraId="00000042">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01"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případě, že se </w:t>
      </w:r>
      <w:r w:rsidDel="00000000" w:rsidR="00000000" w:rsidRPr="00000000">
        <w:rPr>
          <w:rFonts w:ascii="Arial" w:cs="Arial" w:eastAsia="Arial" w:hAnsi="Arial"/>
          <w:sz w:val="22"/>
          <w:szCs w:val="22"/>
          <w:rtl w:val="0"/>
        </w:rPr>
        <w:t xml:space="preserve">některé z Představení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neuskuteční v dohodnutém termínu z důvodu vyšší moci, nemá žádná ze smluvních stran nárok na náhradu dosud vynaložených nákladů souvisejících s plněním dle této smlouvy a ani na náhradu škody. Obě strany v takovém případě vynaloží úsilí najít náhradní termíny pro konání Představení. </w:t>
      </w:r>
    </w:p>
    <w:p w:rsidR="00000000" w:rsidDel="00000000" w:rsidP="00000000" w:rsidRDefault="00000000" w:rsidRPr="00000000" w14:paraId="00000044">
      <w:pPr>
        <w:numPr>
          <w:ilvl w:val="0"/>
          <w:numId w:val="3"/>
        </w:numPr>
        <w:ind w:left="501"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Pokud jedna ze stran odstoupí od smlouvy z vlastních důvodů, zavazuje se tato odstupující strana uhradit náklady prokazatelně vynaložené na přípravu Předsatvení v závazně domluvených termínech druhou stranou a částku 20 000 Kč jako pokutu za každé  zrušené Představení.</w:t>
      </w:r>
    </w:p>
    <w:p w:rsidR="00000000" w:rsidDel="00000000" w:rsidP="00000000" w:rsidRDefault="00000000" w:rsidRPr="00000000" w14:paraId="00000045">
      <w:pPr>
        <w:numPr>
          <w:ilvl w:val="0"/>
          <w:numId w:val="3"/>
        </w:numPr>
        <w:ind w:left="501"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Náklady dle odst. 2 budou uhrazeny na základě faktur vystavených poškozenou smluvní stranou. </w:t>
      </w:r>
    </w:p>
    <w:p w:rsidR="00000000" w:rsidDel="00000000" w:rsidP="00000000" w:rsidRDefault="00000000" w:rsidRPr="00000000" w14:paraId="00000046">
      <w:pPr>
        <w:ind w:right="-226"/>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VI.</w:t>
      </w:r>
    </w:p>
    <w:p w:rsidR="00000000" w:rsidDel="00000000" w:rsidP="00000000" w:rsidRDefault="00000000" w:rsidRPr="00000000" w14:paraId="00000048">
      <w:pPr>
        <w:ind w:right="-226"/>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Závěrečná ustanovení</w:t>
      </w:r>
    </w:p>
    <w:p w:rsidR="00000000" w:rsidDel="00000000" w:rsidP="00000000" w:rsidRDefault="00000000" w:rsidRPr="00000000" w14:paraId="00000049">
      <w:pPr>
        <w:ind w:right="-226"/>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2"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Tato smlouva nabývá platnosti a účinnosti dnem podpisu oprávněnými zástupci obou smluvních stran a je uzavírána na do</w:t>
      </w:r>
      <w:r w:rsidDel="00000000" w:rsidR="00000000" w:rsidRPr="00000000">
        <w:rPr>
          <w:rFonts w:ascii="Arial" w:cs="Arial" w:eastAsia="Arial" w:hAnsi="Arial"/>
          <w:sz w:val="22"/>
          <w:szCs w:val="22"/>
          <w:rtl w:val="0"/>
        </w:rPr>
        <w:t xml:space="preserve">bu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určitou</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doby vyrovnání veškerých vzájemných závazků z této smlouvy vyplývajících.</w:t>
      </w:r>
    </w:p>
    <w:p w:rsidR="00000000" w:rsidDel="00000000" w:rsidP="00000000" w:rsidRDefault="00000000" w:rsidRPr="00000000" w14:paraId="0000004B">
      <w:pPr>
        <w:numPr>
          <w:ilvl w:val="0"/>
          <w:numId w:val="4"/>
        </w:numPr>
        <w:ind w:left="502" w:right="-226"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Smluvní strany souhlasí s uveřejněním této smlouvy v registru smluv podle zvláštního zákona. Zákonnou povinnost se zavazuje splnit ARCHA+.</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2" w:right="-226" w:hanging="36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Zástupci obou smluvních stran prohlašují, že jsou oprávněni tuto smlouvu uzavřít.</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2"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Jakékoliv změny této smlouvy se mohou řešit pouze formou písemných a číslovaných dodatků uzavřených po dohodě obou smluvních stran.</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02" w:right="-226"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Tato smlouva je vyhotovena ve dvou stejnopisech, z nichž každá z obou smluvních stran obdrží po jednom.</w:t>
      </w:r>
    </w:p>
    <w:p w:rsidR="00000000" w:rsidDel="00000000" w:rsidP="00000000" w:rsidRDefault="00000000" w:rsidRPr="00000000" w14:paraId="0000004F">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ind w:right="-2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 Praze dne 18. 6. 2025</w:t>
      </w:r>
    </w:p>
    <w:p w:rsidR="00000000" w:rsidDel="00000000" w:rsidP="00000000" w:rsidRDefault="00000000" w:rsidRPr="00000000" w14:paraId="00000052">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ind w:right="-2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                              ………....................................</w:t>
      </w:r>
    </w:p>
    <w:p w:rsidR="00000000" w:rsidDel="00000000" w:rsidP="00000000" w:rsidRDefault="00000000" w:rsidRPr="00000000" w14:paraId="0000005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Divadlo Archa, o.p.s.                                       Divadelní společnost Petra Bezruče s.r.o.</w:t>
      </w:r>
    </w:p>
    <w:p w:rsidR="00000000" w:rsidDel="00000000" w:rsidP="00000000" w:rsidRDefault="00000000" w:rsidRPr="00000000" w14:paraId="0000005B">
      <w:pPr>
        <w:ind w:right="-2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C">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ind w:right="-226"/>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ind w:right="-226"/>
        <w:jc w:val="both"/>
        <w:rPr>
          <w:rFonts w:ascii="Arial" w:cs="Arial" w:eastAsia="Arial" w:hAnsi="Arial"/>
          <w:sz w:val="22"/>
          <w:szCs w:val="22"/>
        </w:rPr>
      </w:pPr>
      <w:r w:rsidDel="00000000" w:rsidR="00000000" w:rsidRPr="00000000">
        <w:rPr>
          <w:rtl w:val="0"/>
        </w:rPr>
      </w:r>
    </w:p>
    <w:tbl>
      <w:tblPr>
        <w:tblStyle w:val="Table1"/>
        <w:tblW w:w="8235.0" w:type="dxa"/>
        <w:jc w:val="left"/>
        <w:tblInd w:w="-1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15"/>
        <w:gridCol w:w="810"/>
        <w:gridCol w:w="810"/>
        <w:tblGridChange w:id="0">
          <w:tblGrid>
            <w:gridCol w:w="6615"/>
            <w:gridCol w:w="810"/>
            <w:gridCol w:w="810"/>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7">
            <w:pPr>
              <w:keepLines w:val="1"/>
              <w:ind w:right="-226"/>
              <w:jc w:val="both"/>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8">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9">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A">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B">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C">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D">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E">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F">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0">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1">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2">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3">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4">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5">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6">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7">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8">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9">
            <w:pPr>
              <w:keepLines w:val="1"/>
              <w:ind w:right="-226"/>
              <w:jc w:val="both"/>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A">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B">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gridSpan w:val="3"/>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C">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F">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0">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1">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2">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3">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4">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5">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6">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7">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8">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9">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A">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B">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C">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D">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E">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F">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0">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1">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4">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5">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6">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7">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8">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9">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A">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B">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C">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D">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E">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F">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0">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1">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2">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3">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6">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7">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8">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9">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A">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B">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C">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D">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E">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F">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0">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1">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2">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3">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4">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5">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6">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7">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8">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B">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C">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D">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E">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F">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0">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1">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2">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3">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4">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5">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6">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7">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8">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9">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A">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B">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C">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D">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0">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1">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2">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3">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4">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5">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6">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7">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8">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9">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A">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B">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C">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D">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E">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F">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0">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1">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2">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3">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4">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5">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6">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7">
            <w:pPr>
              <w:keepLines w:val="1"/>
              <w:ind w:right="-226"/>
              <w:jc w:val="both"/>
              <w:rPr>
                <w:rFonts w:ascii="Arial" w:cs="Arial" w:eastAsia="Arial" w:hAnsi="Arial"/>
                <w:sz w:val="22"/>
                <w:szCs w:val="22"/>
              </w:rPr>
            </w:pP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8">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9">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A">
            <w:pPr>
              <w:keepLines w:val="1"/>
              <w:ind w:right="-226"/>
              <w:jc w:val="both"/>
              <w:rPr>
                <w:rFonts w:ascii="Arial" w:cs="Arial" w:eastAsia="Arial" w:hAnsi="Arial"/>
                <w:sz w:val="22"/>
                <w:szCs w:val="22"/>
              </w:rPr>
            </w:pPr>
            <w:r w:rsidDel="00000000" w:rsidR="00000000" w:rsidRPr="00000000">
              <w:rPr>
                <w:rtl w:val="0"/>
              </w:rPr>
            </w:r>
          </w:p>
        </w:tc>
      </w:tr>
      <w:tr>
        <w:trPr>
          <w:cantSplit w:val="0"/>
          <w:trHeight w:val="4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B">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C">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D">
            <w:pPr>
              <w:keepLines w:val="1"/>
              <w:ind w:right="-226"/>
              <w:jc w:val="both"/>
              <w:rPr>
                <w:rFonts w:ascii="Arial" w:cs="Arial" w:eastAsia="Arial" w:hAnsi="Arial"/>
                <w:sz w:val="22"/>
                <w:szCs w:val="22"/>
              </w:rPr>
            </w:pPr>
            <w:r w:rsidDel="00000000" w:rsidR="00000000" w:rsidRPr="00000000">
              <w:rPr>
                <w:rtl w:val="0"/>
              </w:rPr>
            </w:r>
          </w:p>
        </w:tc>
      </w:tr>
      <w:tr>
        <w:trPr>
          <w:cantSplit w:val="0"/>
          <w:trHeight w:val="4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E">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F">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0">
            <w:pPr>
              <w:keepLines w:val="1"/>
              <w:ind w:right="-226"/>
              <w:jc w:val="both"/>
              <w:rPr>
                <w:rFonts w:ascii="Arial" w:cs="Arial" w:eastAsia="Arial" w:hAnsi="Arial"/>
                <w:sz w:val="22"/>
                <w:szCs w:val="22"/>
              </w:rPr>
            </w:pPr>
            <w:r w:rsidDel="00000000" w:rsidR="00000000" w:rsidRPr="00000000">
              <w:rPr>
                <w:rtl w:val="0"/>
              </w:rPr>
            </w:r>
          </w:p>
        </w:tc>
      </w:tr>
      <w:tr>
        <w:trPr>
          <w:cantSplit w:val="0"/>
          <w:trHeight w:val="4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1">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2">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3">
            <w:pPr>
              <w:keepLines w:val="1"/>
              <w:ind w:right="-226"/>
              <w:jc w:val="both"/>
              <w:rPr>
                <w:rFonts w:ascii="Arial" w:cs="Arial" w:eastAsia="Arial" w:hAnsi="Arial"/>
                <w:sz w:val="22"/>
                <w:szCs w:val="22"/>
              </w:rPr>
            </w:pPr>
            <w:r w:rsidDel="00000000" w:rsidR="00000000" w:rsidRPr="00000000">
              <w:rPr>
                <w:rtl w:val="0"/>
              </w:rPr>
            </w:r>
          </w:p>
        </w:tc>
      </w:tr>
      <w:tr>
        <w:trPr>
          <w:cantSplit w:val="0"/>
          <w:trHeight w:val="4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4">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5">
            <w:pPr>
              <w:keepLines w:val="1"/>
              <w:ind w:right="-226"/>
              <w:jc w:val="both"/>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6">
            <w:pPr>
              <w:keepLines w:val="1"/>
              <w:ind w:right="-226"/>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07">
      <w:pPr>
        <w:keepLines w:val="1"/>
        <w:ind w:right="-226"/>
        <w:jc w:val="both"/>
        <w:rPr>
          <w:rFonts w:ascii="Arial" w:cs="Arial" w:eastAsia="Arial" w:hAnsi="Arial"/>
          <w:sz w:val="22"/>
          <w:szCs w:val="22"/>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RomanE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1" w:hanging="360"/>
      </w:pPr>
      <w:rPr/>
    </w:lvl>
    <w:lvl w:ilvl="1">
      <w:start w:val="1"/>
      <w:numFmt w:val="lowerLetter"/>
      <w:lvlText w:val="%2."/>
      <w:lvlJc w:val="left"/>
      <w:pPr>
        <w:ind w:left="1221" w:hanging="360"/>
      </w:pPr>
      <w:rPr/>
    </w:lvl>
    <w:lvl w:ilvl="2">
      <w:start w:val="1"/>
      <w:numFmt w:val="lowerRoman"/>
      <w:lvlText w:val="%3."/>
      <w:lvlJc w:val="right"/>
      <w:pPr>
        <w:ind w:left="1941" w:hanging="180"/>
      </w:pPr>
      <w:rPr/>
    </w:lvl>
    <w:lvl w:ilvl="3">
      <w:start w:val="1"/>
      <w:numFmt w:val="decimal"/>
      <w:lvlText w:val="%4."/>
      <w:lvlJc w:val="left"/>
      <w:pPr>
        <w:ind w:left="2661" w:hanging="360"/>
      </w:pPr>
      <w:rPr/>
    </w:lvl>
    <w:lvl w:ilvl="4">
      <w:start w:val="1"/>
      <w:numFmt w:val="lowerLetter"/>
      <w:lvlText w:val="%5."/>
      <w:lvlJc w:val="left"/>
      <w:pPr>
        <w:ind w:left="3381" w:hanging="360"/>
      </w:pPr>
      <w:rPr/>
    </w:lvl>
    <w:lvl w:ilvl="5">
      <w:start w:val="1"/>
      <w:numFmt w:val="lowerRoman"/>
      <w:lvlText w:val="%6."/>
      <w:lvlJc w:val="right"/>
      <w:pPr>
        <w:ind w:left="4101" w:hanging="180"/>
      </w:pPr>
      <w:rPr/>
    </w:lvl>
    <w:lvl w:ilvl="6">
      <w:start w:val="1"/>
      <w:numFmt w:val="decimal"/>
      <w:lvlText w:val="%7."/>
      <w:lvlJc w:val="left"/>
      <w:pPr>
        <w:ind w:left="4821" w:hanging="360"/>
      </w:pPr>
      <w:rPr/>
    </w:lvl>
    <w:lvl w:ilvl="7">
      <w:start w:val="1"/>
      <w:numFmt w:val="lowerLetter"/>
      <w:lvlText w:val="%8."/>
      <w:lvlJc w:val="left"/>
      <w:pPr>
        <w:ind w:left="5541" w:hanging="360"/>
      </w:pPr>
      <w:rPr/>
    </w:lvl>
    <w:lvl w:ilvl="8">
      <w:start w:val="1"/>
      <w:numFmt w:val="lowerRoman"/>
      <w:lvlText w:val="%9."/>
      <w:lvlJc w:val="right"/>
      <w:pPr>
        <w:ind w:left="6261"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939" w:hanging="360"/>
      </w:pPr>
      <w:rPr/>
    </w:lvl>
    <w:lvl w:ilvl="2">
      <w:start w:val="1"/>
      <w:numFmt w:val="lowerRoman"/>
      <w:lvlText w:val="%3."/>
      <w:lvlJc w:val="right"/>
      <w:pPr>
        <w:ind w:left="1659" w:hanging="180"/>
      </w:pPr>
      <w:rPr/>
    </w:lvl>
    <w:lvl w:ilvl="3">
      <w:start w:val="1"/>
      <w:numFmt w:val="decimal"/>
      <w:lvlText w:val="%4."/>
      <w:lvlJc w:val="left"/>
      <w:pPr>
        <w:ind w:left="2379" w:hanging="360"/>
      </w:pPr>
      <w:rPr/>
    </w:lvl>
    <w:lvl w:ilvl="4">
      <w:start w:val="1"/>
      <w:numFmt w:val="lowerLetter"/>
      <w:lvlText w:val="%5."/>
      <w:lvlJc w:val="left"/>
      <w:pPr>
        <w:ind w:left="3099" w:hanging="360"/>
      </w:pPr>
      <w:rPr/>
    </w:lvl>
    <w:lvl w:ilvl="5">
      <w:start w:val="1"/>
      <w:numFmt w:val="lowerRoman"/>
      <w:lvlText w:val="%6."/>
      <w:lvlJc w:val="right"/>
      <w:pPr>
        <w:ind w:left="3819" w:hanging="180"/>
      </w:pPr>
      <w:rPr/>
    </w:lvl>
    <w:lvl w:ilvl="6">
      <w:start w:val="1"/>
      <w:numFmt w:val="decimal"/>
      <w:lvlText w:val="%7."/>
      <w:lvlJc w:val="left"/>
      <w:pPr>
        <w:ind w:left="4539" w:hanging="360"/>
      </w:pPr>
      <w:rPr/>
    </w:lvl>
    <w:lvl w:ilvl="7">
      <w:start w:val="1"/>
      <w:numFmt w:val="lowerLetter"/>
      <w:lvlText w:val="%8."/>
      <w:lvlJc w:val="left"/>
      <w:pPr>
        <w:ind w:left="5259" w:hanging="360"/>
      </w:pPr>
      <w:rPr/>
    </w:lvl>
    <w:lvl w:ilvl="8">
      <w:start w:val="1"/>
      <w:numFmt w:val="lowerRoman"/>
      <w:lvlText w:val="%9."/>
      <w:lvlJc w:val="right"/>
      <w:pPr>
        <w:ind w:left="5979" w:hanging="180"/>
      </w:pPr>
      <w:rPr/>
    </w:lvl>
  </w:abstractNum>
  <w:abstractNum w:abstractNumId="3">
    <w:lvl w:ilvl="0">
      <w:start w:val="1"/>
      <w:numFmt w:val="decimal"/>
      <w:lvlText w:val="%1."/>
      <w:lvlJc w:val="left"/>
      <w:pPr>
        <w:ind w:left="501" w:hanging="360"/>
      </w:pPr>
      <w:rPr/>
    </w:lvl>
    <w:lvl w:ilvl="1">
      <w:start w:val="1"/>
      <w:numFmt w:val="lowerLetter"/>
      <w:lvlText w:val="%2."/>
      <w:lvlJc w:val="left"/>
      <w:pPr>
        <w:ind w:left="1221" w:hanging="360"/>
      </w:pPr>
      <w:rPr/>
    </w:lvl>
    <w:lvl w:ilvl="2">
      <w:start w:val="1"/>
      <w:numFmt w:val="lowerRoman"/>
      <w:lvlText w:val="%3."/>
      <w:lvlJc w:val="right"/>
      <w:pPr>
        <w:ind w:left="1941" w:hanging="180"/>
      </w:pPr>
      <w:rPr/>
    </w:lvl>
    <w:lvl w:ilvl="3">
      <w:start w:val="1"/>
      <w:numFmt w:val="decimal"/>
      <w:lvlText w:val="%4."/>
      <w:lvlJc w:val="left"/>
      <w:pPr>
        <w:ind w:left="2661" w:hanging="360"/>
      </w:pPr>
      <w:rPr/>
    </w:lvl>
    <w:lvl w:ilvl="4">
      <w:start w:val="1"/>
      <w:numFmt w:val="lowerLetter"/>
      <w:lvlText w:val="%5."/>
      <w:lvlJc w:val="left"/>
      <w:pPr>
        <w:ind w:left="3381" w:hanging="360"/>
      </w:pPr>
      <w:rPr/>
    </w:lvl>
    <w:lvl w:ilvl="5">
      <w:start w:val="1"/>
      <w:numFmt w:val="lowerRoman"/>
      <w:lvlText w:val="%6."/>
      <w:lvlJc w:val="right"/>
      <w:pPr>
        <w:ind w:left="4101" w:hanging="180"/>
      </w:pPr>
      <w:rPr/>
    </w:lvl>
    <w:lvl w:ilvl="6">
      <w:start w:val="1"/>
      <w:numFmt w:val="decimal"/>
      <w:lvlText w:val="%7."/>
      <w:lvlJc w:val="left"/>
      <w:pPr>
        <w:ind w:left="4821" w:hanging="360"/>
      </w:pPr>
      <w:rPr/>
    </w:lvl>
    <w:lvl w:ilvl="7">
      <w:start w:val="1"/>
      <w:numFmt w:val="lowerLetter"/>
      <w:lvlText w:val="%8."/>
      <w:lvlJc w:val="left"/>
      <w:pPr>
        <w:ind w:left="5541" w:hanging="360"/>
      </w:pPr>
      <w:rPr/>
    </w:lvl>
    <w:lvl w:ilvl="8">
      <w:start w:val="1"/>
      <w:numFmt w:val="lowerRoman"/>
      <w:lvlText w:val="%9."/>
      <w:lvlJc w:val="right"/>
      <w:pPr>
        <w:ind w:left="6261" w:hanging="180"/>
      </w:pPr>
      <w:rPr/>
    </w:lvl>
  </w:abstractNum>
  <w:abstractNum w:abstractNumId="4">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5">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manEES" w:cs="RomanEES" w:eastAsia="RomanEES" w:hAnsi="RomanEES"/>
        <w:sz w:val="24"/>
        <w:szCs w:val="24"/>
        <w:lang w:val="c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ln" w:default="1">
    <w:name w:val="Normal"/>
    <w:qFormat w:val="1"/>
    <w:rsid w:val="00CC19FB"/>
    <w:pPr>
      <w:spacing w:after="0" w:line="240" w:lineRule="auto"/>
    </w:pPr>
    <w:rPr>
      <w:rFonts w:ascii="RomanEES" w:cs="Times New Roman" w:eastAsia="Times New Roman" w:hAnsi="RomanEES"/>
      <w:kern w:val="0"/>
      <w:sz w:val="24"/>
      <w:szCs w:val="20"/>
      <w:lang w:eastAsia="cs-CZ"/>
    </w:rPr>
  </w:style>
  <w:style w:type="paragraph" w:styleId="Nadpis1">
    <w:name w:val="heading 1"/>
    <w:basedOn w:val="Normln"/>
    <w:next w:val="Normln"/>
    <w:link w:val="Nadpis1Char"/>
    <w:uiPriority w:val="9"/>
    <w:qFormat w:val="1"/>
    <w:rsid w:val="00CC19F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dpis2">
    <w:name w:val="heading 2"/>
    <w:basedOn w:val="Normln"/>
    <w:next w:val="Normln"/>
    <w:link w:val="Nadpis2Char"/>
    <w:uiPriority w:val="9"/>
    <w:semiHidden w:val="1"/>
    <w:unhideWhenUsed w:val="1"/>
    <w:qFormat w:val="1"/>
    <w:rsid w:val="00CC19F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dpis3">
    <w:name w:val="heading 3"/>
    <w:basedOn w:val="Normln"/>
    <w:next w:val="Normln"/>
    <w:link w:val="Nadpis3Char"/>
    <w:uiPriority w:val="9"/>
    <w:semiHidden w:val="1"/>
    <w:unhideWhenUsed w:val="1"/>
    <w:qFormat w:val="1"/>
    <w:rsid w:val="00CC19FB"/>
    <w:pPr>
      <w:keepNext w:val="1"/>
      <w:keepLines w:val="1"/>
      <w:spacing w:after="80" w:before="160"/>
      <w:outlineLvl w:val="2"/>
    </w:pPr>
    <w:rPr>
      <w:rFonts w:cstheme="majorBidi" w:eastAsiaTheme="majorEastAsia"/>
      <w:color w:val="0f4761" w:themeColor="accent1" w:themeShade="0000BF"/>
      <w:sz w:val="28"/>
      <w:szCs w:val="28"/>
    </w:rPr>
  </w:style>
  <w:style w:type="paragraph" w:styleId="Nadpis4">
    <w:name w:val="heading 4"/>
    <w:basedOn w:val="Normln"/>
    <w:next w:val="Normln"/>
    <w:link w:val="Nadpis4Char"/>
    <w:uiPriority w:val="9"/>
    <w:semiHidden w:val="1"/>
    <w:unhideWhenUsed w:val="1"/>
    <w:qFormat w:val="1"/>
    <w:rsid w:val="00CC19FB"/>
    <w:pPr>
      <w:keepNext w:val="1"/>
      <w:keepLines w:val="1"/>
      <w:spacing w:after="40" w:before="80"/>
      <w:outlineLvl w:val="3"/>
    </w:pPr>
    <w:rPr>
      <w:rFonts w:cstheme="majorBidi" w:eastAsiaTheme="majorEastAsia"/>
      <w:i w:val="1"/>
      <w:iCs w:val="1"/>
      <w:color w:val="0f4761" w:themeColor="accent1" w:themeShade="0000BF"/>
    </w:rPr>
  </w:style>
  <w:style w:type="paragraph" w:styleId="Nadpis5">
    <w:name w:val="heading 5"/>
    <w:basedOn w:val="Normln"/>
    <w:next w:val="Normln"/>
    <w:link w:val="Nadpis5Char"/>
    <w:uiPriority w:val="9"/>
    <w:semiHidden w:val="1"/>
    <w:unhideWhenUsed w:val="1"/>
    <w:qFormat w:val="1"/>
    <w:rsid w:val="00CC19FB"/>
    <w:pPr>
      <w:keepNext w:val="1"/>
      <w:keepLines w:val="1"/>
      <w:spacing w:after="40" w:before="80"/>
      <w:outlineLvl w:val="4"/>
    </w:pPr>
    <w:rPr>
      <w:rFonts w:cstheme="majorBidi" w:eastAsiaTheme="majorEastAsia"/>
      <w:color w:val="0f4761" w:themeColor="accent1" w:themeShade="0000BF"/>
    </w:rPr>
  </w:style>
  <w:style w:type="paragraph" w:styleId="Nadpis6">
    <w:name w:val="heading 6"/>
    <w:basedOn w:val="Normln"/>
    <w:next w:val="Normln"/>
    <w:link w:val="Nadpis6Char"/>
    <w:uiPriority w:val="9"/>
    <w:semiHidden w:val="1"/>
    <w:unhideWhenUsed w:val="1"/>
    <w:qFormat w:val="1"/>
    <w:rsid w:val="00CC19FB"/>
    <w:pPr>
      <w:keepNext w:val="1"/>
      <w:keepLines w:val="1"/>
      <w:spacing w:before="40"/>
      <w:outlineLvl w:val="5"/>
    </w:pPr>
    <w:rPr>
      <w:rFonts w:cstheme="majorBidi" w:eastAsiaTheme="majorEastAsia"/>
      <w:i w:val="1"/>
      <w:iCs w:val="1"/>
      <w:color w:val="595959" w:themeColor="text1" w:themeTint="0000A6"/>
    </w:rPr>
  </w:style>
  <w:style w:type="paragraph" w:styleId="Nadpis7">
    <w:name w:val="heading 7"/>
    <w:basedOn w:val="Normln"/>
    <w:next w:val="Normln"/>
    <w:link w:val="Nadpis7Char"/>
    <w:uiPriority w:val="9"/>
    <w:semiHidden w:val="1"/>
    <w:unhideWhenUsed w:val="1"/>
    <w:qFormat w:val="1"/>
    <w:rsid w:val="00CC19FB"/>
    <w:pPr>
      <w:keepNext w:val="1"/>
      <w:keepLines w:val="1"/>
      <w:spacing w:before="40"/>
      <w:outlineLvl w:val="6"/>
    </w:pPr>
    <w:rPr>
      <w:rFonts w:cstheme="majorBidi" w:eastAsiaTheme="majorEastAsia"/>
      <w:color w:val="595959" w:themeColor="text1" w:themeTint="0000A6"/>
    </w:rPr>
  </w:style>
  <w:style w:type="paragraph" w:styleId="Nadpis8">
    <w:name w:val="heading 8"/>
    <w:basedOn w:val="Normln"/>
    <w:next w:val="Normln"/>
    <w:link w:val="Nadpis8Char"/>
    <w:uiPriority w:val="9"/>
    <w:semiHidden w:val="1"/>
    <w:unhideWhenUsed w:val="1"/>
    <w:qFormat w:val="1"/>
    <w:rsid w:val="00CC19FB"/>
    <w:pPr>
      <w:keepNext w:val="1"/>
      <w:keepLines w:val="1"/>
      <w:outlineLvl w:val="7"/>
    </w:pPr>
    <w:rPr>
      <w:rFonts w:cstheme="majorBidi" w:eastAsiaTheme="majorEastAsia"/>
      <w:i w:val="1"/>
      <w:iCs w:val="1"/>
      <w:color w:val="272727" w:themeColor="text1" w:themeTint="0000D8"/>
    </w:rPr>
  </w:style>
  <w:style w:type="paragraph" w:styleId="Nadpis9">
    <w:name w:val="heading 9"/>
    <w:basedOn w:val="Normln"/>
    <w:next w:val="Normln"/>
    <w:link w:val="Nadpis9Char"/>
    <w:uiPriority w:val="9"/>
    <w:semiHidden w:val="1"/>
    <w:unhideWhenUsed w:val="1"/>
    <w:qFormat w:val="1"/>
    <w:rsid w:val="00CC19FB"/>
    <w:pPr>
      <w:keepNext w:val="1"/>
      <w:keepLines w:val="1"/>
      <w:outlineLvl w:val="8"/>
    </w:pPr>
    <w:rPr>
      <w:rFonts w:cstheme="majorBidi" w:eastAsiaTheme="majorEastAsia"/>
      <w:color w:val="272727" w:themeColor="text1" w:themeTint="0000D8"/>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CC19FB"/>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Standardnpsmoodstavce"/>
    <w:link w:val="Nadpis2"/>
    <w:uiPriority w:val="9"/>
    <w:semiHidden w:val="1"/>
    <w:rsid w:val="00CC19FB"/>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Standardnpsmoodstavce"/>
    <w:link w:val="Nadpis3"/>
    <w:uiPriority w:val="9"/>
    <w:semiHidden w:val="1"/>
    <w:rsid w:val="00CC19FB"/>
    <w:rPr>
      <w:rFonts w:cstheme="majorBidi" w:eastAsiaTheme="majorEastAsia"/>
      <w:color w:val="0f4761" w:themeColor="accent1" w:themeShade="0000BF"/>
      <w:sz w:val="28"/>
      <w:szCs w:val="28"/>
    </w:rPr>
  </w:style>
  <w:style w:type="character" w:styleId="Nadpis4Char" w:customStyle="1">
    <w:name w:val="Nadpis 4 Char"/>
    <w:basedOn w:val="Standardnpsmoodstavce"/>
    <w:link w:val="Nadpis4"/>
    <w:uiPriority w:val="9"/>
    <w:semiHidden w:val="1"/>
    <w:rsid w:val="00CC19FB"/>
    <w:rPr>
      <w:rFonts w:cstheme="majorBidi" w:eastAsiaTheme="majorEastAsia"/>
      <w:i w:val="1"/>
      <w:iCs w:val="1"/>
      <w:color w:val="0f4761" w:themeColor="accent1" w:themeShade="0000BF"/>
    </w:rPr>
  </w:style>
  <w:style w:type="character" w:styleId="Nadpis5Char" w:customStyle="1">
    <w:name w:val="Nadpis 5 Char"/>
    <w:basedOn w:val="Standardnpsmoodstavce"/>
    <w:link w:val="Nadpis5"/>
    <w:uiPriority w:val="9"/>
    <w:semiHidden w:val="1"/>
    <w:rsid w:val="00CC19FB"/>
    <w:rPr>
      <w:rFonts w:cstheme="majorBidi" w:eastAsiaTheme="majorEastAsia"/>
      <w:color w:val="0f4761" w:themeColor="accent1" w:themeShade="0000BF"/>
    </w:rPr>
  </w:style>
  <w:style w:type="character" w:styleId="Nadpis6Char" w:customStyle="1">
    <w:name w:val="Nadpis 6 Char"/>
    <w:basedOn w:val="Standardnpsmoodstavce"/>
    <w:link w:val="Nadpis6"/>
    <w:uiPriority w:val="9"/>
    <w:semiHidden w:val="1"/>
    <w:rsid w:val="00CC19FB"/>
    <w:rPr>
      <w:rFonts w:cstheme="majorBidi" w:eastAsiaTheme="majorEastAsia"/>
      <w:i w:val="1"/>
      <w:iCs w:val="1"/>
      <w:color w:val="595959" w:themeColor="text1" w:themeTint="0000A6"/>
    </w:rPr>
  </w:style>
  <w:style w:type="character" w:styleId="Nadpis7Char" w:customStyle="1">
    <w:name w:val="Nadpis 7 Char"/>
    <w:basedOn w:val="Standardnpsmoodstavce"/>
    <w:link w:val="Nadpis7"/>
    <w:uiPriority w:val="9"/>
    <w:semiHidden w:val="1"/>
    <w:rsid w:val="00CC19FB"/>
    <w:rPr>
      <w:rFonts w:cstheme="majorBidi" w:eastAsiaTheme="majorEastAsia"/>
      <w:color w:val="595959" w:themeColor="text1" w:themeTint="0000A6"/>
    </w:rPr>
  </w:style>
  <w:style w:type="character" w:styleId="Nadpis8Char" w:customStyle="1">
    <w:name w:val="Nadpis 8 Char"/>
    <w:basedOn w:val="Standardnpsmoodstavce"/>
    <w:link w:val="Nadpis8"/>
    <w:uiPriority w:val="9"/>
    <w:semiHidden w:val="1"/>
    <w:rsid w:val="00CC19FB"/>
    <w:rPr>
      <w:rFonts w:cstheme="majorBidi" w:eastAsiaTheme="majorEastAsia"/>
      <w:i w:val="1"/>
      <w:iCs w:val="1"/>
      <w:color w:val="272727" w:themeColor="text1" w:themeTint="0000D8"/>
    </w:rPr>
  </w:style>
  <w:style w:type="character" w:styleId="Nadpis9Char" w:customStyle="1">
    <w:name w:val="Nadpis 9 Char"/>
    <w:basedOn w:val="Standardnpsmoodstavce"/>
    <w:link w:val="Nadpis9"/>
    <w:uiPriority w:val="9"/>
    <w:semiHidden w:val="1"/>
    <w:rsid w:val="00CC19FB"/>
    <w:rPr>
      <w:rFonts w:cstheme="majorBidi" w:eastAsiaTheme="majorEastAsia"/>
      <w:color w:val="272727" w:themeColor="text1" w:themeTint="0000D8"/>
    </w:rPr>
  </w:style>
  <w:style w:type="paragraph" w:styleId="Nzev">
    <w:name w:val="Title"/>
    <w:basedOn w:val="Normln"/>
    <w:next w:val="Normln"/>
    <w:link w:val="NzevChar"/>
    <w:uiPriority w:val="10"/>
    <w:qFormat w:val="1"/>
    <w:rsid w:val="00CC19FB"/>
    <w:pPr>
      <w:spacing w:after="80"/>
      <w:contextualSpacing w:val="1"/>
    </w:pPr>
    <w:rPr>
      <w:rFonts w:asciiTheme="majorHAnsi" w:cstheme="majorBidi" w:eastAsiaTheme="majorEastAsia" w:hAnsiTheme="majorHAnsi"/>
      <w:spacing w:val="-10"/>
      <w:kern w:val="28"/>
      <w:sz w:val="56"/>
      <w:szCs w:val="56"/>
    </w:rPr>
  </w:style>
  <w:style w:type="character" w:styleId="NzevChar" w:customStyle="1">
    <w:name w:val="Název Char"/>
    <w:basedOn w:val="Standardnpsmoodstavce"/>
    <w:link w:val="Nzev"/>
    <w:uiPriority w:val="10"/>
    <w:rsid w:val="00CC19FB"/>
    <w:rPr>
      <w:rFonts w:asciiTheme="majorHAnsi" w:cstheme="majorBidi" w:eastAsiaTheme="majorEastAsia" w:hAnsiTheme="majorHAnsi"/>
      <w:spacing w:val="-10"/>
      <w:kern w:val="28"/>
      <w:sz w:val="56"/>
      <w:szCs w:val="56"/>
    </w:rPr>
  </w:style>
  <w:style w:type="paragraph" w:styleId="Podnadpis">
    <w:name w:val="Subtitle"/>
    <w:basedOn w:val="Normln"/>
    <w:next w:val="Normln"/>
    <w:link w:val="PodnadpisChar"/>
    <w:uiPriority w:val="11"/>
    <w:qFormat w:val="1"/>
    <w:rsid w:val="00CC19FB"/>
    <w:pPr>
      <w:numPr>
        <w:ilvl w:val="1"/>
      </w:numPr>
    </w:pPr>
    <w:rPr>
      <w:rFonts w:cstheme="majorBidi" w:eastAsiaTheme="majorEastAsia"/>
      <w:color w:val="595959" w:themeColor="text1" w:themeTint="0000A6"/>
      <w:spacing w:val="15"/>
      <w:sz w:val="28"/>
      <w:szCs w:val="28"/>
    </w:rPr>
  </w:style>
  <w:style w:type="character" w:styleId="PodnadpisChar" w:customStyle="1">
    <w:name w:val="Podnadpis Char"/>
    <w:basedOn w:val="Standardnpsmoodstavce"/>
    <w:link w:val="Podnadpis"/>
    <w:uiPriority w:val="11"/>
    <w:rsid w:val="00CC19FB"/>
    <w:rPr>
      <w:rFonts w:cstheme="majorBidi" w:eastAsiaTheme="majorEastAsia"/>
      <w:color w:val="595959" w:themeColor="text1" w:themeTint="0000A6"/>
      <w:spacing w:val="15"/>
      <w:sz w:val="28"/>
      <w:szCs w:val="28"/>
    </w:rPr>
  </w:style>
  <w:style w:type="paragraph" w:styleId="Citt">
    <w:name w:val="Quote"/>
    <w:basedOn w:val="Normln"/>
    <w:next w:val="Normln"/>
    <w:link w:val="CittChar"/>
    <w:uiPriority w:val="29"/>
    <w:qFormat w:val="1"/>
    <w:rsid w:val="00CC19FB"/>
    <w:pPr>
      <w:spacing w:before="160"/>
      <w:jc w:val="center"/>
    </w:pPr>
    <w:rPr>
      <w:i w:val="1"/>
      <w:iCs w:val="1"/>
      <w:color w:val="404040" w:themeColor="text1" w:themeTint="0000BF"/>
    </w:rPr>
  </w:style>
  <w:style w:type="character" w:styleId="CittChar" w:customStyle="1">
    <w:name w:val="Citát Char"/>
    <w:basedOn w:val="Standardnpsmoodstavce"/>
    <w:link w:val="Citt"/>
    <w:uiPriority w:val="29"/>
    <w:rsid w:val="00CC19FB"/>
    <w:rPr>
      <w:i w:val="1"/>
      <w:iCs w:val="1"/>
      <w:color w:val="404040" w:themeColor="text1" w:themeTint="0000BF"/>
    </w:rPr>
  </w:style>
  <w:style w:type="paragraph" w:styleId="Odstavecseseznamem">
    <w:name w:val="List Paragraph"/>
    <w:basedOn w:val="Normln"/>
    <w:uiPriority w:val="34"/>
    <w:qFormat w:val="1"/>
    <w:rsid w:val="00CC19FB"/>
    <w:pPr>
      <w:ind w:left="720"/>
      <w:contextualSpacing w:val="1"/>
    </w:pPr>
  </w:style>
  <w:style w:type="character" w:styleId="Zdraznnintenzivn">
    <w:name w:val="Intense Emphasis"/>
    <w:basedOn w:val="Standardnpsmoodstavce"/>
    <w:uiPriority w:val="21"/>
    <w:qFormat w:val="1"/>
    <w:rsid w:val="00CC19FB"/>
    <w:rPr>
      <w:i w:val="1"/>
      <w:iCs w:val="1"/>
      <w:color w:val="0f4761" w:themeColor="accent1" w:themeShade="0000BF"/>
    </w:rPr>
  </w:style>
  <w:style w:type="paragraph" w:styleId="Vrazncitt">
    <w:name w:val="Intense Quote"/>
    <w:basedOn w:val="Normln"/>
    <w:next w:val="Normln"/>
    <w:link w:val="VrazncittChar"/>
    <w:uiPriority w:val="30"/>
    <w:qFormat w:val="1"/>
    <w:rsid w:val="00CC19F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VrazncittChar" w:customStyle="1">
    <w:name w:val="Výrazný citát Char"/>
    <w:basedOn w:val="Standardnpsmoodstavce"/>
    <w:link w:val="Vrazncitt"/>
    <w:uiPriority w:val="30"/>
    <w:rsid w:val="00CC19FB"/>
    <w:rPr>
      <w:i w:val="1"/>
      <w:iCs w:val="1"/>
      <w:color w:val="0f4761" w:themeColor="accent1" w:themeShade="0000BF"/>
    </w:rPr>
  </w:style>
  <w:style w:type="character" w:styleId="Odkazintenzivn">
    <w:name w:val="Intense Reference"/>
    <w:basedOn w:val="Standardnpsmoodstavce"/>
    <w:uiPriority w:val="32"/>
    <w:qFormat w:val="1"/>
    <w:rsid w:val="00CC19FB"/>
    <w:rPr>
      <w:b w:val="1"/>
      <w:bCs w:val="1"/>
      <w:smallCaps w:val="1"/>
      <w:color w:val="0f4761" w:themeColor="accent1" w:themeShade="0000BF"/>
      <w:spacing w:val="5"/>
    </w:rPr>
  </w:style>
  <w:style w:type="paragraph" w:styleId="Normlnweb">
    <w:name w:val="Normal (Web)"/>
    <w:basedOn w:val="Normln"/>
    <w:uiPriority w:val="99"/>
    <w:unhideWhenUsed w:val="1"/>
    <w:rsid w:val="00CC19FB"/>
    <w:pPr>
      <w:spacing w:after="100" w:afterAutospacing="1" w:before="100" w:beforeAutospacing="1"/>
    </w:pPr>
    <w:rPr>
      <w:rFonts w:ascii="Times New Roman" w:hAnsi="Times New Roman"/>
      <w:szCs w:val="24"/>
    </w:rPr>
  </w:style>
  <w:style w:type="paragraph" w:styleId="Zkladntext">
    <w:name w:val="Body Text"/>
    <w:basedOn w:val="Normln"/>
    <w:link w:val="ZkladntextChar"/>
    <w:semiHidden w:val="1"/>
    <w:rsid w:val="00CC19FB"/>
    <w:pPr>
      <w:jc w:val="both"/>
    </w:pPr>
    <w:rPr>
      <w:rFonts w:ascii="Times New Roman" w:hAnsi="Times New Roman"/>
    </w:rPr>
  </w:style>
  <w:style w:type="character" w:styleId="ZkladntextChar" w:customStyle="1">
    <w:name w:val="Základní text Char"/>
    <w:basedOn w:val="Standardnpsmoodstavce"/>
    <w:link w:val="Zkladntext"/>
    <w:semiHidden w:val="1"/>
    <w:rsid w:val="00CC19FB"/>
    <w:rPr>
      <w:rFonts w:ascii="Times New Roman" w:cs="Times New Roman" w:eastAsia="Times New Roman" w:hAnsi="Times New Roman"/>
      <w:kern w:val="0"/>
      <w:sz w:val="24"/>
      <w:szCs w:val="20"/>
      <w:lang w:eastAsia="cs-CZ"/>
    </w:rPr>
  </w:style>
  <w:style w:type="character" w:styleId="preformatted" w:customStyle="1">
    <w:name w:val="preformatted"/>
    <w:basedOn w:val="Standardnpsmoodstavce"/>
    <w:rsid w:val="00CC19FB"/>
  </w:style>
  <w:style w:type="character" w:styleId="Siln">
    <w:name w:val="Strong"/>
    <w:basedOn w:val="Standardnpsmoodstavce"/>
    <w:uiPriority w:val="22"/>
    <w:qFormat w:val="1"/>
    <w:rsid w:val="00E177D5"/>
    <w:rPr>
      <w:b w:val="1"/>
      <w:bCs w:val="1"/>
    </w:rPr>
  </w:style>
  <w:style w:type="character" w:styleId="Hypertextovodkaz">
    <w:name w:val="Hyperlink"/>
    <w:basedOn w:val="Standardnpsmoodstavce"/>
    <w:uiPriority w:val="99"/>
    <w:unhideWhenUsed w:val="1"/>
    <w:rsid w:val="00E177D5"/>
    <w:rPr>
      <w:color w:val="0000ff"/>
      <w:u w:val="single"/>
    </w:rPr>
  </w:style>
  <w:style w:type="character" w:styleId="il" w:customStyle="1">
    <w:name w:val="il"/>
    <w:basedOn w:val="Standardnpsmoodstavce"/>
    <w:rsid w:val="00EA6DFF"/>
  </w:style>
  <w:style w:type="paragraph" w:styleId="Subtitle">
    <w:name w:val="Subtitle"/>
    <w:basedOn w:val="Normal"/>
    <w:next w:val="Normal"/>
    <w:pPr/>
    <w:rPr>
      <w:color w:val="595959"/>
      <w:sz w:val="28"/>
      <w:szCs w:val="28"/>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RomanEES" w:cs="RomanEES" w:eastAsia="RomanEES" w:hAnsi="RomanEES"/>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RomanEES" w:cs="RomanEES" w:eastAsia="RomanEES" w:hAnsi="RomanEES"/>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RomanEES" w:cs="RomanEES" w:eastAsia="RomanEES" w:hAnsi="RomanEES"/>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RomanEES" w:cs="RomanEES" w:eastAsia="RomanEES" w:hAnsi="RomanEES"/>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RomanEES" w:cs="RomanEES" w:eastAsia="RomanEES" w:hAnsi="RomanEES"/>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RomanEES" w:cs="RomanEES" w:eastAsia="RomanEES" w:hAnsi="RomanEES"/>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RomanEES" w:cs="RomanEES" w:eastAsia="RomanEES" w:hAnsi="RomanEES"/>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bara.prokopova@archa-plus.cz" TargetMode="External"/><Relationship Id="rId9" Type="http://schemas.openxmlformats.org/officeDocument/2006/relationships/hyperlink" Target="mailto:bara.prokopova@archa-plus.c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epan.kubista@acha-plus.cz" TargetMode="External"/><Relationship Id="rId8" Type="http://schemas.openxmlformats.org/officeDocument/2006/relationships/hyperlink" Target="mailto:eliska.zemanova@archa-plus.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P8fEIuGPkPEuFoQT196+ez0A4A==">CgMxLjAyCGguZ2pkZ3hzOAByITEwbkVZWHZUcThOMEdmdVp6a3RDeG0yaVAxVGNja3dVTg==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2024-05-01T05:10:00Z</dcterms:created>
  <dc:creator>Radka Kareisová</dc:creator>
</cp:coreProperties>
</file>