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652E" w14:textId="77777777" w:rsidR="00DC6FCA" w:rsidRPr="00D5213C" w:rsidRDefault="00DC6FCA" w:rsidP="009148AD">
      <w:pPr>
        <w:pStyle w:val="Nadpis1"/>
        <w:jc w:val="center"/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>SMLOUVA O NÁJMU NEBYTOVÝCH PROSTOR</w:t>
      </w:r>
    </w:p>
    <w:p w14:paraId="4D5ECFE9" w14:textId="77777777" w:rsidR="00DC6FCA" w:rsidRPr="00D5213C" w:rsidRDefault="00DC6FCA">
      <w:pPr>
        <w:rPr>
          <w:rFonts w:ascii="Calibri" w:hAnsi="Calibri" w:cs="Calibri"/>
          <w:sz w:val="18"/>
          <w:szCs w:val="18"/>
        </w:rPr>
      </w:pPr>
    </w:p>
    <w:p w14:paraId="495B01C0" w14:textId="77777777" w:rsidR="00DC6FCA" w:rsidRPr="00D5213C" w:rsidRDefault="00DC6FCA">
      <w:pPr>
        <w:rPr>
          <w:rFonts w:ascii="Calibri" w:hAnsi="Calibri" w:cs="Calibri"/>
          <w:sz w:val="18"/>
          <w:szCs w:val="18"/>
        </w:rPr>
      </w:pPr>
    </w:p>
    <w:p w14:paraId="435EF000" w14:textId="77777777" w:rsidR="00C23E0D" w:rsidRPr="00D5213C" w:rsidRDefault="00DC6FCA">
      <w:pPr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>Účastníci smlouvy:</w:t>
      </w:r>
    </w:p>
    <w:p w14:paraId="2C2A1441" w14:textId="77777777" w:rsidR="0071329E" w:rsidRPr="00D5213C" w:rsidRDefault="0071329E" w:rsidP="0071329E">
      <w:pPr>
        <w:rPr>
          <w:rFonts w:ascii="Calibri" w:hAnsi="Calibri" w:cs="Calibri"/>
          <w:b/>
          <w:bCs/>
          <w:sz w:val="18"/>
          <w:szCs w:val="18"/>
        </w:rPr>
      </w:pPr>
    </w:p>
    <w:p w14:paraId="6557DCCD" w14:textId="77777777" w:rsidR="0071329E" w:rsidRPr="00D5213C" w:rsidRDefault="0071329E" w:rsidP="0071329E">
      <w:pPr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>M-line a.s.</w:t>
      </w:r>
      <w:r w:rsidRPr="00D5213C">
        <w:rPr>
          <w:rFonts w:ascii="Calibri" w:hAnsi="Calibri" w:cs="Calibri"/>
          <w:b/>
          <w:bCs/>
          <w:sz w:val="18"/>
          <w:szCs w:val="18"/>
        </w:rPr>
        <w:tab/>
      </w:r>
      <w:r w:rsidRPr="00D5213C">
        <w:rPr>
          <w:rFonts w:ascii="Calibri" w:hAnsi="Calibri" w:cs="Calibri"/>
          <w:b/>
          <w:bCs/>
          <w:sz w:val="18"/>
          <w:szCs w:val="18"/>
        </w:rPr>
        <w:tab/>
      </w:r>
      <w:r w:rsidRPr="00D5213C">
        <w:rPr>
          <w:rFonts w:ascii="Calibri" w:hAnsi="Calibri" w:cs="Calibri"/>
          <w:b/>
          <w:bCs/>
          <w:sz w:val="18"/>
          <w:szCs w:val="18"/>
        </w:rPr>
        <w:tab/>
      </w:r>
      <w:r w:rsidRPr="00D5213C">
        <w:rPr>
          <w:rFonts w:ascii="Calibri" w:hAnsi="Calibri" w:cs="Calibri"/>
          <w:b/>
          <w:bCs/>
          <w:sz w:val="18"/>
          <w:szCs w:val="18"/>
        </w:rPr>
        <w:tab/>
      </w:r>
      <w:r w:rsidRPr="00D5213C">
        <w:rPr>
          <w:rFonts w:ascii="Calibri" w:hAnsi="Calibri" w:cs="Calibri"/>
          <w:b/>
          <w:bCs/>
          <w:sz w:val="18"/>
          <w:szCs w:val="18"/>
        </w:rPr>
        <w:tab/>
      </w:r>
    </w:p>
    <w:p w14:paraId="76BE807B" w14:textId="0AA7C780" w:rsidR="0071329E" w:rsidRPr="00D5213C" w:rsidRDefault="0071329E" w:rsidP="0071329E">
      <w:pPr>
        <w:rPr>
          <w:rFonts w:ascii="Calibri" w:hAnsi="Calibri" w:cs="Calibri"/>
          <w:bCs/>
          <w:sz w:val="18"/>
          <w:szCs w:val="18"/>
        </w:rPr>
      </w:pPr>
      <w:r w:rsidRPr="00D5213C">
        <w:rPr>
          <w:rFonts w:ascii="Calibri" w:hAnsi="Calibri" w:cs="Calibri"/>
          <w:bCs/>
          <w:sz w:val="18"/>
          <w:szCs w:val="18"/>
        </w:rPr>
        <w:t xml:space="preserve">Pekárenská </w:t>
      </w:r>
      <w:r w:rsidR="009E0F13" w:rsidRPr="00D5213C">
        <w:rPr>
          <w:rFonts w:ascii="Calibri" w:hAnsi="Calibri" w:cs="Calibri"/>
          <w:bCs/>
          <w:sz w:val="18"/>
          <w:szCs w:val="18"/>
        </w:rPr>
        <w:t>761</w:t>
      </w:r>
      <w:r w:rsidRPr="00D5213C">
        <w:rPr>
          <w:rFonts w:ascii="Calibri" w:hAnsi="Calibri" w:cs="Calibri"/>
          <w:bCs/>
          <w:sz w:val="18"/>
          <w:szCs w:val="18"/>
        </w:rPr>
        <w:t>/77</w:t>
      </w:r>
      <w:r w:rsidR="009E0F13" w:rsidRPr="00D5213C">
        <w:rPr>
          <w:rFonts w:ascii="Calibri" w:hAnsi="Calibri" w:cs="Calibri"/>
          <w:bCs/>
          <w:sz w:val="18"/>
          <w:szCs w:val="18"/>
        </w:rPr>
        <w:t>c</w:t>
      </w:r>
      <w:r w:rsidRPr="00D5213C">
        <w:rPr>
          <w:rFonts w:ascii="Calibri" w:hAnsi="Calibri" w:cs="Calibri"/>
          <w:bCs/>
          <w:sz w:val="18"/>
          <w:szCs w:val="18"/>
        </w:rPr>
        <w:t>, České Budějovice 4, 370 04 České Budějovice</w:t>
      </w:r>
    </w:p>
    <w:p w14:paraId="0553F0FD" w14:textId="58B7B919" w:rsidR="0071329E" w:rsidRPr="00D5213C" w:rsidRDefault="0071329E" w:rsidP="0071329E">
      <w:pPr>
        <w:rPr>
          <w:rFonts w:ascii="Calibri" w:hAnsi="Calibri" w:cs="Calibri"/>
          <w:bCs/>
          <w:sz w:val="18"/>
          <w:szCs w:val="18"/>
        </w:rPr>
      </w:pPr>
      <w:r w:rsidRPr="00D5213C">
        <w:rPr>
          <w:rFonts w:ascii="Calibri" w:hAnsi="Calibri" w:cs="Calibri"/>
          <w:bCs/>
          <w:sz w:val="18"/>
          <w:szCs w:val="18"/>
        </w:rPr>
        <w:t>IČ 2</w:t>
      </w:r>
      <w:r w:rsidR="002E0E5A">
        <w:rPr>
          <w:rFonts w:ascii="Calibri" w:hAnsi="Calibri" w:cs="Calibri"/>
          <w:bCs/>
          <w:sz w:val="18"/>
          <w:szCs w:val="18"/>
        </w:rPr>
        <w:t>6</w:t>
      </w:r>
      <w:r w:rsidRPr="00D5213C">
        <w:rPr>
          <w:rFonts w:ascii="Calibri" w:hAnsi="Calibri" w:cs="Calibri"/>
          <w:bCs/>
          <w:sz w:val="18"/>
          <w:szCs w:val="18"/>
        </w:rPr>
        <w:t>092972, DIČ CZ26092972</w:t>
      </w:r>
    </w:p>
    <w:p w14:paraId="0050C898" w14:textId="77777777" w:rsidR="0071329E" w:rsidRPr="00D5213C" w:rsidRDefault="0071329E" w:rsidP="0071329E">
      <w:pPr>
        <w:rPr>
          <w:rFonts w:ascii="Calibri" w:hAnsi="Calibri" w:cs="Calibri"/>
          <w:bCs/>
          <w:sz w:val="18"/>
          <w:szCs w:val="18"/>
        </w:rPr>
      </w:pPr>
      <w:r w:rsidRPr="00D5213C">
        <w:rPr>
          <w:rFonts w:ascii="Calibri" w:hAnsi="Calibri" w:cs="Calibri"/>
          <w:bCs/>
          <w:sz w:val="18"/>
          <w:szCs w:val="18"/>
        </w:rPr>
        <w:t>Spisová značka B 1447 vedená u Krajského soudu v Českých Budějovicích</w:t>
      </w:r>
      <w:r w:rsidRPr="00D5213C">
        <w:rPr>
          <w:rFonts w:ascii="Calibri" w:hAnsi="Calibri" w:cs="Calibri"/>
          <w:bCs/>
          <w:sz w:val="18"/>
          <w:szCs w:val="18"/>
        </w:rPr>
        <w:tab/>
      </w:r>
    </w:p>
    <w:p w14:paraId="362C28EA" w14:textId="4C1EA099" w:rsidR="0071329E" w:rsidRPr="00D5213C" w:rsidRDefault="0071329E" w:rsidP="0071329E">
      <w:pPr>
        <w:rPr>
          <w:rFonts w:ascii="Calibri" w:hAnsi="Calibri" w:cs="Calibri"/>
          <w:bCs/>
          <w:sz w:val="18"/>
          <w:szCs w:val="18"/>
        </w:rPr>
      </w:pPr>
      <w:r w:rsidRPr="00D5213C">
        <w:rPr>
          <w:rFonts w:ascii="Calibri" w:hAnsi="Calibri" w:cs="Calibri"/>
          <w:bCs/>
          <w:sz w:val="18"/>
          <w:szCs w:val="18"/>
        </w:rPr>
        <w:t xml:space="preserve">Zastupuje </w:t>
      </w:r>
      <w:r w:rsidRPr="003836B8">
        <w:rPr>
          <w:rFonts w:ascii="Calibri" w:hAnsi="Calibri" w:cs="Calibri"/>
          <w:b/>
          <w:sz w:val="18"/>
          <w:szCs w:val="18"/>
        </w:rPr>
        <w:t xml:space="preserve">Ing. </w:t>
      </w:r>
      <w:r w:rsidR="00422A1B" w:rsidRPr="003836B8">
        <w:rPr>
          <w:rFonts w:ascii="Calibri" w:hAnsi="Calibri" w:cs="Calibri"/>
          <w:b/>
          <w:sz w:val="18"/>
          <w:szCs w:val="18"/>
        </w:rPr>
        <w:t>Libor Turek</w:t>
      </w:r>
      <w:r w:rsidRPr="00D5213C">
        <w:rPr>
          <w:rFonts w:ascii="Calibri" w:hAnsi="Calibri" w:cs="Calibri"/>
          <w:bCs/>
          <w:sz w:val="18"/>
          <w:szCs w:val="18"/>
        </w:rPr>
        <w:t>, předseda představenstva</w:t>
      </w:r>
    </w:p>
    <w:p w14:paraId="572A6D9A" w14:textId="77777777" w:rsidR="00DC6FCA" w:rsidRPr="00D5213C" w:rsidRDefault="0071329E" w:rsidP="0071329E">
      <w:pPr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bCs/>
          <w:sz w:val="18"/>
          <w:szCs w:val="18"/>
        </w:rPr>
        <w:t>(dále jen „pronajímatel“)</w:t>
      </w:r>
    </w:p>
    <w:p w14:paraId="11BB97F2" w14:textId="77777777" w:rsidR="0071329E" w:rsidRPr="00D5213C" w:rsidRDefault="0071329E">
      <w:pPr>
        <w:rPr>
          <w:rFonts w:ascii="Calibri" w:hAnsi="Calibri" w:cs="Calibri"/>
          <w:sz w:val="18"/>
          <w:szCs w:val="18"/>
        </w:rPr>
      </w:pPr>
    </w:p>
    <w:p w14:paraId="64C0E113" w14:textId="77777777" w:rsidR="00DC6FCA" w:rsidRPr="00D5213C" w:rsidRDefault="00DC6FCA" w:rsidP="003836B8">
      <w:pPr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a</w:t>
      </w:r>
    </w:p>
    <w:p w14:paraId="56877EA7" w14:textId="77777777" w:rsidR="001E7DF8" w:rsidRPr="00D5213C" w:rsidRDefault="001E7DF8">
      <w:pPr>
        <w:rPr>
          <w:rStyle w:val="platne1"/>
          <w:rFonts w:ascii="Calibri" w:hAnsi="Calibri" w:cs="Calibri"/>
          <w:sz w:val="18"/>
          <w:szCs w:val="18"/>
        </w:rPr>
      </w:pPr>
    </w:p>
    <w:p w14:paraId="30ED0B47" w14:textId="4AC81E59" w:rsidR="00122767" w:rsidRPr="00D5213C" w:rsidRDefault="00FF21BB" w:rsidP="00122767">
      <w:pPr>
        <w:rPr>
          <w:rFonts w:ascii="Calibri" w:hAnsi="Calibri" w:cs="Calibri"/>
          <w:b/>
          <w:bCs/>
          <w:sz w:val="18"/>
          <w:szCs w:val="18"/>
        </w:rPr>
      </w:pPr>
      <w:r w:rsidRPr="00FF21BB">
        <w:rPr>
          <w:rFonts w:ascii="Calibri" w:hAnsi="Calibri" w:cs="Calibri"/>
          <w:b/>
          <w:bCs/>
          <w:sz w:val="18"/>
          <w:szCs w:val="18"/>
        </w:rPr>
        <w:t>JIKORD s.r.o.</w:t>
      </w:r>
      <w:r w:rsidR="00122767" w:rsidRPr="00D5213C">
        <w:rPr>
          <w:rFonts w:ascii="Calibri" w:hAnsi="Calibri" w:cs="Calibri"/>
          <w:b/>
          <w:bCs/>
          <w:sz w:val="18"/>
          <w:szCs w:val="18"/>
        </w:rPr>
        <w:tab/>
      </w:r>
      <w:r w:rsidR="00122767" w:rsidRPr="00D5213C">
        <w:rPr>
          <w:rFonts w:ascii="Calibri" w:hAnsi="Calibri" w:cs="Calibri"/>
          <w:b/>
          <w:bCs/>
          <w:sz w:val="18"/>
          <w:szCs w:val="18"/>
        </w:rPr>
        <w:tab/>
      </w:r>
      <w:r w:rsidR="00122767" w:rsidRPr="00D5213C">
        <w:rPr>
          <w:rFonts w:ascii="Calibri" w:hAnsi="Calibri" w:cs="Calibri"/>
          <w:b/>
          <w:bCs/>
          <w:sz w:val="18"/>
          <w:szCs w:val="18"/>
        </w:rPr>
        <w:tab/>
      </w:r>
      <w:r w:rsidR="00122767" w:rsidRPr="00D5213C">
        <w:rPr>
          <w:rFonts w:ascii="Calibri" w:hAnsi="Calibri" w:cs="Calibri"/>
          <w:b/>
          <w:bCs/>
          <w:sz w:val="18"/>
          <w:szCs w:val="18"/>
        </w:rPr>
        <w:tab/>
      </w:r>
      <w:r w:rsidR="00122767" w:rsidRPr="00D5213C">
        <w:rPr>
          <w:rFonts w:ascii="Calibri" w:hAnsi="Calibri" w:cs="Calibri"/>
          <w:b/>
          <w:bCs/>
          <w:sz w:val="18"/>
          <w:szCs w:val="18"/>
        </w:rPr>
        <w:tab/>
      </w:r>
    </w:p>
    <w:p w14:paraId="1C9D2F6D" w14:textId="77777777" w:rsidR="00A26A41" w:rsidRDefault="00A26A41" w:rsidP="00122767">
      <w:pPr>
        <w:rPr>
          <w:rFonts w:ascii="Calibri" w:hAnsi="Calibri" w:cs="Calibri"/>
          <w:bCs/>
          <w:sz w:val="18"/>
          <w:szCs w:val="18"/>
        </w:rPr>
      </w:pPr>
      <w:r w:rsidRPr="00A26A41">
        <w:rPr>
          <w:rFonts w:ascii="Calibri" w:hAnsi="Calibri" w:cs="Calibri"/>
          <w:bCs/>
          <w:sz w:val="18"/>
          <w:szCs w:val="18"/>
        </w:rPr>
        <w:t>Okružní 517/10, České Budějovice 4, 370 01 České Budějovice</w:t>
      </w:r>
    </w:p>
    <w:p w14:paraId="0F360780" w14:textId="59C0E30B" w:rsidR="00122767" w:rsidRPr="00D5213C" w:rsidRDefault="00122767" w:rsidP="00122767">
      <w:pPr>
        <w:rPr>
          <w:rFonts w:ascii="Calibri" w:hAnsi="Calibri" w:cs="Calibri"/>
          <w:bCs/>
          <w:sz w:val="18"/>
          <w:szCs w:val="18"/>
        </w:rPr>
      </w:pPr>
      <w:r w:rsidRPr="00D5213C">
        <w:rPr>
          <w:rFonts w:ascii="Calibri" w:hAnsi="Calibri" w:cs="Calibri"/>
          <w:bCs/>
          <w:sz w:val="18"/>
          <w:szCs w:val="18"/>
        </w:rPr>
        <w:t xml:space="preserve">IČ </w:t>
      </w:r>
      <w:r w:rsidR="006033F5" w:rsidRPr="006033F5">
        <w:rPr>
          <w:rFonts w:ascii="Calibri" w:hAnsi="Calibri" w:cs="Calibri"/>
          <w:bCs/>
          <w:sz w:val="18"/>
          <w:szCs w:val="18"/>
        </w:rPr>
        <w:t>28117018</w:t>
      </w:r>
      <w:r w:rsidRPr="00D5213C">
        <w:rPr>
          <w:rFonts w:ascii="Calibri" w:hAnsi="Calibri" w:cs="Calibri"/>
          <w:bCs/>
          <w:sz w:val="18"/>
          <w:szCs w:val="18"/>
        </w:rPr>
        <w:t xml:space="preserve">, DIČ </w:t>
      </w:r>
    </w:p>
    <w:p w14:paraId="63179012" w14:textId="77777777" w:rsidR="004870B3" w:rsidRDefault="00122767" w:rsidP="00122767">
      <w:pPr>
        <w:rPr>
          <w:rFonts w:ascii="Calibri" w:hAnsi="Calibri" w:cs="Calibri"/>
          <w:bCs/>
          <w:sz w:val="18"/>
          <w:szCs w:val="18"/>
        </w:rPr>
      </w:pPr>
      <w:r w:rsidRPr="00D5213C">
        <w:rPr>
          <w:rFonts w:ascii="Calibri" w:hAnsi="Calibri" w:cs="Calibri"/>
          <w:bCs/>
          <w:sz w:val="18"/>
          <w:szCs w:val="18"/>
        </w:rPr>
        <w:t xml:space="preserve">Spisová značka </w:t>
      </w:r>
      <w:r w:rsidR="004870B3" w:rsidRPr="004870B3">
        <w:rPr>
          <w:rFonts w:ascii="Calibri" w:hAnsi="Calibri" w:cs="Calibri"/>
          <w:bCs/>
          <w:sz w:val="18"/>
          <w:szCs w:val="18"/>
        </w:rPr>
        <w:t>C 18159 vedená u Krajského soudu v Českých Budějovicích</w:t>
      </w:r>
    </w:p>
    <w:p w14:paraId="4167061A" w14:textId="70905377" w:rsidR="00122767" w:rsidRPr="00D5213C" w:rsidRDefault="00122767" w:rsidP="00122767">
      <w:pPr>
        <w:rPr>
          <w:rFonts w:ascii="Calibri" w:hAnsi="Calibri" w:cs="Calibri"/>
          <w:bCs/>
          <w:sz w:val="18"/>
          <w:szCs w:val="18"/>
        </w:rPr>
      </w:pPr>
      <w:r w:rsidRPr="00D5213C">
        <w:rPr>
          <w:rFonts w:ascii="Calibri" w:hAnsi="Calibri" w:cs="Calibri"/>
          <w:bCs/>
          <w:sz w:val="18"/>
          <w:szCs w:val="18"/>
        </w:rPr>
        <w:t>Zastupuje</w:t>
      </w:r>
      <w:r w:rsidR="00A26A41">
        <w:rPr>
          <w:rFonts w:ascii="Calibri" w:hAnsi="Calibri" w:cs="Calibri"/>
          <w:bCs/>
          <w:sz w:val="18"/>
          <w:szCs w:val="18"/>
        </w:rPr>
        <w:t xml:space="preserve"> </w:t>
      </w:r>
      <w:r w:rsidR="00A26A41" w:rsidRPr="00A26A41">
        <w:rPr>
          <w:rFonts w:ascii="Calibri" w:hAnsi="Calibri" w:cs="Calibri"/>
          <w:b/>
          <w:bCs/>
          <w:sz w:val="18"/>
          <w:szCs w:val="18"/>
        </w:rPr>
        <w:t>Ing. Jiří Kafka</w:t>
      </w:r>
      <w:r w:rsidR="00121676">
        <w:rPr>
          <w:rFonts w:ascii="Calibri" w:hAnsi="Calibri" w:cs="Calibri"/>
          <w:bCs/>
          <w:sz w:val="18"/>
          <w:szCs w:val="18"/>
        </w:rPr>
        <w:t>, jednatel</w:t>
      </w:r>
      <w:r w:rsidR="00A26A41">
        <w:rPr>
          <w:rFonts w:ascii="Calibri" w:hAnsi="Calibri" w:cs="Calibri"/>
          <w:bCs/>
          <w:sz w:val="18"/>
          <w:szCs w:val="18"/>
        </w:rPr>
        <w:t xml:space="preserve"> společnosti</w:t>
      </w:r>
    </w:p>
    <w:p w14:paraId="4CAEB089" w14:textId="34B0ACB1" w:rsidR="0043418C" w:rsidRPr="00D5213C" w:rsidRDefault="0071329E" w:rsidP="005828F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(dále jen „nájemce“)</w:t>
      </w:r>
    </w:p>
    <w:p w14:paraId="64B765B0" w14:textId="77777777" w:rsidR="00DC6FCA" w:rsidRPr="00D5213C" w:rsidRDefault="00DC6FCA">
      <w:pPr>
        <w:rPr>
          <w:rFonts w:ascii="Calibri" w:hAnsi="Calibri" w:cs="Calibri"/>
          <w:sz w:val="18"/>
          <w:szCs w:val="18"/>
        </w:rPr>
      </w:pPr>
    </w:p>
    <w:p w14:paraId="6AC4FCAF" w14:textId="54701627" w:rsidR="00DC6FCA" w:rsidRPr="00D5213C" w:rsidRDefault="00DC6FCA">
      <w:pPr>
        <w:pStyle w:val="Zkladntext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sjednávají tuto smlouvu o nájmu nebytových prostor:</w:t>
      </w:r>
    </w:p>
    <w:p w14:paraId="221EA70F" w14:textId="77777777" w:rsidR="00DC6FCA" w:rsidRPr="00D5213C" w:rsidRDefault="00DC6FCA">
      <w:pPr>
        <w:ind w:right="-108"/>
        <w:rPr>
          <w:rFonts w:ascii="Calibri" w:hAnsi="Calibri" w:cs="Calibri"/>
          <w:sz w:val="18"/>
          <w:szCs w:val="18"/>
        </w:rPr>
      </w:pPr>
    </w:p>
    <w:p w14:paraId="0CFBAA11" w14:textId="77777777" w:rsidR="00DC6FCA" w:rsidRPr="00D5213C" w:rsidRDefault="00DC6FCA">
      <w:pPr>
        <w:ind w:right="-108"/>
        <w:jc w:val="center"/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>I.</w:t>
      </w:r>
    </w:p>
    <w:p w14:paraId="2DB809D2" w14:textId="77777777" w:rsidR="00DC6FCA" w:rsidRPr="00D5213C" w:rsidRDefault="00DC6FCA">
      <w:pPr>
        <w:pStyle w:val="Zkladntext"/>
        <w:jc w:val="both"/>
        <w:rPr>
          <w:rFonts w:ascii="Calibri" w:hAnsi="Calibri" w:cs="Calibri"/>
          <w:sz w:val="18"/>
          <w:szCs w:val="18"/>
        </w:rPr>
      </w:pPr>
    </w:p>
    <w:p w14:paraId="085D873F" w14:textId="4013C3D6" w:rsidR="00DC6FCA" w:rsidRPr="00D5213C" w:rsidRDefault="00DC6FCA">
      <w:pPr>
        <w:pStyle w:val="Zkladntext"/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Pronajímatel je vlastníkem objektu na parcele č. 1083/6 v Pekárenské ul.</w:t>
      </w:r>
      <w:r w:rsidR="00463628" w:rsidRPr="00D5213C">
        <w:rPr>
          <w:rFonts w:ascii="Calibri" w:hAnsi="Calibri" w:cs="Calibri"/>
          <w:sz w:val="18"/>
          <w:szCs w:val="18"/>
        </w:rPr>
        <w:t xml:space="preserve"> </w:t>
      </w:r>
      <w:r w:rsidRPr="00D5213C">
        <w:rPr>
          <w:rFonts w:ascii="Calibri" w:hAnsi="Calibri" w:cs="Calibri"/>
          <w:sz w:val="18"/>
          <w:szCs w:val="18"/>
        </w:rPr>
        <w:t>č.p.</w:t>
      </w:r>
      <w:r w:rsidR="00463628" w:rsidRPr="00D5213C">
        <w:rPr>
          <w:rFonts w:ascii="Calibri" w:hAnsi="Calibri" w:cs="Calibri"/>
          <w:sz w:val="18"/>
          <w:szCs w:val="18"/>
        </w:rPr>
        <w:t xml:space="preserve"> 761/77c</w:t>
      </w:r>
      <w:r w:rsidRPr="00D5213C">
        <w:rPr>
          <w:rFonts w:ascii="Calibri" w:hAnsi="Calibri" w:cs="Calibri"/>
          <w:sz w:val="18"/>
          <w:szCs w:val="18"/>
        </w:rPr>
        <w:t xml:space="preserve">, v katastrálním území České Budějovice. Předmětem nájmu </w:t>
      </w:r>
      <w:r w:rsidR="0020431A">
        <w:rPr>
          <w:rFonts w:ascii="Calibri" w:hAnsi="Calibri" w:cs="Calibri"/>
          <w:sz w:val="18"/>
          <w:szCs w:val="18"/>
        </w:rPr>
        <w:t xml:space="preserve">jsou </w:t>
      </w:r>
      <w:r w:rsidRPr="00D5213C">
        <w:rPr>
          <w:rFonts w:ascii="Calibri" w:hAnsi="Calibri" w:cs="Calibri"/>
          <w:sz w:val="18"/>
          <w:szCs w:val="18"/>
        </w:rPr>
        <w:t>nebytové prostory</w:t>
      </w:r>
      <w:r w:rsidR="00A47824">
        <w:rPr>
          <w:rFonts w:ascii="Calibri" w:hAnsi="Calibri" w:cs="Calibri"/>
          <w:sz w:val="18"/>
          <w:szCs w:val="18"/>
        </w:rPr>
        <w:t>.</w:t>
      </w:r>
    </w:p>
    <w:p w14:paraId="071A3A15" w14:textId="77777777" w:rsidR="00DC6FCA" w:rsidRPr="00D5213C" w:rsidRDefault="00DC6FCA">
      <w:pPr>
        <w:ind w:right="-108"/>
        <w:rPr>
          <w:rFonts w:ascii="Calibri" w:hAnsi="Calibri" w:cs="Calibri"/>
          <w:sz w:val="18"/>
          <w:szCs w:val="18"/>
        </w:rPr>
      </w:pPr>
    </w:p>
    <w:p w14:paraId="1432E1F7" w14:textId="77777777" w:rsidR="00DC6FCA" w:rsidRPr="00D5213C" w:rsidRDefault="00DC6FCA">
      <w:pPr>
        <w:ind w:right="-108"/>
        <w:jc w:val="center"/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>II.</w:t>
      </w:r>
    </w:p>
    <w:p w14:paraId="7F138C41" w14:textId="77777777" w:rsidR="00DC6FCA" w:rsidRPr="00D5213C" w:rsidRDefault="00DC6FCA">
      <w:pPr>
        <w:ind w:right="-108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2BF89D6A" w14:textId="208F8A73" w:rsidR="00DC6FCA" w:rsidRPr="00D5213C" w:rsidRDefault="00DC6FCA" w:rsidP="00486E3B">
      <w:pPr>
        <w:ind w:right="-108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 xml:space="preserve">Pronajímatel pronajímá nájemci </w:t>
      </w:r>
      <w:r w:rsidR="00535015" w:rsidRPr="00D5213C">
        <w:rPr>
          <w:rFonts w:ascii="Calibri" w:hAnsi="Calibri" w:cs="Calibri"/>
          <w:sz w:val="18"/>
          <w:szCs w:val="18"/>
        </w:rPr>
        <w:t>nebytové prostory</w:t>
      </w:r>
      <w:r w:rsidR="00535015">
        <w:rPr>
          <w:rFonts w:ascii="Calibri" w:hAnsi="Calibri" w:cs="Calibri"/>
          <w:sz w:val="18"/>
          <w:szCs w:val="18"/>
        </w:rPr>
        <w:t xml:space="preserve"> </w:t>
      </w:r>
      <w:r w:rsidR="002922DD" w:rsidRPr="00D5213C">
        <w:rPr>
          <w:rFonts w:ascii="Calibri" w:hAnsi="Calibri" w:cs="Calibri"/>
          <w:sz w:val="18"/>
          <w:szCs w:val="18"/>
        </w:rPr>
        <w:t>blíže určené v </w:t>
      </w:r>
      <w:r w:rsidR="002922DD" w:rsidRPr="00D5213C">
        <w:rPr>
          <w:rFonts w:ascii="Calibri" w:hAnsi="Calibri" w:cs="Calibri"/>
          <w:b/>
          <w:bCs/>
          <w:sz w:val="18"/>
          <w:szCs w:val="18"/>
        </w:rPr>
        <w:t>příloze č. 1</w:t>
      </w:r>
      <w:r w:rsidR="002922DD" w:rsidRPr="00D5213C">
        <w:rPr>
          <w:rFonts w:ascii="Calibri" w:hAnsi="Calibri" w:cs="Calibri"/>
          <w:sz w:val="18"/>
          <w:szCs w:val="18"/>
        </w:rPr>
        <w:t xml:space="preserve"> této smlouvy</w:t>
      </w:r>
      <w:r w:rsidRPr="00D5213C">
        <w:rPr>
          <w:rFonts w:ascii="Calibri" w:hAnsi="Calibri" w:cs="Calibri"/>
          <w:sz w:val="18"/>
          <w:szCs w:val="18"/>
        </w:rPr>
        <w:t xml:space="preserve">.  </w:t>
      </w:r>
    </w:p>
    <w:p w14:paraId="70936B60" w14:textId="77777777" w:rsidR="00666148" w:rsidRPr="00D5213C" w:rsidRDefault="00666148" w:rsidP="002B50E9">
      <w:pPr>
        <w:ind w:right="-108"/>
        <w:jc w:val="both"/>
        <w:rPr>
          <w:rFonts w:ascii="Calibri" w:hAnsi="Calibri" w:cs="Calibri"/>
          <w:sz w:val="18"/>
          <w:szCs w:val="18"/>
        </w:rPr>
      </w:pPr>
    </w:p>
    <w:p w14:paraId="7BBBB276" w14:textId="6CEDDDA5" w:rsidR="00DC6FCA" w:rsidRPr="00D5213C" w:rsidRDefault="00DC6FCA" w:rsidP="002B50E9">
      <w:pPr>
        <w:ind w:right="-108"/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 xml:space="preserve">Nájemce je oprávněn </w:t>
      </w:r>
      <w:r w:rsidR="00F4075D">
        <w:rPr>
          <w:rFonts w:ascii="Calibri" w:hAnsi="Calibri" w:cs="Calibri"/>
          <w:sz w:val="18"/>
          <w:szCs w:val="18"/>
        </w:rPr>
        <w:t xml:space="preserve">předmět </w:t>
      </w:r>
      <w:r w:rsidR="008E511E">
        <w:rPr>
          <w:rFonts w:ascii="Calibri" w:hAnsi="Calibri" w:cs="Calibri"/>
          <w:sz w:val="18"/>
          <w:szCs w:val="18"/>
        </w:rPr>
        <w:t>nájmu</w:t>
      </w:r>
      <w:r w:rsidRPr="00D5213C">
        <w:rPr>
          <w:rFonts w:ascii="Calibri" w:hAnsi="Calibri" w:cs="Calibri"/>
          <w:sz w:val="18"/>
          <w:szCs w:val="18"/>
        </w:rPr>
        <w:t xml:space="preserve"> užívat pouze k</w:t>
      </w:r>
      <w:r w:rsidR="00ED2010" w:rsidRPr="00D5213C">
        <w:rPr>
          <w:rFonts w:ascii="Calibri" w:hAnsi="Calibri" w:cs="Calibri"/>
          <w:sz w:val="18"/>
          <w:szCs w:val="18"/>
        </w:rPr>
        <w:t>e</w:t>
      </w:r>
      <w:r w:rsidRPr="00D5213C">
        <w:rPr>
          <w:rFonts w:ascii="Calibri" w:hAnsi="Calibri" w:cs="Calibri"/>
          <w:sz w:val="18"/>
          <w:szCs w:val="18"/>
        </w:rPr>
        <w:t> sjednanému účelu, tj.</w:t>
      </w:r>
      <w:r w:rsidR="00A1567B" w:rsidRPr="00D5213C">
        <w:rPr>
          <w:rFonts w:ascii="Calibri" w:hAnsi="Calibri" w:cs="Calibri"/>
          <w:sz w:val="18"/>
          <w:szCs w:val="18"/>
        </w:rPr>
        <w:t xml:space="preserve"> </w:t>
      </w:r>
      <w:r w:rsidR="00E62ED5">
        <w:rPr>
          <w:rFonts w:ascii="Calibri" w:hAnsi="Calibri" w:cs="Calibri"/>
          <w:sz w:val="18"/>
          <w:szCs w:val="18"/>
        </w:rPr>
        <w:t xml:space="preserve">nebytové prostory </w:t>
      </w:r>
      <w:r w:rsidR="000162FD">
        <w:rPr>
          <w:rFonts w:ascii="Calibri" w:hAnsi="Calibri" w:cs="Calibri"/>
          <w:sz w:val="18"/>
          <w:szCs w:val="18"/>
        </w:rPr>
        <w:t xml:space="preserve">jako </w:t>
      </w:r>
      <w:r w:rsidRPr="00D5213C">
        <w:rPr>
          <w:rFonts w:ascii="Calibri" w:hAnsi="Calibri" w:cs="Calibri"/>
          <w:sz w:val="18"/>
          <w:szCs w:val="18"/>
        </w:rPr>
        <w:t>kanceláře</w:t>
      </w:r>
      <w:r w:rsidR="00724A6C" w:rsidRPr="00D5213C">
        <w:rPr>
          <w:rFonts w:ascii="Calibri" w:hAnsi="Calibri" w:cs="Calibri"/>
          <w:sz w:val="18"/>
          <w:szCs w:val="18"/>
        </w:rPr>
        <w:t>, sklad</w:t>
      </w:r>
      <w:r w:rsidR="009D2CCA">
        <w:rPr>
          <w:rFonts w:ascii="Calibri" w:hAnsi="Calibri" w:cs="Calibri"/>
          <w:sz w:val="18"/>
          <w:szCs w:val="18"/>
        </w:rPr>
        <w:t xml:space="preserve"> jako archív</w:t>
      </w:r>
      <w:r w:rsidRPr="00D5213C">
        <w:rPr>
          <w:rFonts w:ascii="Calibri" w:hAnsi="Calibri" w:cs="Calibri"/>
          <w:sz w:val="18"/>
          <w:szCs w:val="18"/>
        </w:rPr>
        <w:t xml:space="preserve"> </w:t>
      </w:r>
      <w:r w:rsidR="00763CF2" w:rsidRPr="00D5213C">
        <w:rPr>
          <w:rFonts w:ascii="Calibri" w:hAnsi="Calibri" w:cs="Calibri"/>
          <w:sz w:val="18"/>
          <w:szCs w:val="18"/>
        </w:rPr>
        <w:t xml:space="preserve">a </w:t>
      </w:r>
      <w:r w:rsidRPr="00D5213C">
        <w:rPr>
          <w:rFonts w:ascii="Calibri" w:hAnsi="Calibri" w:cs="Calibri"/>
          <w:sz w:val="18"/>
          <w:szCs w:val="18"/>
        </w:rPr>
        <w:t>pro svoji obchodní činnost. Předmět nájmu zahrnuje také právo nezbytného průchodu společnými prostorami, jak pro pracovníky nájemce, tak jeho zákazníky a oprávnění užívat společná sociální zařízení</w:t>
      </w:r>
      <w:r w:rsidR="007D25BE">
        <w:rPr>
          <w:rFonts w:ascii="Calibri" w:hAnsi="Calibri" w:cs="Calibri"/>
          <w:sz w:val="18"/>
          <w:szCs w:val="18"/>
        </w:rPr>
        <w:t xml:space="preserve"> a kuchyni</w:t>
      </w:r>
      <w:r w:rsidR="00535015">
        <w:rPr>
          <w:rFonts w:ascii="Calibri" w:hAnsi="Calibri" w:cs="Calibri"/>
          <w:sz w:val="18"/>
          <w:szCs w:val="18"/>
        </w:rPr>
        <w:t xml:space="preserve"> včetně vybavení kuchyně.</w:t>
      </w:r>
      <w:r w:rsidR="00F15B03">
        <w:rPr>
          <w:rFonts w:ascii="Calibri" w:hAnsi="Calibri" w:cs="Calibri"/>
          <w:sz w:val="18"/>
          <w:szCs w:val="18"/>
        </w:rPr>
        <w:t xml:space="preserve"> </w:t>
      </w:r>
    </w:p>
    <w:p w14:paraId="6ABA5997" w14:textId="77777777" w:rsidR="00DC6FCA" w:rsidRPr="00D5213C" w:rsidRDefault="00DC6FCA">
      <w:pPr>
        <w:ind w:right="-108"/>
        <w:rPr>
          <w:rFonts w:ascii="Calibri" w:hAnsi="Calibri" w:cs="Calibri"/>
          <w:sz w:val="18"/>
          <w:szCs w:val="18"/>
        </w:rPr>
      </w:pPr>
    </w:p>
    <w:p w14:paraId="0A0BF876" w14:textId="77777777" w:rsidR="00DC6FCA" w:rsidRPr="00D5213C" w:rsidRDefault="00DC6FCA">
      <w:pPr>
        <w:ind w:right="-108"/>
        <w:jc w:val="center"/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>III.</w:t>
      </w:r>
    </w:p>
    <w:p w14:paraId="08476AFD" w14:textId="77777777" w:rsidR="00DC6FCA" w:rsidRPr="00D5213C" w:rsidRDefault="00DC6FCA">
      <w:pPr>
        <w:ind w:right="-108"/>
        <w:rPr>
          <w:rFonts w:ascii="Calibri" w:hAnsi="Calibri" w:cs="Calibri"/>
          <w:sz w:val="18"/>
          <w:szCs w:val="18"/>
        </w:rPr>
      </w:pPr>
    </w:p>
    <w:p w14:paraId="45375895" w14:textId="124C6DDF" w:rsidR="0032004D" w:rsidRPr="00D5213C" w:rsidRDefault="0032004D">
      <w:pPr>
        <w:ind w:right="-108"/>
        <w:rPr>
          <w:rFonts w:ascii="Calibri" w:hAnsi="Calibri" w:cs="Calibri"/>
          <w:sz w:val="18"/>
          <w:szCs w:val="18"/>
        </w:rPr>
      </w:pPr>
      <w:r w:rsidRPr="00706676">
        <w:rPr>
          <w:rFonts w:ascii="Calibri" w:hAnsi="Calibri" w:cs="Calibri"/>
          <w:sz w:val="18"/>
          <w:szCs w:val="18"/>
        </w:rPr>
        <w:t xml:space="preserve">Tato smlouva se uzavírá </w:t>
      </w:r>
      <w:r w:rsidR="00CE7F3D">
        <w:rPr>
          <w:rFonts w:ascii="Calibri" w:hAnsi="Calibri" w:cs="Calibri"/>
          <w:sz w:val="18"/>
          <w:szCs w:val="18"/>
        </w:rPr>
        <w:t xml:space="preserve">na dobu určitou </w:t>
      </w:r>
      <w:r w:rsidRPr="00706676">
        <w:rPr>
          <w:rFonts w:ascii="Calibri" w:hAnsi="Calibri" w:cs="Calibri"/>
          <w:sz w:val="18"/>
          <w:szCs w:val="18"/>
        </w:rPr>
        <w:t xml:space="preserve">od 1. </w:t>
      </w:r>
      <w:r w:rsidR="0057388D">
        <w:rPr>
          <w:rFonts w:ascii="Calibri" w:hAnsi="Calibri" w:cs="Calibri"/>
          <w:sz w:val="18"/>
          <w:szCs w:val="18"/>
        </w:rPr>
        <w:t>října</w:t>
      </w:r>
      <w:r w:rsidRPr="00706676">
        <w:rPr>
          <w:rFonts w:ascii="Calibri" w:hAnsi="Calibri" w:cs="Calibri"/>
          <w:sz w:val="18"/>
          <w:szCs w:val="18"/>
        </w:rPr>
        <w:t xml:space="preserve"> 202</w:t>
      </w:r>
      <w:r w:rsidR="0057388D">
        <w:rPr>
          <w:rFonts w:ascii="Calibri" w:hAnsi="Calibri" w:cs="Calibri"/>
          <w:sz w:val="18"/>
          <w:szCs w:val="18"/>
        </w:rPr>
        <w:t>5</w:t>
      </w:r>
      <w:r w:rsidRPr="00706676">
        <w:rPr>
          <w:rFonts w:ascii="Calibri" w:hAnsi="Calibri" w:cs="Calibri"/>
          <w:sz w:val="18"/>
          <w:szCs w:val="18"/>
        </w:rPr>
        <w:t xml:space="preserve"> </w:t>
      </w:r>
      <w:r w:rsidR="00CE7F3D">
        <w:rPr>
          <w:rFonts w:ascii="Calibri" w:hAnsi="Calibri" w:cs="Calibri"/>
          <w:sz w:val="18"/>
          <w:szCs w:val="18"/>
        </w:rPr>
        <w:t xml:space="preserve">do 30.9.2026 </w:t>
      </w:r>
      <w:r w:rsidRPr="00706676">
        <w:rPr>
          <w:rFonts w:ascii="Calibri" w:hAnsi="Calibri" w:cs="Calibri"/>
          <w:sz w:val="18"/>
          <w:szCs w:val="18"/>
        </w:rPr>
        <w:t>a nahrazuje veškerá předchozí písemná a slovní ujednání.</w:t>
      </w:r>
    </w:p>
    <w:p w14:paraId="299325C1" w14:textId="77777777" w:rsidR="00DC6FCA" w:rsidRPr="00D5213C" w:rsidRDefault="00DC6FCA" w:rsidP="00253EFE">
      <w:pPr>
        <w:pStyle w:val="Zkladntext"/>
        <w:jc w:val="both"/>
        <w:rPr>
          <w:rFonts w:ascii="Calibri" w:hAnsi="Calibri" w:cs="Calibri"/>
          <w:sz w:val="18"/>
          <w:szCs w:val="18"/>
        </w:rPr>
      </w:pPr>
    </w:p>
    <w:p w14:paraId="0D1C21E7" w14:textId="77777777" w:rsidR="00DC6FCA" w:rsidRPr="00D5213C" w:rsidRDefault="00DC6FCA">
      <w:pPr>
        <w:ind w:right="-108"/>
        <w:jc w:val="center"/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>IV.</w:t>
      </w:r>
    </w:p>
    <w:p w14:paraId="6BDD5330" w14:textId="77777777" w:rsidR="00ED2010" w:rsidRPr="00D5213C" w:rsidRDefault="00ED2010">
      <w:pPr>
        <w:pStyle w:val="Zkladntext"/>
        <w:jc w:val="both"/>
        <w:rPr>
          <w:rFonts w:ascii="Calibri" w:hAnsi="Calibri" w:cs="Calibri"/>
          <w:sz w:val="18"/>
          <w:szCs w:val="18"/>
        </w:rPr>
      </w:pPr>
    </w:p>
    <w:p w14:paraId="0B4D44A8" w14:textId="04A97090" w:rsidR="00DC6FCA" w:rsidRPr="00D5213C" w:rsidRDefault="00DC6FCA">
      <w:pPr>
        <w:pStyle w:val="Zkladntext"/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 xml:space="preserve">Nájemce se zavazuje hradit pronajímateli za </w:t>
      </w:r>
      <w:r w:rsidR="00924FDA">
        <w:rPr>
          <w:rFonts w:ascii="Calibri" w:hAnsi="Calibri" w:cs="Calibri"/>
          <w:sz w:val="18"/>
          <w:szCs w:val="18"/>
        </w:rPr>
        <w:t xml:space="preserve">předmět </w:t>
      </w:r>
      <w:r w:rsidRPr="00D5213C">
        <w:rPr>
          <w:rFonts w:ascii="Calibri" w:hAnsi="Calibri" w:cs="Calibri"/>
          <w:sz w:val="18"/>
          <w:szCs w:val="18"/>
        </w:rPr>
        <w:t>nájm</w:t>
      </w:r>
      <w:r w:rsidR="00924FDA">
        <w:rPr>
          <w:rFonts w:ascii="Calibri" w:hAnsi="Calibri" w:cs="Calibri"/>
          <w:sz w:val="18"/>
          <w:szCs w:val="18"/>
        </w:rPr>
        <w:t>u</w:t>
      </w:r>
      <w:r w:rsidRPr="00D5213C">
        <w:rPr>
          <w:rFonts w:ascii="Calibri" w:hAnsi="Calibri" w:cs="Calibri"/>
          <w:sz w:val="18"/>
          <w:szCs w:val="18"/>
        </w:rPr>
        <w:t xml:space="preserve"> vymezen</w:t>
      </w:r>
      <w:r w:rsidR="00924FDA">
        <w:rPr>
          <w:rFonts w:ascii="Calibri" w:hAnsi="Calibri" w:cs="Calibri"/>
          <w:sz w:val="18"/>
          <w:szCs w:val="18"/>
        </w:rPr>
        <w:t>ém</w:t>
      </w:r>
      <w:r w:rsidRPr="00D5213C">
        <w:rPr>
          <w:rFonts w:ascii="Calibri" w:hAnsi="Calibri" w:cs="Calibri"/>
          <w:sz w:val="18"/>
          <w:szCs w:val="18"/>
        </w:rPr>
        <w:t xml:space="preserve"> v čl.</w:t>
      </w:r>
      <w:r w:rsidR="003C7C22" w:rsidRPr="00D5213C">
        <w:rPr>
          <w:rFonts w:ascii="Calibri" w:hAnsi="Calibri" w:cs="Calibri"/>
          <w:sz w:val="18"/>
          <w:szCs w:val="18"/>
        </w:rPr>
        <w:t xml:space="preserve"> </w:t>
      </w:r>
      <w:r w:rsidRPr="00D5213C">
        <w:rPr>
          <w:rFonts w:ascii="Calibri" w:hAnsi="Calibri" w:cs="Calibri"/>
          <w:sz w:val="18"/>
          <w:szCs w:val="18"/>
        </w:rPr>
        <w:t xml:space="preserve">II </w:t>
      </w:r>
      <w:r w:rsidR="007E6CE0" w:rsidRPr="00D5213C">
        <w:rPr>
          <w:rFonts w:ascii="Calibri" w:hAnsi="Calibri" w:cs="Calibri"/>
          <w:sz w:val="18"/>
          <w:szCs w:val="18"/>
        </w:rPr>
        <w:t>nájemné ve</w:t>
      </w:r>
      <w:r w:rsidRPr="00D5213C">
        <w:rPr>
          <w:rFonts w:ascii="Calibri" w:hAnsi="Calibri" w:cs="Calibri"/>
          <w:sz w:val="18"/>
          <w:szCs w:val="18"/>
        </w:rPr>
        <w:t xml:space="preserve"> výši </w:t>
      </w:r>
      <w:r w:rsidR="00B67401" w:rsidRPr="00D5213C">
        <w:rPr>
          <w:rFonts w:ascii="Calibri" w:hAnsi="Calibri" w:cs="Calibri"/>
          <w:sz w:val="18"/>
          <w:szCs w:val="18"/>
        </w:rPr>
        <w:t>ceny uvedené v </w:t>
      </w:r>
      <w:r w:rsidR="00B67401" w:rsidRPr="00D5213C">
        <w:rPr>
          <w:rFonts w:ascii="Calibri" w:hAnsi="Calibri" w:cs="Calibri"/>
          <w:b/>
          <w:bCs/>
          <w:sz w:val="18"/>
          <w:szCs w:val="18"/>
        </w:rPr>
        <w:t xml:space="preserve">příloze č. </w:t>
      </w:r>
      <w:r w:rsidR="00735AF4" w:rsidRPr="00D5213C">
        <w:rPr>
          <w:rFonts w:ascii="Calibri" w:hAnsi="Calibri" w:cs="Calibri"/>
          <w:b/>
          <w:bCs/>
          <w:sz w:val="18"/>
          <w:szCs w:val="18"/>
        </w:rPr>
        <w:t>2</w:t>
      </w:r>
      <w:r w:rsidR="00B67401" w:rsidRPr="00D5213C">
        <w:rPr>
          <w:rFonts w:ascii="Calibri" w:hAnsi="Calibri" w:cs="Calibri"/>
          <w:sz w:val="18"/>
          <w:szCs w:val="18"/>
        </w:rPr>
        <w:t xml:space="preserve"> této smlouvy</w:t>
      </w:r>
      <w:r w:rsidRPr="00D5213C">
        <w:rPr>
          <w:rFonts w:ascii="Calibri" w:hAnsi="Calibri" w:cs="Calibri"/>
          <w:sz w:val="18"/>
          <w:szCs w:val="18"/>
        </w:rPr>
        <w:t xml:space="preserve">. </w:t>
      </w:r>
      <w:r w:rsidR="003B1F82" w:rsidRPr="00D5213C">
        <w:rPr>
          <w:rFonts w:ascii="Calibri" w:hAnsi="Calibri" w:cs="Calibri"/>
          <w:sz w:val="18"/>
          <w:szCs w:val="18"/>
        </w:rPr>
        <w:t>Ceny za el.</w:t>
      </w:r>
      <w:r w:rsidR="00A1567B" w:rsidRPr="00D5213C">
        <w:rPr>
          <w:rFonts w:ascii="Calibri" w:hAnsi="Calibri" w:cs="Calibri"/>
          <w:sz w:val="18"/>
          <w:szCs w:val="18"/>
        </w:rPr>
        <w:t xml:space="preserve"> </w:t>
      </w:r>
      <w:r w:rsidR="003B1F82" w:rsidRPr="00D5213C">
        <w:rPr>
          <w:rFonts w:ascii="Calibri" w:hAnsi="Calibri" w:cs="Calibri"/>
          <w:sz w:val="18"/>
          <w:szCs w:val="18"/>
        </w:rPr>
        <w:t xml:space="preserve">energii, teplo, vodné, stočné budou </w:t>
      </w:r>
      <w:r w:rsidR="00E0531F" w:rsidRPr="00D5213C">
        <w:rPr>
          <w:rFonts w:ascii="Calibri" w:hAnsi="Calibri" w:cs="Calibri"/>
          <w:sz w:val="18"/>
          <w:szCs w:val="18"/>
        </w:rPr>
        <w:t>podle skutečného odběru po obdržení vyúčtování</w:t>
      </w:r>
      <w:r w:rsidR="003B1F82" w:rsidRPr="00D5213C">
        <w:rPr>
          <w:rFonts w:ascii="Calibri" w:hAnsi="Calibri" w:cs="Calibri"/>
          <w:sz w:val="18"/>
          <w:szCs w:val="18"/>
        </w:rPr>
        <w:t>.</w:t>
      </w:r>
      <w:r w:rsidR="008D15C0">
        <w:rPr>
          <w:rFonts w:ascii="Calibri" w:hAnsi="Calibri" w:cs="Calibri"/>
          <w:sz w:val="18"/>
          <w:szCs w:val="18"/>
        </w:rPr>
        <w:t xml:space="preserve"> Na začátku nájmu</w:t>
      </w:r>
      <w:r w:rsidR="00562F25">
        <w:rPr>
          <w:rFonts w:ascii="Calibri" w:hAnsi="Calibri" w:cs="Calibri"/>
          <w:sz w:val="18"/>
          <w:szCs w:val="18"/>
        </w:rPr>
        <w:t xml:space="preserve"> předá pronajímatel nájemci protokol se stavem</w:t>
      </w:r>
      <w:r w:rsidR="001F4DBA">
        <w:rPr>
          <w:rFonts w:ascii="Calibri" w:hAnsi="Calibri" w:cs="Calibri"/>
          <w:sz w:val="18"/>
          <w:szCs w:val="18"/>
        </w:rPr>
        <w:t xml:space="preserve"> měřidel spotřeby tepla a stavy elektroměrů</w:t>
      </w:r>
      <w:r w:rsidR="007400AC">
        <w:rPr>
          <w:rFonts w:ascii="Calibri" w:hAnsi="Calibri" w:cs="Calibri"/>
          <w:sz w:val="18"/>
          <w:szCs w:val="18"/>
        </w:rPr>
        <w:t xml:space="preserve"> k prvnímu dni nájmu</w:t>
      </w:r>
      <w:r w:rsidR="006718CF">
        <w:rPr>
          <w:rFonts w:ascii="Calibri" w:hAnsi="Calibri" w:cs="Calibri"/>
          <w:sz w:val="18"/>
          <w:szCs w:val="18"/>
        </w:rPr>
        <w:t xml:space="preserve">. </w:t>
      </w:r>
    </w:p>
    <w:p w14:paraId="2E4F9B2D" w14:textId="77777777" w:rsidR="00253EFE" w:rsidRPr="00D5213C" w:rsidRDefault="00253EFE">
      <w:pPr>
        <w:ind w:right="-108"/>
        <w:jc w:val="both"/>
        <w:rPr>
          <w:rFonts w:ascii="Calibri" w:hAnsi="Calibri" w:cs="Calibri"/>
          <w:sz w:val="18"/>
          <w:szCs w:val="18"/>
        </w:rPr>
      </w:pPr>
    </w:p>
    <w:p w14:paraId="3F00E564" w14:textId="5AE4487B" w:rsidR="00DC6FCA" w:rsidRPr="00D5213C" w:rsidRDefault="00DC6FCA">
      <w:pPr>
        <w:ind w:right="-108"/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Nájemné je splatné měsíčně pozadu a to do 15.</w:t>
      </w:r>
      <w:r w:rsidR="00A1567B" w:rsidRPr="00D5213C">
        <w:rPr>
          <w:rFonts w:ascii="Calibri" w:hAnsi="Calibri" w:cs="Calibri"/>
          <w:sz w:val="18"/>
          <w:szCs w:val="18"/>
        </w:rPr>
        <w:t xml:space="preserve"> </w:t>
      </w:r>
      <w:r w:rsidRPr="00D5213C">
        <w:rPr>
          <w:rFonts w:ascii="Calibri" w:hAnsi="Calibri" w:cs="Calibri"/>
          <w:sz w:val="18"/>
          <w:szCs w:val="18"/>
        </w:rPr>
        <w:t>dne měsíce následujícího za měsíc uplynulý. Smluvní strany se dohodly na způsobu platby nájemného na základě faktury vystavené pronajímatelem.</w:t>
      </w:r>
    </w:p>
    <w:p w14:paraId="206CF137" w14:textId="77777777" w:rsidR="00DC6FCA" w:rsidRPr="00D5213C" w:rsidRDefault="00DC6FCA">
      <w:pPr>
        <w:ind w:right="-108"/>
        <w:jc w:val="both"/>
        <w:rPr>
          <w:rFonts w:ascii="Calibri" w:hAnsi="Calibri" w:cs="Calibri"/>
          <w:sz w:val="18"/>
          <w:szCs w:val="18"/>
        </w:rPr>
      </w:pPr>
    </w:p>
    <w:p w14:paraId="5FD2801D" w14:textId="77777777" w:rsidR="00517812" w:rsidRPr="00517812" w:rsidRDefault="00517812" w:rsidP="00517812">
      <w:pPr>
        <w:ind w:right="-108"/>
        <w:jc w:val="both"/>
        <w:rPr>
          <w:rFonts w:ascii="Calibri" w:hAnsi="Calibri" w:cs="Calibri"/>
          <w:sz w:val="18"/>
          <w:szCs w:val="18"/>
        </w:rPr>
      </w:pPr>
      <w:r w:rsidRPr="00517812">
        <w:rPr>
          <w:rFonts w:ascii="Calibri" w:hAnsi="Calibri" w:cs="Calibri"/>
          <w:sz w:val="18"/>
          <w:szCs w:val="18"/>
        </w:rPr>
        <w:t>Pronajímatel má právo od 1. 1. 2026 výši nájemného upravit o částku rovnající se indexu inflace vyjádřené přírůstkem průměrného ročního indexu spotřebitelských cen v předcházejícím kalendářním roce vyhlášené Českým statistickým úřadem pro předchozí rok. Jako základ pro tuto úpravu bude vždy vzato nájemné v předcházejícím kalendářním roce.</w:t>
      </w:r>
    </w:p>
    <w:p w14:paraId="79C60806" w14:textId="77777777" w:rsidR="00933A89" w:rsidRPr="00D5213C" w:rsidRDefault="00933A89">
      <w:pPr>
        <w:ind w:right="-108"/>
        <w:jc w:val="both"/>
        <w:rPr>
          <w:rFonts w:ascii="Calibri" w:hAnsi="Calibri" w:cs="Calibri"/>
          <w:sz w:val="18"/>
          <w:szCs w:val="18"/>
        </w:rPr>
      </w:pPr>
    </w:p>
    <w:p w14:paraId="29035656" w14:textId="77777777" w:rsidR="00706676" w:rsidRPr="00D5213C" w:rsidRDefault="00DC6FCA" w:rsidP="00706676">
      <w:pPr>
        <w:ind w:right="-108"/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 xml:space="preserve">V případě, že nájemce nedodrží termín plateb nájemného nebo úhrady služeb, zaplatí pronajímateli smluvní pokutu ve výši </w:t>
      </w:r>
      <w:r w:rsidR="000764EF" w:rsidRPr="00D5213C">
        <w:rPr>
          <w:rFonts w:ascii="Calibri" w:hAnsi="Calibri" w:cs="Calibri"/>
          <w:sz w:val="18"/>
          <w:szCs w:val="18"/>
        </w:rPr>
        <w:t>0,05 %</w:t>
      </w:r>
      <w:r w:rsidRPr="00D5213C">
        <w:rPr>
          <w:rFonts w:ascii="Calibri" w:hAnsi="Calibri" w:cs="Calibri"/>
          <w:sz w:val="18"/>
          <w:szCs w:val="18"/>
        </w:rPr>
        <w:t xml:space="preserve"> z dlužné částky za každý den prodlení.</w:t>
      </w:r>
    </w:p>
    <w:p w14:paraId="16730AF4" w14:textId="77777777" w:rsidR="005B21F6" w:rsidRPr="00D5213C" w:rsidRDefault="005B21F6" w:rsidP="00706676">
      <w:pPr>
        <w:ind w:right="-108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4C012C07" w14:textId="6594BF12" w:rsidR="00DC6FCA" w:rsidRPr="00D5213C" w:rsidRDefault="00DC6FCA" w:rsidP="005B21F6">
      <w:pPr>
        <w:ind w:right="-108"/>
        <w:jc w:val="center"/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>V.</w:t>
      </w:r>
    </w:p>
    <w:p w14:paraId="34FC13A3" w14:textId="77777777" w:rsidR="00A566D3" w:rsidRPr="00D5213C" w:rsidRDefault="00A566D3">
      <w:pPr>
        <w:ind w:right="-108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6402F6B0" w14:textId="737C6646" w:rsidR="00DC6FCA" w:rsidRPr="00D5213C" w:rsidRDefault="00DC6FCA" w:rsidP="002922DD">
      <w:pPr>
        <w:pStyle w:val="Zkladntext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Pronajímatel bude nájemci v souvislosti s nájmem poskytovat služby za paušální mě</w:t>
      </w:r>
      <w:r w:rsidR="002922DD" w:rsidRPr="00D5213C">
        <w:rPr>
          <w:rFonts w:ascii="Calibri" w:hAnsi="Calibri" w:cs="Calibri"/>
          <w:sz w:val="18"/>
          <w:szCs w:val="18"/>
        </w:rPr>
        <w:t>síční částky uvedené v </w:t>
      </w:r>
      <w:r w:rsidR="002922DD" w:rsidRPr="00D5213C">
        <w:rPr>
          <w:rFonts w:ascii="Calibri" w:hAnsi="Calibri" w:cs="Calibri"/>
          <w:b/>
          <w:bCs/>
          <w:sz w:val="18"/>
          <w:szCs w:val="18"/>
        </w:rPr>
        <w:t xml:space="preserve">příloze č. </w:t>
      </w:r>
      <w:r w:rsidR="004E3272" w:rsidRPr="00D5213C">
        <w:rPr>
          <w:rFonts w:ascii="Calibri" w:hAnsi="Calibri" w:cs="Calibri"/>
          <w:b/>
          <w:bCs/>
          <w:sz w:val="18"/>
          <w:szCs w:val="18"/>
        </w:rPr>
        <w:t>2</w:t>
      </w:r>
      <w:r w:rsidR="002922DD" w:rsidRPr="00D5213C">
        <w:rPr>
          <w:rFonts w:ascii="Calibri" w:hAnsi="Calibri" w:cs="Calibri"/>
          <w:sz w:val="18"/>
          <w:szCs w:val="18"/>
        </w:rPr>
        <w:t xml:space="preserve"> této smlouvy.</w:t>
      </w:r>
    </w:p>
    <w:p w14:paraId="60BE9839" w14:textId="77777777" w:rsidR="002922DD" w:rsidRPr="00D5213C" w:rsidRDefault="002922DD" w:rsidP="002922DD">
      <w:pPr>
        <w:pStyle w:val="Zkladntext"/>
        <w:rPr>
          <w:rFonts w:ascii="Calibri" w:hAnsi="Calibri" w:cs="Calibri"/>
          <w:sz w:val="18"/>
          <w:szCs w:val="18"/>
        </w:rPr>
      </w:pPr>
    </w:p>
    <w:p w14:paraId="0AE2BE31" w14:textId="698DA159" w:rsidR="00DC6FCA" w:rsidRDefault="00DC6FCA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lastRenderedPageBreak/>
        <w:t>Úhrada paušální částky za služby je splatná v termínech stanovených pro úhradu nájemného</w:t>
      </w:r>
      <w:r w:rsidR="00081CE7" w:rsidRPr="00D5213C">
        <w:rPr>
          <w:rFonts w:ascii="Calibri" w:hAnsi="Calibri" w:cs="Calibri"/>
          <w:sz w:val="18"/>
          <w:szCs w:val="18"/>
        </w:rPr>
        <w:t xml:space="preserve"> </w:t>
      </w:r>
      <w:r w:rsidRPr="00D5213C">
        <w:rPr>
          <w:rFonts w:ascii="Calibri" w:hAnsi="Calibri" w:cs="Calibri"/>
          <w:sz w:val="18"/>
          <w:szCs w:val="18"/>
        </w:rPr>
        <w:t xml:space="preserve">a je realizována na základě faktury vystavené </w:t>
      </w:r>
      <w:r w:rsidR="0037409F" w:rsidRPr="00D5213C">
        <w:rPr>
          <w:rFonts w:ascii="Calibri" w:hAnsi="Calibri" w:cs="Calibri"/>
          <w:sz w:val="18"/>
          <w:szCs w:val="18"/>
        </w:rPr>
        <w:t>pronajímatelem</w:t>
      </w:r>
      <w:r w:rsidRPr="00D5213C">
        <w:rPr>
          <w:rFonts w:ascii="Calibri" w:hAnsi="Calibri" w:cs="Calibri"/>
          <w:sz w:val="18"/>
          <w:szCs w:val="18"/>
        </w:rPr>
        <w:t>.</w:t>
      </w:r>
    </w:p>
    <w:p w14:paraId="7973BCD4" w14:textId="77777777" w:rsidR="00682227" w:rsidRPr="00D5213C" w:rsidRDefault="00682227">
      <w:pPr>
        <w:jc w:val="both"/>
        <w:rPr>
          <w:rFonts w:ascii="Calibri" w:hAnsi="Calibri" w:cs="Calibri"/>
          <w:sz w:val="18"/>
          <w:szCs w:val="18"/>
        </w:rPr>
      </w:pPr>
    </w:p>
    <w:p w14:paraId="37A71E77" w14:textId="24D8CEF4" w:rsidR="00DC6FCA" w:rsidRPr="00D5213C" w:rsidRDefault="00DC6FCA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Změní-li se podmínky smlouvy rozhodné pro výši úhrady poskytovaných služeb</w:t>
      </w:r>
      <w:r w:rsidR="002922DD" w:rsidRPr="00D5213C">
        <w:rPr>
          <w:rFonts w:ascii="Calibri" w:hAnsi="Calibri" w:cs="Calibri"/>
          <w:sz w:val="18"/>
          <w:szCs w:val="18"/>
        </w:rPr>
        <w:t>,</w:t>
      </w:r>
      <w:r w:rsidRPr="00D5213C">
        <w:rPr>
          <w:rFonts w:ascii="Calibri" w:hAnsi="Calibri" w:cs="Calibri"/>
          <w:sz w:val="18"/>
          <w:szCs w:val="18"/>
        </w:rPr>
        <w:t xml:space="preserve"> smluvní strany</w:t>
      </w:r>
      <w:r w:rsidR="00DD50DB" w:rsidRPr="00D5213C">
        <w:rPr>
          <w:rFonts w:ascii="Calibri" w:hAnsi="Calibri" w:cs="Calibri"/>
          <w:sz w:val="18"/>
          <w:szCs w:val="18"/>
        </w:rPr>
        <w:t xml:space="preserve"> se zavazují</w:t>
      </w:r>
      <w:r w:rsidRPr="00D5213C">
        <w:rPr>
          <w:rFonts w:ascii="Calibri" w:hAnsi="Calibri" w:cs="Calibri"/>
          <w:sz w:val="18"/>
          <w:szCs w:val="18"/>
        </w:rPr>
        <w:t>, že odpovídajícím způsobem změní ode dne účinnosti takových změn příslušné ustanovení této smlouvy upravující výši úhrady služeb</w:t>
      </w:r>
      <w:r w:rsidR="002922DD" w:rsidRPr="00D5213C">
        <w:rPr>
          <w:rFonts w:ascii="Calibri" w:hAnsi="Calibri" w:cs="Calibri"/>
          <w:sz w:val="18"/>
          <w:szCs w:val="18"/>
        </w:rPr>
        <w:t xml:space="preserve"> (</w:t>
      </w:r>
      <w:r w:rsidRPr="00D5213C">
        <w:rPr>
          <w:rFonts w:ascii="Calibri" w:hAnsi="Calibri" w:cs="Calibri"/>
          <w:sz w:val="18"/>
          <w:szCs w:val="18"/>
        </w:rPr>
        <w:t>např.</w:t>
      </w:r>
      <w:r w:rsidR="00B20687" w:rsidRPr="00D5213C">
        <w:rPr>
          <w:rFonts w:ascii="Calibri" w:hAnsi="Calibri" w:cs="Calibri"/>
          <w:sz w:val="18"/>
          <w:szCs w:val="18"/>
        </w:rPr>
        <w:t xml:space="preserve"> </w:t>
      </w:r>
      <w:r w:rsidR="001B00C5" w:rsidRPr="00D5213C">
        <w:rPr>
          <w:rFonts w:ascii="Calibri" w:hAnsi="Calibri" w:cs="Calibri"/>
          <w:sz w:val="18"/>
          <w:szCs w:val="18"/>
        </w:rPr>
        <w:t>změny</w:t>
      </w:r>
      <w:r w:rsidRPr="00D5213C">
        <w:rPr>
          <w:rFonts w:ascii="Calibri" w:hAnsi="Calibri" w:cs="Calibri"/>
          <w:sz w:val="18"/>
          <w:szCs w:val="18"/>
        </w:rPr>
        <w:t xml:space="preserve"> cen energií, změny v </w:t>
      </w:r>
      <w:r w:rsidR="0037409F" w:rsidRPr="00D5213C">
        <w:rPr>
          <w:rFonts w:ascii="Calibri" w:hAnsi="Calibri" w:cs="Calibri"/>
          <w:sz w:val="18"/>
          <w:szCs w:val="18"/>
        </w:rPr>
        <w:t>DPH</w:t>
      </w:r>
      <w:r w:rsidRPr="00D5213C">
        <w:rPr>
          <w:rFonts w:ascii="Calibri" w:hAnsi="Calibri" w:cs="Calibri"/>
          <w:sz w:val="18"/>
          <w:szCs w:val="18"/>
        </w:rPr>
        <w:t xml:space="preserve"> atd.)</w:t>
      </w:r>
      <w:r w:rsidR="009865A1" w:rsidRPr="00D5213C">
        <w:rPr>
          <w:rFonts w:ascii="Calibri" w:hAnsi="Calibri" w:cs="Calibri"/>
          <w:sz w:val="18"/>
          <w:szCs w:val="18"/>
        </w:rPr>
        <w:t>.</w:t>
      </w:r>
    </w:p>
    <w:p w14:paraId="21488BB5" w14:textId="77777777" w:rsidR="00DC6FCA" w:rsidRPr="00D5213C" w:rsidRDefault="00DC6FCA">
      <w:pPr>
        <w:jc w:val="both"/>
        <w:rPr>
          <w:rFonts w:ascii="Calibri" w:hAnsi="Calibri" w:cs="Calibri"/>
          <w:sz w:val="18"/>
          <w:szCs w:val="18"/>
        </w:rPr>
      </w:pPr>
    </w:p>
    <w:p w14:paraId="77245560" w14:textId="6F72EADB" w:rsidR="00DC6FCA" w:rsidRPr="00D5213C" w:rsidRDefault="00DC6FCA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Nájemce se dále zavazuje dodržovat právní předpisy týkající se bezpečnosti práce a požární ochrany.</w:t>
      </w:r>
    </w:p>
    <w:p w14:paraId="26A8BB69" w14:textId="77777777" w:rsidR="008D5CFB" w:rsidRPr="00D5213C" w:rsidRDefault="008D5CFB">
      <w:pPr>
        <w:jc w:val="both"/>
        <w:rPr>
          <w:rFonts w:ascii="Calibri" w:hAnsi="Calibri" w:cs="Calibri"/>
          <w:sz w:val="18"/>
          <w:szCs w:val="18"/>
        </w:rPr>
      </w:pPr>
    </w:p>
    <w:p w14:paraId="47EC2DAC" w14:textId="2149EAD2" w:rsidR="00DC6FCA" w:rsidRPr="00D5213C" w:rsidRDefault="00DC6FCA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Nájemce se zavazuje dodržovat bezpečnostní režim v objektu pronajímatele.</w:t>
      </w:r>
    </w:p>
    <w:p w14:paraId="5792B9A3" w14:textId="77777777" w:rsidR="00416AC5" w:rsidRPr="00D5213C" w:rsidRDefault="00416AC5">
      <w:pPr>
        <w:jc w:val="both"/>
        <w:rPr>
          <w:rFonts w:ascii="Calibri" w:hAnsi="Calibri" w:cs="Calibri"/>
          <w:sz w:val="18"/>
          <w:szCs w:val="18"/>
        </w:rPr>
      </w:pPr>
    </w:p>
    <w:p w14:paraId="1F471745" w14:textId="3BBB1A24" w:rsidR="00DC6FCA" w:rsidRPr="00D5213C" w:rsidRDefault="00DC6FCA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Nájemce odpovídá za škody způsobené na majetku pronajímatele zaměstnanci nájemce, nebo osobami navštěvujícími pronajatý prostor za účelem činnosti nájemce.</w:t>
      </w:r>
    </w:p>
    <w:p w14:paraId="13E6ACE0" w14:textId="77777777" w:rsidR="00623CF5" w:rsidRPr="00D5213C" w:rsidRDefault="00623CF5">
      <w:pPr>
        <w:jc w:val="both"/>
        <w:rPr>
          <w:rFonts w:ascii="Calibri" w:hAnsi="Calibri" w:cs="Calibri"/>
          <w:sz w:val="18"/>
          <w:szCs w:val="18"/>
        </w:rPr>
      </w:pPr>
    </w:p>
    <w:p w14:paraId="1A0D9E4B" w14:textId="77777777" w:rsidR="00623CF5" w:rsidRPr="00D5213C" w:rsidRDefault="00DC6FCA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 xml:space="preserve">Nájemce je povinen bez zbytečného odkladu oznámit pronajímateli potřebu </w:t>
      </w:r>
      <w:r w:rsidR="00F57368" w:rsidRPr="00D5213C">
        <w:rPr>
          <w:rFonts w:ascii="Calibri" w:hAnsi="Calibri" w:cs="Calibri"/>
          <w:sz w:val="18"/>
          <w:szCs w:val="18"/>
        </w:rPr>
        <w:t>oprav,</w:t>
      </w:r>
      <w:r w:rsidRPr="00D5213C">
        <w:rPr>
          <w:rFonts w:ascii="Calibri" w:hAnsi="Calibri" w:cs="Calibri"/>
          <w:sz w:val="18"/>
          <w:szCs w:val="18"/>
        </w:rPr>
        <w:t xml:space="preserve"> popř.</w:t>
      </w:r>
      <w:r w:rsidR="00BA32DB" w:rsidRPr="00D5213C">
        <w:rPr>
          <w:rFonts w:ascii="Calibri" w:hAnsi="Calibri" w:cs="Calibri"/>
          <w:sz w:val="18"/>
          <w:szCs w:val="18"/>
        </w:rPr>
        <w:t xml:space="preserve"> </w:t>
      </w:r>
      <w:r w:rsidRPr="00D5213C">
        <w:rPr>
          <w:rFonts w:ascii="Calibri" w:hAnsi="Calibri" w:cs="Calibri"/>
          <w:sz w:val="18"/>
          <w:szCs w:val="18"/>
        </w:rPr>
        <w:t xml:space="preserve">zjištěnou závadu na majetku pronajímatele, která by mohla vést ke škodě nebo havárii. </w:t>
      </w:r>
    </w:p>
    <w:p w14:paraId="65CBDDA0" w14:textId="77777777" w:rsidR="00623CF5" w:rsidRPr="00D5213C" w:rsidRDefault="00623CF5">
      <w:pPr>
        <w:jc w:val="both"/>
        <w:rPr>
          <w:rFonts w:ascii="Calibri" w:hAnsi="Calibri" w:cs="Calibri"/>
          <w:sz w:val="18"/>
          <w:szCs w:val="18"/>
        </w:rPr>
      </w:pPr>
    </w:p>
    <w:p w14:paraId="0554835E" w14:textId="5902359D" w:rsidR="00DC6FCA" w:rsidRPr="00D5213C" w:rsidRDefault="00DC6FCA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Stavební změny předmětu nájmu či pevná instalace jakýchkoliv zařízení, jakož i veškeré zásahy do elektrického, vodovodního a dalšího vedení je nájemce oprávněn jen s předchozím souhlasem pronajímatele.</w:t>
      </w:r>
    </w:p>
    <w:p w14:paraId="44CFB6DB" w14:textId="77777777" w:rsidR="00623CF5" w:rsidRPr="00D5213C" w:rsidRDefault="00623CF5">
      <w:pPr>
        <w:jc w:val="both"/>
        <w:rPr>
          <w:rFonts w:ascii="Calibri" w:hAnsi="Calibri" w:cs="Calibri"/>
          <w:sz w:val="18"/>
          <w:szCs w:val="18"/>
        </w:rPr>
      </w:pPr>
    </w:p>
    <w:p w14:paraId="164063B3" w14:textId="6FA6BBD5" w:rsidR="00DC6FCA" w:rsidRPr="00D5213C" w:rsidRDefault="00DC6FCA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Souhlasu pronajímatele je zapotřebí rovněž pro umístnění jakékoli reklamy či informačního zařízení.</w:t>
      </w:r>
    </w:p>
    <w:p w14:paraId="6A80D722" w14:textId="77777777" w:rsidR="00623CF5" w:rsidRPr="00D5213C" w:rsidRDefault="00623CF5">
      <w:pPr>
        <w:jc w:val="both"/>
        <w:rPr>
          <w:rFonts w:ascii="Calibri" w:hAnsi="Calibri" w:cs="Calibri"/>
          <w:sz w:val="18"/>
          <w:szCs w:val="18"/>
        </w:rPr>
      </w:pPr>
    </w:p>
    <w:p w14:paraId="3F3D867F" w14:textId="77777777" w:rsidR="00DC6FCA" w:rsidRPr="00D5213C" w:rsidRDefault="00DC6FCA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Po skončení nájmu je nájemce povinen odevzdat pronajímateli prostory ve stavu, v jakém je převzal, s přihlédnutím k obvyklému opotřebení.</w:t>
      </w:r>
    </w:p>
    <w:p w14:paraId="365D8004" w14:textId="77777777" w:rsidR="00DC6FCA" w:rsidRPr="00D5213C" w:rsidRDefault="00DC6FCA">
      <w:pPr>
        <w:rPr>
          <w:rFonts w:ascii="Calibri" w:hAnsi="Calibri" w:cs="Calibri"/>
          <w:sz w:val="18"/>
          <w:szCs w:val="18"/>
        </w:rPr>
      </w:pPr>
    </w:p>
    <w:p w14:paraId="3C04F70A" w14:textId="083A5D48" w:rsidR="00DC6FCA" w:rsidRPr="00D5213C" w:rsidRDefault="00DC6FCA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>VI.</w:t>
      </w:r>
    </w:p>
    <w:p w14:paraId="42193FF7" w14:textId="77777777" w:rsidR="00D452FD" w:rsidRPr="00D5213C" w:rsidRDefault="00D452FD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25860F74" w14:textId="221CB287" w:rsidR="00DC6FCA" w:rsidRPr="00D5213C" w:rsidRDefault="00DC6FCA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Smlouva může být ukončena dohodou zúčastněných stran nebo výpovědí, přičemž tato musí být písemná a doručená druhé straně.</w:t>
      </w:r>
    </w:p>
    <w:p w14:paraId="41F9A628" w14:textId="77777777" w:rsidR="00D849B6" w:rsidRPr="00D5213C" w:rsidRDefault="00D849B6">
      <w:pPr>
        <w:jc w:val="both"/>
        <w:rPr>
          <w:rFonts w:ascii="Calibri" w:hAnsi="Calibri" w:cs="Calibri"/>
          <w:sz w:val="18"/>
          <w:szCs w:val="18"/>
        </w:rPr>
      </w:pPr>
    </w:p>
    <w:p w14:paraId="230BA04C" w14:textId="28BCA32E" w:rsidR="00DC6FCA" w:rsidRPr="00D5213C" w:rsidRDefault="00DC6FCA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Výpovědní lhůta se sjednává tak, že pronajímatel</w:t>
      </w:r>
      <w:r w:rsidR="00465841" w:rsidRPr="00D5213C">
        <w:rPr>
          <w:rFonts w:ascii="Calibri" w:hAnsi="Calibri" w:cs="Calibri"/>
          <w:sz w:val="18"/>
          <w:szCs w:val="18"/>
        </w:rPr>
        <w:t xml:space="preserve"> nebo nájemce</w:t>
      </w:r>
      <w:r w:rsidRPr="00D5213C">
        <w:rPr>
          <w:rFonts w:ascii="Calibri" w:hAnsi="Calibri" w:cs="Calibri"/>
          <w:sz w:val="18"/>
          <w:szCs w:val="18"/>
        </w:rPr>
        <w:t xml:space="preserve"> je oprávněn vypovědět nájemní smlouvu ve lhůtě 6 měsíců, která započne běžet od prvního dne kalendářního měsíce následujícího po doručení výpovědi nájemci.</w:t>
      </w:r>
    </w:p>
    <w:p w14:paraId="32B1C667" w14:textId="77777777" w:rsidR="00D849B6" w:rsidRPr="00D5213C" w:rsidRDefault="00D849B6">
      <w:pPr>
        <w:jc w:val="both"/>
        <w:rPr>
          <w:rFonts w:ascii="Calibri" w:hAnsi="Calibri" w:cs="Calibri"/>
          <w:sz w:val="18"/>
          <w:szCs w:val="18"/>
        </w:rPr>
      </w:pPr>
    </w:p>
    <w:p w14:paraId="008C2C62" w14:textId="6C297004" w:rsidR="00DC6FCA" w:rsidRPr="00D5213C" w:rsidRDefault="00DC6FCA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V případě podstatného porušení této smlouvy mohou smluvní strany od ní odstoupit</w:t>
      </w:r>
      <w:r w:rsidR="002D6196" w:rsidRPr="00D5213C">
        <w:rPr>
          <w:rFonts w:ascii="Calibri" w:hAnsi="Calibri" w:cs="Calibri"/>
          <w:sz w:val="18"/>
          <w:szCs w:val="18"/>
        </w:rPr>
        <w:t xml:space="preserve"> ve zkrácené lhůtě 1 měsíc</w:t>
      </w:r>
      <w:r w:rsidRPr="00D5213C">
        <w:rPr>
          <w:rFonts w:ascii="Calibri" w:hAnsi="Calibri" w:cs="Calibri"/>
          <w:sz w:val="18"/>
          <w:szCs w:val="18"/>
        </w:rPr>
        <w:t>. Za podstatné porušení povinností se považuje neplacení nájemného a služeb poskytovaných v souvislosti s</w:t>
      </w:r>
      <w:r w:rsidR="00005DD9" w:rsidRPr="00D5213C">
        <w:rPr>
          <w:rFonts w:ascii="Calibri" w:hAnsi="Calibri" w:cs="Calibri"/>
          <w:sz w:val="18"/>
          <w:szCs w:val="18"/>
        </w:rPr>
        <w:t> </w:t>
      </w:r>
      <w:r w:rsidRPr="00D5213C">
        <w:rPr>
          <w:rFonts w:ascii="Calibri" w:hAnsi="Calibri" w:cs="Calibri"/>
          <w:sz w:val="18"/>
          <w:szCs w:val="18"/>
        </w:rPr>
        <w:t>nájmem</w:t>
      </w:r>
      <w:r w:rsidR="00005DD9" w:rsidRPr="00D5213C">
        <w:rPr>
          <w:rFonts w:ascii="Calibri" w:hAnsi="Calibri" w:cs="Calibri"/>
          <w:sz w:val="18"/>
          <w:szCs w:val="18"/>
        </w:rPr>
        <w:t xml:space="preserve"> a porušení </w:t>
      </w:r>
      <w:r w:rsidR="008E2054" w:rsidRPr="00D5213C">
        <w:rPr>
          <w:rFonts w:ascii="Calibri" w:hAnsi="Calibri" w:cs="Calibri"/>
          <w:sz w:val="18"/>
          <w:szCs w:val="18"/>
        </w:rPr>
        <w:t xml:space="preserve">sjednaných práv a </w:t>
      </w:r>
      <w:r w:rsidR="00005DD9" w:rsidRPr="00D5213C">
        <w:rPr>
          <w:rFonts w:ascii="Calibri" w:hAnsi="Calibri" w:cs="Calibri"/>
          <w:sz w:val="18"/>
          <w:szCs w:val="18"/>
        </w:rPr>
        <w:t>povinností</w:t>
      </w:r>
      <w:r w:rsidRPr="00D5213C">
        <w:rPr>
          <w:rFonts w:ascii="Calibri" w:hAnsi="Calibri" w:cs="Calibri"/>
          <w:sz w:val="18"/>
          <w:szCs w:val="18"/>
        </w:rPr>
        <w:t>.</w:t>
      </w:r>
    </w:p>
    <w:p w14:paraId="1C8F56C3" w14:textId="77777777" w:rsidR="00DC6FCA" w:rsidRPr="00D5213C" w:rsidRDefault="00DC6FCA">
      <w:pPr>
        <w:jc w:val="both"/>
        <w:rPr>
          <w:rFonts w:ascii="Calibri" w:hAnsi="Calibri" w:cs="Calibri"/>
          <w:sz w:val="18"/>
          <w:szCs w:val="18"/>
        </w:rPr>
      </w:pPr>
    </w:p>
    <w:p w14:paraId="4200424B" w14:textId="72C34851" w:rsidR="00DC6FCA" w:rsidRPr="00D5213C" w:rsidRDefault="00DC6FCA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b/>
          <w:bCs/>
          <w:sz w:val="18"/>
          <w:szCs w:val="18"/>
        </w:rPr>
        <w:t>VII.</w:t>
      </w:r>
    </w:p>
    <w:p w14:paraId="48BA476F" w14:textId="77777777" w:rsidR="00FE683B" w:rsidRPr="00D5213C" w:rsidRDefault="00FE683B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122BEF13" w14:textId="77777777" w:rsidR="00E329A1" w:rsidRPr="00D5213C" w:rsidRDefault="00DC6FCA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 xml:space="preserve">Ostatní práva a povinnosti vyplývající z této smlouvy, pokud nejsou uvedeny v této smlouvě, se řídí </w:t>
      </w:r>
      <w:r w:rsidR="00430432" w:rsidRPr="00D5213C">
        <w:rPr>
          <w:rFonts w:ascii="Calibri" w:hAnsi="Calibri" w:cs="Calibri"/>
          <w:sz w:val="18"/>
          <w:szCs w:val="18"/>
        </w:rPr>
        <w:t xml:space="preserve">platným </w:t>
      </w:r>
      <w:r w:rsidR="002922DD" w:rsidRPr="00D5213C">
        <w:rPr>
          <w:rFonts w:ascii="Calibri" w:hAnsi="Calibri" w:cs="Calibri"/>
          <w:sz w:val="18"/>
          <w:szCs w:val="18"/>
        </w:rPr>
        <w:t>zák</w:t>
      </w:r>
      <w:r w:rsidR="00430432" w:rsidRPr="00D5213C">
        <w:rPr>
          <w:rFonts w:ascii="Calibri" w:hAnsi="Calibri" w:cs="Calibri"/>
          <w:sz w:val="18"/>
          <w:szCs w:val="18"/>
        </w:rPr>
        <w:t>onem</w:t>
      </w:r>
      <w:r w:rsidRPr="00D5213C">
        <w:rPr>
          <w:rFonts w:ascii="Calibri" w:hAnsi="Calibri" w:cs="Calibri"/>
          <w:sz w:val="18"/>
          <w:szCs w:val="18"/>
        </w:rPr>
        <w:t xml:space="preserve"> o nájmu a podnájmu nebytových prostor v platném znění a občanským zákoníkem.</w:t>
      </w:r>
    </w:p>
    <w:p w14:paraId="1A8D7DE6" w14:textId="77777777" w:rsidR="00E329A1" w:rsidRPr="00D5213C" w:rsidRDefault="00E329A1">
      <w:pPr>
        <w:jc w:val="both"/>
        <w:rPr>
          <w:rFonts w:ascii="Calibri" w:hAnsi="Calibri" w:cs="Calibri"/>
          <w:sz w:val="18"/>
          <w:szCs w:val="18"/>
        </w:rPr>
      </w:pPr>
    </w:p>
    <w:p w14:paraId="1EFC1938" w14:textId="09A65A25" w:rsidR="00DC6FCA" w:rsidRPr="00D5213C" w:rsidRDefault="00DC6FCA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 xml:space="preserve">Tato smlouva se uzavírá v písemné formě, přičemž veškeré její změny je možno činit jen písemně a na základě úplného a vzájemného </w:t>
      </w:r>
      <w:r w:rsidR="00E329A1" w:rsidRPr="00D5213C">
        <w:rPr>
          <w:rFonts w:ascii="Calibri" w:hAnsi="Calibri" w:cs="Calibri"/>
          <w:sz w:val="18"/>
          <w:szCs w:val="18"/>
        </w:rPr>
        <w:t xml:space="preserve">souhlasu </w:t>
      </w:r>
      <w:r w:rsidRPr="00D5213C">
        <w:rPr>
          <w:rFonts w:ascii="Calibri" w:hAnsi="Calibri" w:cs="Calibri"/>
          <w:sz w:val="18"/>
          <w:szCs w:val="18"/>
        </w:rPr>
        <w:t>smluvních stran</w:t>
      </w:r>
      <w:r w:rsidR="004560AB">
        <w:rPr>
          <w:rFonts w:ascii="Calibri" w:hAnsi="Calibri" w:cs="Calibri"/>
          <w:sz w:val="18"/>
          <w:szCs w:val="18"/>
        </w:rPr>
        <w:t xml:space="preserve"> ve formě dodatku</w:t>
      </w:r>
    </w:p>
    <w:p w14:paraId="0DD8BE3C" w14:textId="77777777" w:rsidR="00E329A1" w:rsidRPr="00D5213C" w:rsidRDefault="00E329A1">
      <w:pPr>
        <w:jc w:val="both"/>
        <w:rPr>
          <w:rFonts w:ascii="Calibri" w:hAnsi="Calibri" w:cs="Calibri"/>
          <w:sz w:val="18"/>
          <w:szCs w:val="18"/>
        </w:rPr>
      </w:pPr>
    </w:p>
    <w:p w14:paraId="48602C98" w14:textId="32E79874" w:rsidR="00DC6FCA" w:rsidRPr="00D5213C" w:rsidRDefault="00DC6FCA">
      <w:pPr>
        <w:jc w:val="both"/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 xml:space="preserve">Veškerá předchozí ústní jednání mezi stranami této smlouvy, týkající se </w:t>
      </w:r>
      <w:r w:rsidR="00584C6C" w:rsidRPr="00D5213C">
        <w:rPr>
          <w:rFonts w:ascii="Calibri" w:hAnsi="Calibri" w:cs="Calibri"/>
          <w:sz w:val="18"/>
          <w:szCs w:val="18"/>
        </w:rPr>
        <w:t>předmětu této</w:t>
      </w:r>
      <w:r w:rsidRPr="00D5213C">
        <w:rPr>
          <w:rFonts w:ascii="Calibri" w:hAnsi="Calibri" w:cs="Calibri"/>
          <w:sz w:val="18"/>
          <w:szCs w:val="18"/>
        </w:rPr>
        <w:t xml:space="preserve"> smlouvy, pozbývají touto smlouvou účinnosti. </w:t>
      </w:r>
    </w:p>
    <w:p w14:paraId="2D404F3E" w14:textId="77777777" w:rsidR="0012758A" w:rsidRDefault="0012758A">
      <w:pPr>
        <w:jc w:val="both"/>
        <w:rPr>
          <w:rFonts w:ascii="Calibri" w:hAnsi="Calibri" w:cs="Calibri"/>
          <w:sz w:val="18"/>
          <w:szCs w:val="18"/>
        </w:rPr>
      </w:pPr>
    </w:p>
    <w:p w14:paraId="184FE3D3" w14:textId="5775CAE1" w:rsidR="004560AB" w:rsidRDefault="004560AB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Tato smlouva </w:t>
      </w:r>
      <w:r w:rsidRPr="004560AB">
        <w:rPr>
          <w:rFonts w:ascii="Calibri" w:hAnsi="Calibri" w:cs="Calibri"/>
          <w:sz w:val="18"/>
          <w:szCs w:val="18"/>
        </w:rPr>
        <w:t xml:space="preserve">nabývá platnosti a účinnosti dnem podpisu poslední ze </w:t>
      </w:r>
      <w:r>
        <w:rPr>
          <w:rFonts w:ascii="Calibri" w:hAnsi="Calibri" w:cs="Calibri"/>
          <w:sz w:val="18"/>
          <w:szCs w:val="18"/>
        </w:rPr>
        <w:t>s</w:t>
      </w:r>
      <w:r w:rsidRPr="004560AB">
        <w:rPr>
          <w:rFonts w:ascii="Calibri" w:hAnsi="Calibri" w:cs="Calibri"/>
          <w:sz w:val="18"/>
          <w:szCs w:val="18"/>
        </w:rPr>
        <w:t>mluvních stran a zveřejněním v registru smluv podle zákona č. 340/2015 Sb., o zvláštních podmínkách účinnosti některých smluv, uveřejňování těchto smluv a o registru smluv (zákon o registru smluv), ve znění pozdějších předpisů</w:t>
      </w:r>
      <w:r>
        <w:rPr>
          <w:rFonts w:ascii="Calibri" w:hAnsi="Calibri" w:cs="Calibri"/>
          <w:sz w:val="18"/>
          <w:szCs w:val="18"/>
        </w:rPr>
        <w:t>.</w:t>
      </w:r>
    </w:p>
    <w:p w14:paraId="3FC2D046" w14:textId="77777777" w:rsidR="004560AB" w:rsidRDefault="004560AB">
      <w:pPr>
        <w:jc w:val="both"/>
        <w:rPr>
          <w:rFonts w:ascii="Calibri" w:hAnsi="Calibri" w:cs="Calibri"/>
          <w:sz w:val="18"/>
          <w:szCs w:val="18"/>
        </w:rPr>
      </w:pPr>
    </w:p>
    <w:p w14:paraId="16291198" w14:textId="6C5CC6C8" w:rsidR="004560AB" w:rsidRDefault="004560AB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Nedílnou součástí této smlouvy jsou přílohy</w:t>
      </w:r>
    </w:p>
    <w:p w14:paraId="6295B244" w14:textId="77777777" w:rsidR="004560AB" w:rsidRPr="004B76BA" w:rsidRDefault="004560AB" w:rsidP="004B76BA">
      <w:pPr>
        <w:rPr>
          <w:rFonts w:ascii="Calibri" w:hAnsi="Calibri" w:cs="Calibri"/>
          <w:bCs/>
          <w:i/>
          <w:iCs/>
          <w:sz w:val="18"/>
          <w:szCs w:val="18"/>
        </w:rPr>
      </w:pPr>
      <w:r w:rsidRPr="004B76BA">
        <w:rPr>
          <w:rFonts w:ascii="Calibri" w:hAnsi="Calibri" w:cs="Calibri"/>
          <w:i/>
          <w:iCs/>
          <w:sz w:val="18"/>
          <w:szCs w:val="18"/>
        </w:rPr>
        <w:t xml:space="preserve">Příloha č. 1: </w:t>
      </w:r>
      <w:r w:rsidRPr="004B76BA">
        <w:rPr>
          <w:rFonts w:ascii="Calibri" w:hAnsi="Calibri" w:cs="Calibri"/>
          <w:bCs/>
          <w:i/>
          <w:iCs/>
          <w:sz w:val="18"/>
          <w:szCs w:val="18"/>
        </w:rPr>
        <w:t>Předmět nájmu</w:t>
      </w:r>
    </w:p>
    <w:p w14:paraId="2F491402" w14:textId="601284F6" w:rsidR="004560AB" w:rsidRPr="004B76BA" w:rsidRDefault="004560AB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4B76BA">
        <w:rPr>
          <w:rFonts w:ascii="Calibri" w:hAnsi="Calibri" w:cs="Calibri"/>
          <w:i/>
          <w:iCs/>
          <w:sz w:val="18"/>
          <w:szCs w:val="18"/>
        </w:rPr>
        <w:t xml:space="preserve">Příloha č. 2: Cena nájmu a , provozních nákladů </w:t>
      </w:r>
    </w:p>
    <w:p w14:paraId="3D0AE726" w14:textId="77777777" w:rsidR="004560AB" w:rsidRPr="00D5213C" w:rsidRDefault="004560AB">
      <w:pPr>
        <w:jc w:val="both"/>
        <w:rPr>
          <w:rFonts w:ascii="Calibri" w:hAnsi="Calibri" w:cs="Calibri"/>
          <w:sz w:val="18"/>
          <w:szCs w:val="18"/>
        </w:rPr>
      </w:pPr>
    </w:p>
    <w:p w14:paraId="22433B18" w14:textId="1059E7BD" w:rsidR="00DC6FCA" w:rsidRPr="00D5213C" w:rsidRDefault="00DC6FCA">
      <w:pPr>
        <w:rPr>
          <w:rFonts w:ascii="Calibri" w:hAnsi="Calibri" w:cs="Calibri"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t>V Českých Budějovicích</w:t>
      </w:r>
      <w:r w:rsidR="0072136E">
        <w:rPr>
          <w:rFonts w:ascii="Calibri" w:hAnsi="Calibri" w:cs="Calibri"/>
          <w:sz w:val="18"/>
          <w:szCs w:val="18"/>
        </w:rPr>
        <w:t xml:space="preserve"> </w:t>
      </w:r>
    </w:p>
    <w:p w14:paraId="083EDE0A" w14:textId="77777777" w:rsidR="00DC6FCA" w:rsidRPr="00D5213C" w:rsidRDefault="00DC6FCA">
      <w:pPr>
        <w:rPr>
          <w:rFonts w:ascii="Calibri" w:hAnsi="Calibri" w:cs="Calibri"/>
          <w:sz w:val="18"/>
          <w:szCs w:val="18"/>
        </w:rPr>
      </w:pPr>
    </w:p>
    <w:p w14:paraId="686B0CFD" w14:textId="6DDE3EEB" w:rsidR="0064038B" w:rsidRPr="00D5213C" w:rsidRDefault="0064038B">
      <w:pPr>
        <w:rPr>
          <w:rFonts w:ascii="Calibri" w:hAnsi="Calibri" w:cs="Calibri"/>
          <w:sz w:val="18"/>
          <w:szCs w:val="18"/>
        </w:rPr>
      </w:pPr>
    </w:p>
    <w:p w14:paraId="0220A4A0" w14:textId="77777777" w:rsidR="0064038B" w:rsidRPr="00D5213C" w:rsidRDefault="0064038B">
      <w:pPr>
        <w:rPr>
          <w:rFonts w:ascii="Calibri" w:hAnsi="Calibri" w:cs="Calibri"/>
          <w:sz w:val="18"/>
          <w:szCs w:val="18"/>
        </w:rPr>
      </w:pPr>
    </w:p>
    <w:p w14:paraId="117DC84B" w14:textId="77777777" w:rsidR="00A1567B" w:rsidRPr="00D5213C" w:rsidRDefault="00A1567B">
      <w:pPr>
        <w:rPr>
          <w:rFonts w:ascii="Calibri" w:hAnsi="Calibri" w:cs="Calibri"/>
          <w:sz w:val="18"/>
          <w:szCs w:val="18"/>
        </w:rPr>
      </w:pPr>
    </w:p>
    <w:p w14:paraId="4A1457C4" w14:textId="77777777" w:rsidR="00156E4E" w:rsidRPr="00156E4E" w:rsidRDefault="00156E4E" w:rsidP="00156E4E">
      <w:pPr>
        <w:rPr>
          <w:rFonts w:ascii="Calibri" w:hAnsi="Calibri" w:cs="Calibri"/>
          <w:sz w:val="16"/>
          <w:szCs w:val="16"/>
        </w:rPr>
      </w:pPr>
    </w:p>
    <w:tbl>
      <w:tblPr>
        <w:tblW w:w="8551" w:type="dxa"/>
        <w:tblLook w:val="04A0" w:firstRow="1" w:lastRow="0" w:firstColumn="1" w:lastColumn="0" w:noHBand="0" w:noVBand="1"/>
      </w:tblPr>
      <w:tblGrid>
        <w:gridCol w:w="3765"/>
        <w:gridCol w:w="1021"/>
        <w:gridCol w:w="3765"/>
      </w:tblGrid>
      <w:tr w:rsidR="00156E4E" w:rsidRPr="00966A2B" w14:paraId="3CFAA81A" w14:textId="77777777" w:rsidTr="00D86FAA">
        <w:tc>
          <w:tcPr>
            <w:tcW w:w="3765" w:type="dxa"/>
          </w:tcPr>
          <w:p w14:paraId="0977E355" w14:textId="77777777" w:rsidR="00156E4E" w:rsidRPr="00156E4E" w:rsidRDefault="00156E4E" w:rsidP="00D86F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56E4E">
              <w:rPr>
                <w:rFonts w:ascii="Calibri" w:hAnsi="Calibri" w:cs="Calibri"/>
                <w:sz w:val="16"/>
                <w:szCs w:val="16"/>
              </w:rPr>
              <w:t>_____________________________</w:t>
            </w:r>
          </w:p>
          <w:p w14:paraId="5758E149" w14:textId="6E244DF0" w:rsidR="00156E4E" w:rsidRPr="00156E4E" w:rsidRDefault="00CE7F3D" w:rsidP="00D86F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</w:t>
            </w:r>
            <w:r w:rsidR="009725F2">
              <w:rPr>
                <w:rFonts w:ascii="Calibri" w:hAnsi="Calibri" w:cs="Calibri"/>
                <w:sz w:val="16"/>
                <w:szCs w:val="16"/>
              </w:rPr>
              <w:t>ronajím</w:t>
            </w:r>
            <w:r w:rsidR="00F12A30">
              <w:rPr>
                <w:rFonts w:ascii="Calibri" w:hAnsi="Calibri" w:cs="Calibri"/>
                <w:sz w:val="16"/>
                <w:szCs w:val="16"/>
              </w:rPr>
              <w:t>atel</w:t>
            </w:r>
          </w:p>
        </w:tc>
        <w:tc>
          <w:tcPr>
            <w:tcW w:w="1021" w:type="dxa"/>
          </w:tcPr>
          <w:p w14:paraId="07C78A36" w14:textId="77777777" w:rsidR="00156E4E" w:rsidRPr="00156E4E" w:rsidRDefault="00156E4E" w:rsidP="00D86FAA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5" w:type="dxa"/>
          </w:tcPr>
          <w:p w14:paraId="0D0DE12F" w14:textId="77777777" w:rsidR="00156E4E" w:rsidRPr="00156E4E" w:rsidRDefault="00156E4E" w:rsidP="00D86F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56E4E">
              <w:rPr>
                <w:rFonts w:ascii="Calibri" w:hAnsi="Calibri" w:cs="Calibri"/>
                <w:sz w:val="16"/>
                <w:szCs w:val="16"/>
              </w:rPr>
              <w:t>_____________________________</w:t>
            </w:r>
          </w:p>
          <w:p w14:paraId="688477F4" w14:textId="19F0B1A8" w:rsidR="00156E4E" w:rsidRPr="00156E4E" w:rsidRDefault="00F12A30" w:rsidP="00D86FA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nájemce</w:t>
            </w:r>
          </w:p>
        </w:tc>
      </w:tr>
    </w:tbl>
    <w:p w14:paraId="7F5C9CAB" w14:textId="77777777" w:rsidR="002922DD" w:rsidRPr="009A4FD4" w:rsidRDefault="002922DD" w:rsidP="002922DD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D5213C">
        <w:rPr>
          <w:rFonts w:ascii="Calibri" w:hAnsi="Calibri" w:cs="Calibri"/>
          <w:sz w:val="18"/>
          <w:szCs w:val="18"/>
        </w:rPr>
        <w:br w:type="page"/>
      </w:r>
      <w:r w:rsidRPr="009A4FD4">
        <w:rPr>
          <w:rFonts w:ascii="Calibri" w:hAnsi="Calibri" w:cs="Calibri"/>
          <w:b/>
          <w:bCs/>
          <w:sz w:val="18"/>
          <w:szCs w:val="18"/>
        </w:rPr>
        <w:lastRenderedPageBreak/>
        <w:t>Příloha č. 1</w:t>
      </w:r>
    </w:p>
    <w:p w14:paraId="78228E1E" w14:textId="2D50576E" w:rsidR="002922DD" w:rsidRPr="00DD77A1" w:rsidRDefault="0064038B" w:rsidP="002922DD">
      <w:pPr>
        <w:jc w:val="center"/>
        <w:rPr>
          <w:rFonts w:ascii="Calibri" w:hAnsi="Calibri" w:cs="Calibri"/>
          <w:b/>
          <w:sz w:val="18"/>
          <w:szCs w:val="18"/>
        </w:rPr>
      </w:pPr>
      <w:r w:rsidRPr="00DD77A1">
        <w:rPr>
          <w:rFonts w:ascii="Calibri" w:hAnsi="Calibri" w:cs="Calibri"/>
          <w:b/>
          <w:sz w:val="18"/>
          <w:szCs w:val="18"/>
        </w:rPr>
        <w:t>Předmět nájmu</w:t>
      </w:r>
    </w:p>
    <w:p w14:paraId="6A531793" w14:textId="77777777" w:rsidR="000776C7" w:rsidRDefault="000776C7" w:rsidP="000776C7">
      <w:pPr>
        <w:rPr>
          <w:rFonts w:ascii="Calibri" w:hAnsi="Calibri" w:cs="Calibri"/>
          <w:sz w:val="18"/>
          <w:szCs w:val="18"/>
        </w:rPr>
      </w:pPr>
    </w:p>
    <w:p w14:paraId="7A4EE9B0" w14:textId="4067F315" w:rsidR="00CA365F" w:rsidRDefault="00CA365F" w:rsidP="00672607">
      <w:pPr>
        <w:rPr>
          <w:rFonts w:ascii="Calibri" w:hAnsi="Calibri" w:cs="Calibri"/>
          <w:noProof/>
          <w:sz w:val="18"/>
          <w:szCs w:val="18"/>
        </w:rPr>
      </w:pPr>
    </w:p>
    <w:p w14:paraId="6CE43A3B" w14:textId="4DF4E8DA" w:rsidR="00CA365F" w:rsidRDefault="00CA365F" w:rsidP="00CA365F">
      <w:pPr>
        <w:rPr>
          <w:rFonts w:ascii="Calibri" w:hAnsi="Calibri" w:cs="Calibri"/>
          <w:sz w:val="18"/>
          <w:szCs w:val="18"/>
        </w:rPr>
      </w:pPr>
      <w:r w:rsidRPr="009569CC">
        <w:rPr>
          <w:rFonts w:ascii="Calibri" w:hAnsi="Calibri" w:cs="Calibri"/>
          <w:sz w:val="18"/>
          <w:szCs w:val="18"/>
        </w:rPr>
        <w:t>Nebytové prostory Pekárenská 761/77c, 370 04 České Budějovice</w:t>
      </w:r>
      <w:r w:rsidR="008E145E" w:rsidRPr="009569CC">
        <w:rPr>
          <w:rFonts w:ascii="Calibri" w:hAnsi="Calibri" w:cs="Calibri"/>
          <w:sz w:val="18"/>
          <w:szCs w:val="18"/>
        </w:rPr>
        <w:t xml:space="preserve">, </w:t>
      </w:r>
      <w:r w:rsidR="00822140" w:rsidRPr="009569CC">
        <w:rPr>
          <w:rFonts w:ascii="Calibri" w:hAnsi="Calibri" w:cs="Calibri"/>
          <w:sz w:val="18"/>
          <w:szCs w:val="18"/>
        </w:rPr>
        <w:t xml:space="preserve">2.NP, </w:t>
      </w:r>
      <w:r w:rsidR="008E145E" w:rsidRPr="009569CC">
        <w:rPr>
          <w:rFonts w:ascii="Calibri" w:hAnsi="Calibri" w:cs="Calibri"/>
          <w:sz w:val="18"/>
          <w:szCs w:val="18"/>
        </w:rPr>
        <w:t xml:space="preserve">označené </w:t>
      </w:r>
      <w:r w:rsidR="007B339D" w:rsidRPr="009569CC">
        <w:rPr>
          <w:rFonts w:ascii="Calibri" w:hAnsi="Calibri" w:cs="Calibri"/>
          <w:sz w:val="18"/>
          <w:szCs w:val="18"/>
          <w:highlight w:val="yellow"/>
        </w:rPr>
        <w:t>žlutě</w:t>
      </w:r>
      <w:r w:rsidR="007B339D" w:rsidRPr="009569CC">
        <w:rPr>
          <w:rFonts w:ascii="Calibri" w:hAnsi="Calibri" w:cs="Calibri"/>
          <w:sz w:val="18"/>
          <w:szCs w:val="18"/>
        </w:rPr>
        <w:t xml:space="preserve">, společné prostory označené </w:t>
      </w:r>
      <w:r w:rsidR="007B339D" w:rsidRPr="002A2985">
        <w:rPr>
          <w:rFonts w:ascii="Calibri" w:hAnsi="Calibri" w:cs="Calibri"/>
          <w:sz w:val="18"/>
          <w:szCs w:val="18"/>
          <w:highlight w:val="cyan"/>
        </w:rPr>
        <w:t>modře.</w:t>
      </w:r>
    </w:p>
    <w:p w14:paraId="18476B00" w14:textId="77777777" w:rsidR="002A2985" w:rsidRDefault="002A2985" w:rsidP="00003613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93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  <w:gridCol w:w="940"/>
        <w:gridCol w:w="940"/>
        <w:gridCol w:w="960"/>
        <w:gridCol w:w="700"/>
        <w:gridCol w:w="1060"/>
      </w:tblGrid>
      <w:tr w:rsidR="00C55BC6" w14:paraId="5C090903" w14:textId="77777777" w:rsidTr="00C55BC6">
        <w:trPr>
          <w:trHeight w:val="580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00486D6" w14:textId="77777777" w:rsidR="00C55BC6" w:rsidRDefault="00C55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kancelář 22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8B5964A" w14:textId="77777777" w:rsidR="00C55BC6" w:rsidRDefault="00C55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kancelář 23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953407E" w14:textId="77777777" w:rsidR="00C55BC6" w:rsidRDefault="00C55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kancelář 24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9DDF0AC" w14:textId="77777777" w:rsidR="00C55BC6" w:rsidRDefault="00C55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kancelář 25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6266DA96" w14:textId="77777777" w:rsidR="00C55BC6" w:rsidRDefault="00C55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kancelář 26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14:paraId="1EDCA01C" w14:textId="77777777" w:rsidR="00C55BC6" w:rsidRDefault="00C55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kancelář 27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10F71011" w14:textId="77777777" w:rsidR="00C55BC6" w:rsidRDefault="00C55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kancelář 28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010FF" w14:textId="77777777" w:rsidR="00C55BC6" w:rsidRDefault="00C55B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kancelář 30</w:t>
            </w:r>
          </w:p>
        </w:tc>
      </w:tr>
      <w:tr w:rsidR="00C55BC6" w14:paraId="5874CBA0" w14:textId="77777777" w:rsidTr="00C55BC6">
        <w:trPr>
          <w:trHeight w:val="29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9406" w14:textId="77777777" w:rsidR="00C55BC6" w:rsidRDefault="00C55BC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A584" w14:textId="77777777" w:rsidR="00C55BC6" w:rsidRDefault="00C55BC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6BAE" w14:textId="77777777" w:rsidR="00C55BC6" w:rsidRDefault="00C55BC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CAEE" w14:textId="77777777" w:rsidR="00C55BC6" w:rsidRDefault="00C55BC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C256" w14:textId="77777777" w:rsidR="00C55BC6" w:rsidRDefault="00C55BC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27B8" w14:textId="77777777" w:rsidR="00C55BC6" w:rsidRDefault="00C55BC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ACD1" w14:textId="77777777" w:rsidR="00C55BC6" w:rsidRDefault="00C55BC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81C7" w14:textId="77777777" w:rsidR="00C55BC6" w:rsidRDefault="00C55BC6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7D71" w14:textId="77777777" w:rsidR="00C55BC6" w:rsidRDefault="00C55BC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4332" w14:textId="77777777" w:rsidR="00C55BC6" w:rsidRDefault="00C55BC6">
            <w:pPr>
              <w:rPr>
                <w:sz w:val="20"/>
                <w:szCs w:val="20"/>
              </w:rPr>
            </w:pPr>
          </w:p>
        </w:tc>
      </w:tr>
      <w:tr w:rsidR="00C55BC6" w14:paraId="3B808264" w14:textId="77777777" w:rsidTr="00C55BC6">
        <w:trPr>
          <w:trHeight w:val="5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B499A3" w14:textId="77777777" w:rsidR="00C55BC6" w:rsidRDefault="00C55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kancelář 21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76B3E5" w14:textId="77777777" w:rsidR="00C55BC6" w:rsidRDefault="00C55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kancelář 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EE01C13" w14:textId="77777777" w:rsidR="00C55BC6" w:rsidRDefault="00C55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kancelář 19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6A1F479" w14:textId="77777777" w:rsidR="00C55BC6" w:rsidRDefault="00C55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kancelář 18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E2C8B44" w14:textId="77777777" w:rsidR="00C55BC6" w:rsidRDefault="00C55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kancelář 17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vAlign w:val="center"/>
            <w:hideMark/>
          </w:tcPr>
          <w:p w14:paraId="7DE78A37" w14:textId="77777777" w:rsidR="00C55BC6" w:rsidRDefault="00C55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vchod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76E3FF"/>
            <w:vAlign w:val="center"/>
            <w:hideMark/>
          </w:tcPr>
          <w:p w14:paraId="36AE4A01" w14:textId="77777777" w:rsidR="00C55BC6" w:rsidRDefault="00C55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společná kuchyňka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vAlign w:val="center"/>
            <w:hideMark/>
          </w:tcPr>
          <w:p w14:paraId="5759E31A" w14:textId="77777777" w:rsidR="00C55BC6" w:rsidRDefault="00C55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6E3FF"/>
            <w:vAlign w:val="center"/>
            <w:hideMark/>
          </w:tcPr>
          <w:p w14:paraId="2E6A3503" w14:textId="77777777" w:rsidR="00C55BC6" w:rsidRDefault="00C55BC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sklad </w:t>
            </w:r>
          </w:p>
        </w:tc>
      </w:tr>
    </w:tbl>
    <w:p w14:paraId="6ED665E1" w14:textId="77777777" w:rsidR="00C55BC6" w:rsidRDefault="00C55BC6" w:rsidP="00003613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6FC501FA" w14:textId="77777777" w:rsidR="002A2985" w:rsidRDefault="002A2985" w:rsidP="00003613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531DEB7A" w14:textId="77777777" w:rsidR="004560AB" w:rsidRDefault="004560AB">
      <w:pPr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br w:type="page"/>
      </w:r>
    </w:p>
    <w:p w14:paraId="3BE96DF2" w14:textId="5CA578F3" w:rsidR="00003613" w:rsidRPr="00DD77A1" w:rsidRDefault="00003613" w:rsidP="00003613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DD77A1">
        <w:rPr>
          <w:rFonts w:ascii="Calibri" w:hAnsi="Calibri" w:cs="Calibri"/>
          <w:b/>
          <w:bCs/>
          <w:sz w:val="18"/>
          <w:szCs w:val="18"/>
        </w:rPr>
        <w:lastRenderedPageBreak/>
        <w:t>Příloha č. 2</w:t>
      </w:r>
    </w:p>
    <w:p w14:paraId="052BA659" w14:textId="4C857B49" w:rsidR="00003613" w:rsidRPr="0064038B" w:rsidRDefault="00003613" w:rsidP="00003613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Cena nájmu</w:t>
      </w:r>
      <w:r w:rsidR="00A47824">
        <w:rPr>
          <w:rFonts w:ascii="Calibri" w:hAnsi="Calibri" w:cs="Calibri"/>
          <w:b/>
          <w:sz w:val="18"/>
          <w:szCs w:val="18"/>
        </w:rPr>
        <w:t xml:space="preserve"> a </w:t>
      </w:r>
      <w:r w:rsidR="00461F8B">
        <w:rPr>
          <w:rFonts w:ascii="Calibri" w:hAnsi="Calibri" w:cs="Calibri"/>
          <w:b/>
          <w:sz w:val="18"/>
          <w:szCs w:val="18"/>
        </w:rPr>
        <w:t xml:space="preserve"> provozních nákladů</w:t>
      </w:r>
      <w:r>
        <w:rPr>
          <w:rFonts w:ascii="Calibri" w:hAnsi="Calibri" w:cs="Calibri"/>
          <w:b/>
          <w:sz w:val="18"/>
          <w:szCs w:val="18"/>
        </w:rPr>
        <w:t xml:space="preserve"> </w:t>
      </w:r>
    </w:p>
    <w:p w14:paraId="7699581B" w14:textId="77777777" w:rsidR="00003613" w:rsidRPr="0064038B" w:rsidRDefault="00003613" w:rsidP="00003613">
      <w:pPr>
        <w:jc w:val="center"/>
        <w:rPr>
          <w:rFonts w:ascii="Calibri" w:hAnsi="Calibri" w:cs="Calibri"/>
          <w:sz w:val="18"/>
          <w:szCs w:val="18"/>
        </w:rPr>
      </w:pPr>
    </w:p>
    <w:p w14:paraId="73D5F15A" w14:textId="77777777" w:rsidR="00003613" w:rsidRDefault="00003613" w:rsidP="00003613">
      <w:pPr>
        <w:rPr>
          <w:rFonts w:ascii="Calibri" w:hAnsi="Calibri" w:cs="Calibri"/>
          <w:sz w:val="18"/>
          <w:szCs w:val="18"/>
        </w:rPr>
      </w:pPr>
    </w:p>
    <w:tbl>
      <w:tblPr>
        <w:tblW w:w="70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020"/>
        <w:gridCol w:w="3040"/>
      </w:tblGrid>
      <w:tr w:rsidR="00F06740" w14:paraId="5BE3B8F2" w14:textId="77777777" w:rsidTr="00F06740">
        <w:trPr>
          <w:trHeight w:val="29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516BC2" w14:textId="77777777" w:rsidR="00F06740" w:rsidRDefault="00F067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E9FD5F5" w14:textId="77777777" w:rsidR="00F06740" w:rsidRDefault="00F067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4DFE1BC" w14:textId="09E0045F" w:rsidR="00F06740" w:rsidRDefault="00F067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Kč/měsíc</w:t>
            </w:r>
            <w:r w:rsidR="004560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06740" w14:paraId="536E5939" w14:textId="77777777" w:rsidTr="00F06740">
        <w:trPr>
          <w:trHeight w:val="290"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A3AF8FA" w14:textId="77777777" w:rsidR="00F06740" w:rsidRDefault="00F067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nájemné</w:t>
            </w:r>
          </w:p>
        </w:tc>
      </w:tr>
      <w:tr w:rsidR="00F06740" w14:paraId="15C671A9" w14:textId="77777777" w:rsidTr="00F06740">
        <w:trPr>
          <w:trHeight w:val="29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C7B5" w14:textId="77777777" w:rsidR="00F06740" w:rsidRDefault="00F067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kanceláře 13,5 m2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4918" w14:textId="77777777" w:rsidR="00F06740" w:rsidRDefault="00F067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C522" w14:textId="77777777" w:rsidR="00F06740" w:rsidRDefault="00F067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18900</w:t>
            </w:r>
          </w:p>
        </w:tc>
      </w:tr>
      <w:tr w:rsidR="00F06740" w14:paraId="46653361" w14:textId="77777777" w:rsidTr="00F06740">
        <w:trPr>
          <w:trHeight w:val="463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2A32" w14:textId="77777777" w:rsidR="00F06740" w:rsidRDefault="00F067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kanceláře 27 m2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BD26" w14:textId="77777777" w:rsidR="00F06740" w:rsidRDefault="00F067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0D62" w14:textId="77777777" w:rsidR="00F06740" w:rsidRDefault="00F067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7560</w:t>
            </w:r>
          </w:p>
        </w:tc>
      </w:tr>
      <w:tr w:rsidR="00F06740" w14:paraId="0F690094" w14:textId="77777777" w:rsidTr="00F06740">
        <w:trPr>
          <w:trHeight w:val="290"/>
        </w:trPr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370F4B8" w14:textId="77777777" w:rsidR="00F06740" w:rsidRDefault="00F067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provozní náklady</w:t>
            </w:r>
          </w:p>
        </w:tc>
      </w:tr>
      <w:tr w:rsidR="00F06740" w14:paraId="3F1C763C" w14:textId="77777777" w:rsidTr="00F06740">
        <w:trPr>
          <w:trHeight w:val="29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D70D" w14:textId="77777777" w:rsidR="00F06740" w:rsidRDefault="00F067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Záloha na teplo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EAC9" w14:textId="77777777" w:rsidR="00F06740" w:rsidRDefault="00F067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EB6C" w14:textId="77777777" w:rsidR="00F06740" w:rsidRDefault="00F067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3500</w:t>
            </w:r>
          </w:p>
        </w:tc>
      </w:tr>
      <w:tr w:rsidR="00F06740" w14:paraId="4D03EBF3" w14:textId="77777777" w:rsidTr="00F06740">
        <w:trPr>
          <w:trHeight w:val="29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BA22" w14:textId="77777777" w:rsidR="00F06740" w:rsidRDefault="00F067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Záloha na elektrické energie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7820" w14:textId="77777777" w:rsidR="00F06740" w:rsidRDefault="00F067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524B" w14:textId="77777777" w:rsidR="00F06740" w:rsidRDefault="00F067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2880</w:t>
            </w:r>
          </w:p>
        </w:tc>
      </w:tr>
      <w:tr w:rsidR="00F06740" w14:paraId="0EE8E83E" w14:textId="77777777" w:rsidTr="00F06740">
        <w:trPr>
          <w:trHeight w:val="58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FA7EA" w14:textId="77777777" w:rsidR="00F06740" w:rsidRDefault="00F067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Záloha na vodné, stočné, srážkové vody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7F4A" w14:textId="77777777" w:rsidR="00F06740" w:rsidRDefault="00F067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3E6E" w14:textId="77777777" w:rsidR="00F06740" w:rsidRDefault="00F067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1560</w:t>
            </w:r>
          </w:p>
        </w:tc>
      </w:tr>
      <w:tr w:rsidR="00F06740" w14:paraId="614AE376" w14:textId="77777777" w:rsidTr="00F06740">
        <w:trPr>
          <w:trHeight w:val="29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43AE" w14:textId="191026E7" w:rsidR="00F06740" w:rsidRDefault="00F067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Záloha </w:t>
            </w:r>
            <w:r w:rsidR="00C4587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svoz odpadu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23AE" w14:textId="77777777" w:rsidR="00F06740" w:rsidRDefault="00F067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B043" w14:textId="77777777" w:rsidR="00F06740" w:rsidRDefault="00F067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</w:tr>
      <w:tr w:rsidR="00F06740" w14:paraId="6201F9BB" w14:textId="77777777" w:rsidTr="00F06740">
        <w:trPr>
          <w:trHeight w:val="29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2014" w14:textId="77777777" w:rsidR="00F06740" w:rsidRDefault="00F067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Úklid společných prostor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5C8F" w14:textId="77777777" w:rsidR="00F06740" w:rsidRDefault="00F067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A3C1" w14:textId="77777777" w:rsidR="00F06740" w:rsidRDefault="00F067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</w:tc>
      </w:tr>
      <w:tr w:rsidR="00F06740" w14:paraId="4C35DC7F" w14:textId="77777777" w:rsidTr="00F06740">
        <w:trPr>
          <w:trHeight w:val="29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3E1" w14:textId="77777777" w:rsidR="00F06740" w:rsidRDefault="00F067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Úklid pronajatých kanceláří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8327" w14:textId="77777777" w:rsidR="00F06740" w:rsidRDefault="00F067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53A6" w14:textId="77777777" w:rsidR="00F06740" w:rsidRDefault="00F067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3350</w:t>
            </w:r>
          </w:p>
        </w:tc>
      </w:tr>
      <w:tr w:rsidR="00F06740" w14:paraId="5F1B2C6D" w14:textId="77777777" w:rsidTr="00F06740">
        <w:trPr>
          <w:trHeight w:val="29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34BB82C" w14:textId="77777777" w:rsidR="00F06740" w:rsidRDefault="00F067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AE51F6A" w14:textId="77777777" w:rsidR="00F06740" w:rsidRDefault="00F067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2F2FE86" w14:textId="37D78C8B" w:rsidR="00F06740" w:rsidRDefault="00CE7F3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  <w:r w:rsidR="002921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450</w:t>
            </w:r>
          </w:p>
        </w:tc>
      </w:tr>
    </w:tbl>
    <w:p w14:paraId="0E71EB01" w14:textId="77777777" w:rsidR="00003613" w:rsidRPr="00461F8B" w:rsidRDefault="00003613" w:rsidP="00003613">
      <w:pPr>
        <w:rPr>
          <w:rFonts w:ascii="Calibri" w:hAnsi="Calibri" w:cs="Calibri"/>
          <w:i/>
          <w:iCs/>
          <w:sz w:val="18"/>
          <w:szCs w:val="18"/>
        </w:rPr>
      </w:pPr>
      <w:r w:rsidRPr="00461F8B">
        <w:rPr>
          <w:rFonts w:ascii="Calibri" w:hAnsi="Calibri" w:cs="Calibri"/>
          <w:i/>
          <w:iCs/>
          <w:sz w:val="18"/>
          <w:szCs w:val="18"/>
        </w:rPr>
        <w:t>Ceny jsou uvedeny v Kč bez DPH.</w:t>
      </w:r>
    </w:p>
    <w:p w14:paraId="43515024" w14:textId="77777777" w:rsidR="00003613" w:rsidRDefault="00003613" w:rsidP="00003613">
      <w:pPr>
        <w:rPr>
          <w:rFonts w:ascii="Calibri" w:hAnsi="Calibri" w:cs="Calibri"/>
          <w:sz w:val="18"/>
          <w:szCs w:val="18"/>
        </w:rPr>
      </w:pPr>
    </w:p>
    <w:p w14:paraId="2FAA8628" w14:textId="77777777" w:rsidR="00003613" w:rsidRDefault="00003613" w:rsidP="00672607">
      <w:pPr>
        <w:rPr>
          <w:rFonts w:ascii="Calibri" w:hAnsi="Calibri" w:cs="Calibri"/>
          <w:noProof/>
          <w:sz w:val="18"/>
          <w:szCs w:val="18"/>
        </w:rPr>
      </w:pPr>
    </w:p>
    <w:p w14:paraId="2C9488AA" w14:textId="39834ACC" w:rsidR="00293A34" w:rsidRDefault="00293A34" w:rsidP="008714A6">
      <w:pPr>
        <w:rPr>
          <w:rFonts w:ascii="Calibri" w:hAnsi="Calibri" w:cs="Calibri"/>
          <w:sz w:val="18"/>
          <w:szCs w:val="18"/>
        </w:rPr>
      </w:pPr>
    </w:p>
    <w:p w14:paraId="519C33D9" w14:textId="77777777" w:rsidR="002922DD" w:rsidRPr="00D5213C" w:rsidRDefault="002922DD" w:rsidP="002922DD">
      <w:pPr>
        <w:rPr>
          <w:rFonts w:ascii="Calibri" w:hAnsi="Calibri" w:cs="Calibri"/>
          <w:sz w:val="18"/>
          <w:szCs w:val="18"/>
        </w:rPr>
      </w:pPr>
    </w:p>
    <w:p w14:paraId="5EC97EA8" w14:textId="1ED8B55B" w:rsidR="009C7AB2" w:rsidRDefault="009C7AB2" w:rsidP="00003613">
      <w:pPr>
        <w:rPr>
          <w:rFonts w:ascii="Calibri" w:hAnsi="Calibri" w:cs="Calibri"/>
          <w:sz w:val="18"/>
          <w:szCs w:val="18"/>
        </w:rPr>
      </w:pPr>
    </w:p>
    <w:sectPr w:rsidR="009C7AB2" w:rsidSect="003B1F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016C0" w14:textId="77777777" w:rsidR="00446820" w:rsidRDefault="00446820">
      <w:r>
        <w:separator/>
      </w:r>
    </w:p>
  </w:endnote>
  <w:endnote w:type="continuationSeparator" w:id="0">
    <w:p w14:paraId="475BA0F6" w14:textId="77777777" w:rsidR="00446820" w:rsidRDefault="0044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88EB" w14:textId="77777777" w:rsidR="00D5213C" w:rsidRDefault="00D5213C">
    <w:pPr>
      <w:pStyle w:val="Zpat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>PAGE   \* MERGEFORMAT</w:instrText>
    </w:r>
    <w:r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2</w:t>
    </w:r>
    <w:r>
      <w:rPr>
        <w:rFonts w:ascii="Calibri" w:hAnsi="Calibri" w:cs="Calibri"/>
        <w:sz w:val="18"/>
        <w:szCs w:val="18"/>
      </w:rPr>
      <w:fldChar w:fldCharType="end"/>
    </w:r>
  </w:p>
  <w:p w14:paraId="0F69EE21" w14:textId="77777777" w:rsidR="00D5213C" w:rsidRDefault="00D5213C">
    <w:pPr>
      <w:pStyle w:val="Zpat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6E287" w14:textId="77777777" w:rsidR="00446820" w:rsidRDefault="00446820">
      <w:r>
        <w:separator/>
      </w:r>
    </w:p>
  </w:footnote>
  <w:footnote w:type="continuationSeparator" w:id="0">
    <w:p w14:paraId="54B1269B" w14:textId="77777777" w:rsidR="00446820" w:rsidRDefault="00446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E03D4"/>
    <w:multiLevelType w:val="hybridMultilevel"/>
    <w:tmpl w:val="0E52CE3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91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F2"/>
    <w:rsid w:val="00001C0A"/>
    <w:rsid w:val="00003613"/>
    <w:rsid w:val="00005DD9"/>
    <w:rsid w:val="00012C44"/>
    <w:rsid w:val="000162FD"/>
    <w:rsid w:val="00022113"/>
    <w:rsid w:val="00026C5B"/>
    <w:rsid w:val="00027346"/>
    <w:rsid w:val="00027403"/>
    <w:rsid w:val="00072554"/>
    <w:rsid w:val="000764EF"/>
    <w:rsid w:val="000776C7"/>
    <w:rsid w:val="00081CE7"/>
    <w:rsid w:val="0008663E"/>
    <w:rsid w:val="000922B1"/>
    <w:rsid w:val="00092911"/>
    <w:rsid w:val="000A32AA"/>
    <w:rsid w:val="000B09F7"/>
    <w:rsid w:val="000B0D16"/>
    <w:rsid w:val="000B14DA"/>
    <w:rsid w:val="000F42F1"/>
    <w:rsid w:val="000F6FBF"/>
    <w:rsid w:val="00106292"/>
    <w:rsid w:val="00121676"/>
    <w:rsid w:val="00122767"/>
    <w:rsid w:val="0012758A"/>
    <w:rsid w:val="00156E4E"/>
    <w:rsid w:val="00185C51"/>
    <w:rsid w:val="001923B2"/>
    <w:rsid w:val="001B00C5"/>
    <w:rsid w:val="001D0D60"/>
    <w:rsid w:val="001D19CD"/>
    <w:rsid w:val="001D4631"/>
    <w:rsid w:val="001D5A52"/>
    <w:rsid w:val="001E3FF8"/>
    <w:rsid w:val="001E7DF8"/>
    <w:rsid w:val="001F4DBA"/>
    <w:rsid w:val="001F5530"/>
    <w:rsid w:val="0020431A"/>
    <w:rsid w:val="00211ADA"/>
    <w:rsid w:val="0021265D"/>
    <w:rsid w:val="00247035"/>
    <w:rsid w:val="00253EFE"/>
    <w:rsid w:val="00256332"/>
    <w:rsid w:val="00265885"/>
    <w:rsid w:val="00265F60"/>
    <w:rsid w:val="00271DF5"/>
    <w:rsid w:val="00283DB4"/>
    <w:rsid w:val="0029215C"/>
    <w:rsid w:val="002922DD"/>
    <w:rsid w:val="00293A34"/>
    <w:rsid w:val="00293C77"/>
    <w:rsid w:val="002A2985"/>
    <w:rsid w:val="002B42C6"/>
    <w:rsid w:val="002B50E9"/>
    <w:rsid w:val="002B759D"/>
    <w:rsid w:val="002C7068"/>
    <w:rsid w:val="002D6196"/>
    <w:rsid w:val="002D68F1"/>
    <w:rsid w:val="002E0E5A"/>
    <w:rsid w:val="002F1D57"/>
    <w:rsid w:val="002F38FA"/>
    <w:rsid w:val="00314B3E"/>
    <w:rsid w:val="0032004D"/>
    <w:rsid w:val="003475C7"/>
    <w:rsid w:val="003554C3"/>
    <w:rsid w:val="003700CB"/>
    <w:rsid w:val="0037409F"/>
    <w:rsid w:val="00377861"/>
    <w:rsid w:val="003836B8"/>
    <w:rsid w:val="003A0181"/>
    <w:rsid w:val="003A5098"/>
    <w:rsid w:val="003A6E6F"/>
    <w:rsid w:val="003B1F82"/>
    <w:rsid w:val="003C7C22"/>
    <w:rsid w:val="003F21E6"/>
    <w:rsid w:val="003F6C85"/>
    <w:rsid w:val="00405A83"/>
    <w:rsid w:val="004133D9"/>
    <w:rsid w:val="00416AC5"/>
    <w:rsid w:val="00420A61"/>
    <w:rsid w:val="00422A1B"/>
    <w:rsid w:val="00430432"/>
    <w:rsid w:val="0043418C"/>
    <w:rsid w:val="00446820"/>
    <w:rsid w:val="004560AB"/>
    <w:rsid w:val="00457513"/>
    <w:rsid w:val="00461F8B"/>
    <w:rsid w:val="00463628"/>
    <w:rsid w:val="00465841"/>
    <w:rsid w:val="00467075"/>
    <w:rsid w:val="00486E3B"/>
    <w:rsid w:val="004870B3"/>
    <w:rsid w:val="004B76BA"/>
    <w:rsid w:val="004B7D53"/>
    <w:rsid w:val="004C0C88"/>
    <w:rsid w:val="004E3272"/>
    <w:rsid w:val="004F09B1"/>
    <w:rsid w:val="00505CF6"/>
    <w:rsid w:val="005078F2"/>
    <w:rsid w:val="00517812"/>
    <w:rsid w:val="005254D6"/>
    <w:rsid w:val="00531EC3"/>
    <w:rsid w:val="00535015"/>
    <w:rsid w:val="0054201A"/>
    <w:rsid w:val="00555716"/>
    <w:rsid w:val="00555AB2"/>
    <w:rsid w:val="00555C06"/>
    <w:rsid w:val="005603F9"/>
    <w:rsid w:val="00562F25"/>
    <w:rsid w:val="00570FC6"/>
    <w:rsid w:val="0057388D"/>
    <w:rsid w:val="00577042"/>
    <w:rsid w:val="005828F7"/>
    <w:rsid w:val="00583F6C"/>
    <w:rsid w:val="00584C6C"/>
    <w:rsid w:val="005A072B"/>
    <w:rsid w:val="005B21F6"/>
    <w:rsid w:val="005B5C5D"/>
    <w:rsid w:val="005F22A9"/>
    <w:rsid w:val="006033F5"/>
    <w:rsid w:val="00621D22"/>
    <w:rsid w:val="00623CF5"/>
    <w:rsid w:val="0064038B"/>
    <w:rsid w:val="00644E5D"/>
    <w:rsid w:val="00655937"/>
    <w:rsid w:val="006654AC"/>
    <w:rsid w:val="00666148"/>
    <w:rsid w:val="00670BA7"/>
    <w:rsid w:val="00671748"/>
    <w:rsid w:val="006718CF"/>
    <w:rsid w:val="00672607"/>
    <w:rsid w:val="00682227"/>
    <w:rsid w:val="006C52F9"/>
    <w:rsid w:val="006D7483"/>
    <w:rsid w:val="006E24AA"/>
    <w:rsid w:val="00706676"/>
    <w:rsid w:val="0071329E"/>
    <w:rsid w:val="007164AC"/>
    <w:rsid w:val="0072136E"/>
    <w:rsid w:val="00724A6C"/>
    <w:rsid w:val="00732087"/>
    <w:rsid w:val="00735AF4"/>
    <w:rsid w:val="0073620E"/>
    <w:rsid w:val="007400AC"/>
    <w:rsid w:val="007600EB"/>
    <w:rsid w:val="00763CF2"/>
    <w:rsid w:val="00766C25"/>
    <w:rsid w:val="00770E2F"/>
    <w:rsid w:val="00776C93"/>
    <w:rsid w:val="007900B5"/>
    <w:rsid w:val="007A393B"/>
    <w:rsid w:val="007B339D"/>
    <w:rsid w:val="007B35FC"/>
    <w:rsid w:val="007B5155"/>
    <w:rsid w:val="007B73A6"/>
    <w:rsid w:val="007C1383"/>
    <w:rsid w:val="007C68E5"/>
    <w:rsid w:val="007D25BE"/>
    <w:rsid w:val="007E6CE0"/>
    <w:rsid w:val="00822140"/>
    <w:rsid w:val="0084683E"/>
    <w:rsid w:val="00853D6F"/>
    <w:rsid w:val="008714A6"/>
    <w:rsid w:val="008B6EED"/>
    <w:rsid w:val="008D03BB"/>
    <w:rsid w:val="008D15C0"/>
    <w:rsid w:val="008D5CFB"/>
    <w:rsid w:val="008E1443"/>
    <w:rsid w:val="008E145E"/>
    <w:rsid w:val="008E2054"/>
    <w:rsid w:val="008E511E"/>
    <w:rsid w:val="008F137D"/>
    <w:rsid w:val="008F2C9A"/>
    <w:rsid w:val="008F5A44"/>
    <w:rsid w:val="0090745D"/>
    <w:rsid w:val="00907804"/>
    <w:rsid w:val="009113B9"/>
    <w:rsid w:val="009148AD"/>
    <w:rsid w:val="00920D6A"/>
    <w:rsid w:val="00924FDA"/>
    <w:rsid w:val="00925F60"/>
    <w:rsid w:val="00933A89"/>
    <w:rsid w:val="00940E84"/>
    <w:rsid w:val="00950E3A"/>
    <w:rsid w:val="009517C1"/>
    <w:rsid w:val="009569CC"/>
    <w:rsid w:val="00962CFD"/>
    <w:rsid w:val="00966D37"/>
    <w:rsid w:val="009725F2"/>
    <w:rsid w:val="00976788"/>
    <w:rsid w:val="009865A1"/>
    <w:rsid w:val="009A4FD4"/>
    <w:rsid w:val="009C7AB2"/>
    <w:rsid w:val="009D2CCA"/>
    <w:rsid w:val="009E0F13"/>
    <w:rsid w:val="009E71C9"/>
    <w:rsid w:val="00A027F2"/>
    <w:rsid w:val="00A077F4"/>
    <w:rsid w:val="00A1567B"/>
    <w:rsid w:val="00A16BBC"/>
    <w:rsid w:val="00A21E11"/>
    <w:rsid w:val="00A26A41"/>
    <w:rsid w:val="00A372E2"/>
    <w:rsid w:val="00A47824"/>
    <w:rsid w:val="00A566D3"/>
    <w:rsid w:val="00A76E97"/>
    <w:rsid w:val="00A86B4B"/>
    <w:rsid w:val="00AB0D86"/>
    <w:rsid w:val="00AD3D59"/>
    <w:rsid w:val="00AE5BEF"/>
    <w:rsid w:val="00B044D6"/>
    <w:rsid w:val="00B0728F"/>
    <w:rsid w:val="00B1789F"/>
    <w:rsid w:val="00B20687"/>
    <w:rsid w:val="00B27712"/>
    <w:rsid w:val="00B34FDB"/>
    <w:rsid w:val="00B355E7"/>
    <w:rsid w:val="00B45752"/>
    <w:rsid w:val="00B5637E"/>
    <w:rsid w:val="00B67401"/>
    <w:rsid w:val="00B75FA9"/>
    <w:rsid w:val="00B85398"/>
    <w:rsid w:val="00B91342"/>
    <w:rsid w:val="00B94243"/>
    <w:rsid w:val="00BA32DB"/>
    <w:rsid w:val="00BA671E"/>
    <w:rsid w:val="00BB1DCB"/>
    <w:rsid w:val="00BC7C32"/>
    <w:rsid w:val="00BF41CB"/>
    <w:rsid w:val="00C0006E"/>
    <w:rsid w:val="00C06E0D"/>
    <w:rsid w:val="00C16A93"/>
    <w:rsid w:val="00C23E0D"/>
    <w:rsid w:val="00C2507C"/>
    <w:rsid w:val="00C35E7C"/>
    <w:rsid w:val="00C4438A"/>
    <w:rsid w:val="00C45875"/>
    <w:rsid w:val="00C51162"/>
    <w:rsid w:val="00C55695"/>
    <w:rsid w:val="00C55BC6"/>
    <w:rsid w:val="00C72B9F"/>
    <w:rsid w:val="00C778C6"/>
    <w:rsid w:val="00C82E5C"/>
    <w:rsid w:val="00C852A8"/>
    <w:rsid w:val="00C86EFF"/>
    <w:rsid w:val="00CA365F"/>
    <w:rsid w:val="00CB2190"/>
    <w:rsid w:val="00CD64F5"/>
    <w:rsid w:val="00CE1C5C"/>
    <w:rsid w:val="00CE7F3D"/>
    <w:rsid w:val="00CF15E3"/>
    <w:rsid w:val="00D13EBF"/>
    <w:rsid w:val="00D21697"/>
    <w:rsid w:val="00D34B4C"/>
    <w:rsid w:val="00D4135D"/>
    <w:rsid w:val="00D4392A"/>
    <w:rsid w:val="00D452FD"/>
    <w:rsid w:val="00D5067A"/>
    <w:rsid w:val="00D5213C"/>
    <w:rsid w:val="00D53777"/>
    <w:rsid w:val="00D84517"/>
    <w:rsid w:val="00D849B6"/>
    <w:rsid w:val="00D91597"/>
    <w:rsid w:val="00DA44DB"/>
    <w:rsid w:val="00DA4F57"/>
    <w:rsid w:val="00DC57AF"/>
    <w:rsid w:val="00DC6FCA"/>
    <w:rsid w:val="00DD4113"/>
    <w:rsid w:val="00DD50DB"/>
    <w:rsid w:val="00DD77A1"/>
    <w:rsid w:val="00DE65AE"/>
    <w:rsid w:val="00DF6097"/>
    <w:rsid w:val="00DF79A1"/>
    <w:rsid w:val="00E0531F"/>
    <w:rsid w:val="00E06E91"/>
    <w:rsid w:val="00E12A11"/>
    <w:rsid w:val="00E137FE"/>
    <w:rsid w:val="00E22DA6"/>
    <w:rsid w:val="00E329A1"/>
    <w:rsid w:val="00E353F1"/>
    <w:rsid w:val="00E40F48"/>
    <w:rsid w:val="00E4212B"/>
    <w:rsid w:val="00E42BC7"/>
    <w:rsid w:val="00E62ED5"/>
    <w:rsid w:val="00E635F0"/>
    <w:rsid w:val="00E773AF"/>
    <w:rsid w:val="00E83627"/>
    <w:rsid w:val="00E86D8A"/>
    <w:rsid w:val="00E8765E"/>
    <w:rsid w:val="00EC37AD"/>
    <w:rsid w:val="00EC47BC"/>
    <w:rsid w:val="00ED2010"/>
    <w:rsid w:val="00EF421D"/>
    <w:rsid w:val="00F01B2D"/>
    <w:rsid w:val="00F06740"/>
    <w:rsid w:val="00F12A30"/>
    <w:rsid w:val="00F159C4"/>
    <w:rsid w:val="00F15B03"/>
    <w:rsid w:val="00F2083D"/>
    <w:rsid w:val="00F307E8"/>
    <w:rsid w:val="00F404B0"/>
    <w:rsid w:val="00F4075D"/>
    <w:rsid w:val="00F57368"/>
    <w:rsid w:val="00F65475"/>
    <w:rsid w:val="00F655C2"/>
    <w:rsid w:val="00F7657D"/>
    <w:rsid w:val="00FA77FB"/>
    <w:rsid w:val="00FD3E83"/>
    <w:rsid w:val="00FE683B"/>
    <w:rsid w:val="00FF21BB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C8534"/>
  <w15:chartTrackingRefBased/>
  <w15:docId w15:val="{2661AC08-6654-4C38-9476-407D8ED8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ind w:right="-108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1E7DF8"/>
  </w:style>
  <w:style w:type="character" w:customStyle="1" w:styleId="ZpatChar">
    <w:name w:val="Zápatí Char"/>
    <w:link w:val="Zpat"/>
    <w:uiPriority w:val="99"/>
    <w:rsid w:val="00405A83"/>
    <w:rPr>
      <w:sz w:val="24"/>
      <w:szCs w:val="24"/>
    </w:rPr>
  </w:style>
  <w:style w:type="paragraph" w:styleId="Textbubliny">
    <w:name w:val="Balloon Text"/>
    <w:basedOn w:val="Normln"/>
    <w:link w:val="TextbublinyChar"/>
    <w:rsid w:val="00405A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05A8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156E4E"/>
    <w:pPr>
      <w:spacing w:before="100" w:beforeAutospacing="1" w:after="100" w:afterAutospacing="1"/>
      <w:jc w:val="both"/>
    </w:pPr>
    <w:rPr>
      <w:rFonts w:ascii="Tahoma" w:hAnsi="Tahoma"/>
      <w:sz w:val="20"/>
    </w:rPr>
  </w:style>
  <w:style w:type="table" w:styleId="Mkatabulky">
    <w:name w:val="Table Grid"/>
    <w:basedOn w:val="Normlntabulka"/>
    <w:rsid w:val="000B1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D34B4C"/>
    <w:rPr>
      <w:sz w:val="16"/>
      <w:szCs w:val="16"/>
    </w:rPr>
  </w:style>
  <w:style w:type="paragraph" w:styleId="Textkomente">
    <w:name w:val="annotation text"/>
    <w:basedOn w:val="Normln"/>
    <w:link w:val="TextkomenteChar"/>
    <w:rsid w:val="00D34B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34B4C"/>
  </w:style>
  <w:style w:type="paragraph" w:styleId="Pedmtkomente">
    <w:name w:val="annotation subject"/>
    <w:basedOn w:val="Textkomente"/>
    <w:next w:val="Textkomente"/>
    <w:link w:val="PedmtkomenteChar"/>
    <w:rsid w:val="00D34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34B4C"/>
    <w:rPr>
      <w:b/>
      <w:bCs/>
    </w:rPr>
  </w:style>
  <w:style w:type="paragraph" w:styleId="Revize">
    <w:name w:val="Revision"/>
    <w:hidden/>
    <w:uiPriority w:val="99"/>
    <w:semiHidden/>
    <w:rsid w:val="00CE7F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D3779-09E1-4825-9FB4-A7B12B17D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M-line spol. s r.o.</Company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Hanka Křiváčková</dc:creator>
  <cp:keywords/>
  <dc:description/>
  <cp:lastModifiedBy>Jiří Kafka</cp:lastModifiedBy>
  <cp:revision>3</cp:revision>
  <cp:lastPrinted>2016-03-30T10:54:00Z</cp:lastPrinted>
  <dcterms:created xsi:type="dcterms:W3CDTF">2025-06-26T08:26:00Z</dcterms:created>
  <dcterms:modified xsi:type="dcterms:W3CDTF">2025-06-26T08:27:00Z</dcterms:modified>
</cp:coreProperties>
</file>