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BB2E82" w:rsidRPr="002D4E99" w:rsidP="00BB2E82" w14:paraId="61CBF6CA" w14:textId="5514B5B9">
      <w:pPr>
        <w:spacing w:before="360" w:after="240" w:line="240" w:lineRule="auto"/>
        <w:jc w:val="right"/>
        <w:rPr>
          <w:rFonts w:ascii="Arial" w:hAnsi="Arial" w:cs="Arial"/>
        </w:rPr>
      </w:pPr>
      <w:r>
        <w:rPr>
          <w:rFonts w:ascii="Arial" w:hAnsi="Arial" w:cs="Arial"/>
          <w:spacing w:val="1"/>
        </w:rPr>
        <w:t>Ev. č. 2</w:t>
      </w:r>
      <w:r w:rsidR="00C344C0">
        <w:rPr>
          <w:rFonts w:ascii="Arial" w:hAnsi="Arial" w:cs="Arial"/>
          <w:spacing w:val="1"/>
        </w:rPr>
        <w:t>5</w:t>
      </w:r>
      <w:r w:rsidRPr="002D4E99">
        <w:rPr>
          <w:rFonts w:ascii="Arial" w:hAnsi="Arial" w:cs="Arial"/>
        </w:rPr>
        <w:t>/</w:t>
      </w:r>
      <w:r w:rsidR="007E08B0">
        <w:rPr>
          <w:rFonts w:ascii="Arial" w:hAnsi="Arial" w:cs="Arial"/>
        </w:rPr>
        <w:t>125</w:t>
      </w:r>
      <w:r w:rsidRPr="002D4E99">
        <w:rPr>
          <w:rFonts w:ascii="Arial" w:hAnsi="Arial" w:cs="Arial"/>
          <w:spacing w:val="-2"/>
        </w:rPr>
        <w:t>-</w:t>
      </w:r>
      <w:r w:rsidRPr="002D4E99">
        <w:rPr>
          <w:rFonts w:ascii="Arial" w:hAnsi="Arial" w:cs="Arial"/>
        </w:rPr>
        <w:t>0</w:t>
      </w:r>
      <w:r w:rsidRPr="002D4E99">
        <w:rPr>
          <w:rFonts w:ascii="Arial" w:hAnsi="Arial" w:cs="Arial"/>
        </w:rPr>
        <w:br/>
        <w:t xml:space="preserve">Čj. </w:t>
      </w:r>
      <w:r w:rsidRPr="00893C0F" w:rsidR="00893C0F">
        <w:rPr>
          <w:rFonts w:ascii="Arial" w:hAnsi="Arial" w:cs="Arial"/>
        </w:rPr>
        <w:t>23746</w:t>
      </w:r>
      <w:r w:rsidR="00893C0F">
        <w:rPr>
          <w:rFonts w:ascii="Arial" w:hAnsi="Arial" w:cs="Arial"/>
        </w:rPr>
        <w:t>-</w:t>
      </w:r>
      <w:r>
        <w:rPr>
          <w:rFonts w:ascii="Arial" w:hAnsi="Arial" w:cs="Arial"/>
        </w:rPr>
        <w:t>202</w:t>
      </w:r>
      <w:r w:rsidR="00C344C0">
        <w:rPr>
          <w:rFonts w:ascii="Arial" w:hAnsi="Arial" w:cs="Arial"/>
        </w:rPr>
        <w:t>5</w:t>
      </w:r>
      <w:r>
        <w:rPr>
          <w:rFonts w:ascii="Arial" w:hAnsi="Arial" w:cs="Arial"/>
        </w:rPr>
        <w:t>-UVCR</w:t>
      </w:r>
    </w:p>
    <w:p w:rsidR="00BB2E82" w:rsidRPr="002D4E99" w:rsidP="00BB2E82" w14:paraId="68C79F3D" w14:textId="77777777">
      <w:pPr>
        <w:spacing w:before="240" w:after="240" w:line="240" w:lineRule="auto"/>
        <w:jc w:val="center"/>
        <w:outlineLvl w:val="0"/>
        <w:rPr>
          <w:rFonts w:ascii="Arial" w:hAnsi="Arial" w:cs="Arial"/>
          <w:b/>
          <w:caps/>
          <w:sz w:val="28"/>
          <w:szCs w:val="28"/>
        </w:rPr>
      </w:pPr>
      <w:r w:rsidRPr="002D4E99">
        <w:rPr>
          <w:rFonts w:ascii="Arial" w:hAnsi="Arial" w:cs="Arial"/>
          <w:b/>
          <w:caps/>
          <w:sz w:val="28"/>
          <w:szCs w:val="28"/>
        </w:rPr>
        <w:t>Kupní smlouva</w:t>
      </w:r>
    </w:p>
    <w:p w:rsidR="00BB2E82" w:rsidRPr="00C447E2" w:rsidP="003329BB" w14:paraId="4D34CAAA" w14:textId="1978A472">
      <w:pPr>
        <w:spacing w:after="240" w:line="240" w:lineRule="auto"/>
        <w:jc w:val="center"/>
        <w:rPr>
          <w:rFonts w:ascii="Arial" w:hAnsi="Arial" w:cs="Arial"/>
          <w:b/>
          <w:sz w:val="24"/>
          <w:szCs w:val="24"/>
        </w:rPr>
      </w:pPr>
      <w:r w:rsidRPr="00C447E2">
        <w:rPr>
          <w:rFonts w:ascii="Arial" w:hAnsi="Arial" w:cs="Arial"/>
          <w:b/>
          <w:sz w:val="24"/>
          <w:szCs w:val="24"/>
        </w:rPr>
        <w:t>„</w:t>
      </w:r>
      <w:r w:rsidRPr="00C447E2" w:rsidR="00C344C0">
        <w:rPr>
          <w:rFonts w:ascii="Arial" w:hAnsi="Arial" w:cs="Arial"/>
          <w:b/>
          <w:sz w:val="24"/>
          <w:szCs w:val="24"/>
        </w:rPr>
        <w:t>Zakoupení deduplikačního diskového úložiště včetně pětileté servisní podpory, instalace a nastavení ve vnitřní síti LAN ÚVČR</w:t>
      </w:r>
      <w:r w:rsidRPr="00C447E2">
        <w:rPr>
          <w:rFonts w:ascii="Arial" w:hAnsi="Arial" w:cs="Arial"/>
          <w:b/>
          <w:sz w:val="24"/>
          <w:szCs w:val="24"/>
        </w:rPr>
        <w:t>“</w:t>
      </w:r>
    </w:p>
    <w:p w:rsidR="00BB2E82" w:rsidRPr="002D4E99" w:rsidP="00BB2E82" w14:paraId="7D4FBDFC" w14:textId="77777777">
      <w:pPr>
        <w:spacing w:after="240" w:line="240" w:lineRule="auto"/>
        <w:jc w:val="center"/>
        <w:rPr>
          <w:rFonts w:ascii="Arial" w:hAnsi="Arial" w:cs="Arial"/>
        </w:rPr>
      </w:pPr>
      <w:r w:rsidRPr="002D4E99">
        <w:rPr>
          <w:rFonts w:ascii="Arial" w:hAnsi="Arial" w:cs="Arial"/>
        </w:rPr>
        <w:t>uzavřená podle zákona č. 89/2012 Sb., občanský zákoník, ve znění pozdějších předpisů</w:t>
      </w:r>
      <w:r w:rsidR="006B7CC2">
        <w:rPr>
          <w:rFonts w:ascii="Arial" w:hAnsi="Arial" w:cs="Arial"/>
        </w:rPr>
        <w:br/>
        <w:t>(dále jen „občanský zákoník“)</w:t>
      </w:r>
    </w:p>
    <w:p w:rsidR="00BB2E82" w:rsidRPr="002D4E99" w:rsidP="00BB2E82" w14:paraId="773871C4" w14:textId="77777777">
      <w:pPr>
        <w:spacing w:before="360" w:after="120" w:line="240" w:lineRule="auto"/>
        <w:jc w:val="center"/>
        <w:outlineLvl w:val="3"/>
        <w:rPr>
          <w:rFonts w:ascii="Arial" w:hAnsi="Arial" w:cs="Arial"/>
          <w:b/>
        </w:rPr>
      </w:pPr>
      <w:r w:rsidRPr="002D4E99">
        <w:rPr>
          <w:rFonts w:ascii="Arial" w:hAnsi="Arial" w:cs="Arial"/>
          <w:b/>
        </w:rPr>
        <w:t>Smluvní strany</w:t>
      </w:r>
    </w:p>
    <w:p w:rsidR="00BB2E82" w:rsidRPr="002D4E99" w:rsidP="00BB2E82" w14:paraId="4B716AE8" w14:textId="77777777">
      <w:pPr>
        <w:tabs>
          <w:tab w:val="left" w:pos="0"/>
          <w:tab w:val="left" w:pos="2268"/>
        </w:tabs>
        <w:spacing w:after="240" w:line="240" w:lineRule="auto"/>
        <w:jc w:val="both"/>
        <w:rPr>
          <w:rFonts w:ascii="Arial" w:hAnsi="Arial" w:cs="Arial"/>
          <w:b/>
          <w:lang w:eastAsia="cs-CZ"/>
        </w:rPr>
      </w:pPr>
      <w:r w:rsidRPr="002D4E99">
        <w:rPr>
          <w:rFonts w:ascii="Arial" w:hAnsi="Arial" w:cs="Arial"/>
          <w:b/>
          <w:lang w:eastAsia="cs-CZ"/>
        </w:rPr>
        <w:t>Česká republika – Úřad vlády České republiky</w:t>
      </w:r>
    </w:p>
    <w:p w:rsidR="00BB2E82" w:rsidRPr="002D4E99" w:rsidP="00BB2E82" w14:paraId="591F261D" w14:textId="77777777">
      <w:pPr>
        <w:tabs>
          <w:tab w:val="left" w:pos="0"/>
          <w:tab w:val="left" w:pos="2268"/>
        </w:tabs>
        <w:spacing w:after="120" w:line="240" w:lineRule="auto"/>
        <w:ind w:left="2265" w:hanging="2265"/>
        <w:contextualSpacing/>
        <w:jc w:val="both"/>
        <w:rPr>
          <w:rFonts w:ascii="Arial" w:hAnsi="Arial" w:cs="Arial"/>
          <w:lang w:eastAsia="cs-CZ"/>
        </w:rPr>
      </w:pPr>
      <w:r w:rsidRPr="002D4E99">
        <w:rPr>
          <w:rFonts w:ascii="Arial" w:hAnsi="Arial" w:cs="Arial"/>
          <w:lang w:eastAsia="cs-CZ"/>
        </w:rPr>
        <w:t>ktero</w:t>
      </w:r>
      <w:r>
        <w:rPr>
          <w:rFonts w:ascii="Arial" w:hAnsi="Arial" w:cs="Arial"/>
          <w:lang w:eastAsia="cs-CZ"/>
        </w:rPr>
        <w:t>u</w:t>
      </w:r>
      <w:r w:rsidR="006338E4">
        <w:rPr>
          <w:rFonts w:ascii="Arial" w:hAnsi="Arial" w:cs="Arial"/>
          <w:lang w:eastAsia="cs-CZ"/>
        </w:rPr>
        <w:t xml:space="preserve"> zastupuje:</w:t>
      </w:r>
      <w:r w:rsidR="006338E4">
        <w:rPr>
          <w:rFonts w:ascii="Arial" w:hAnsi="Arial" w:cs="Arial"/>
          <w:lang w:eastAsia="cs-CZ"/>
        </w:rPr>
        <w:tab/>
        <w:t xml:space="preserve">Ing. Jitka Křupková, ředitelka </w:t>
      </w:r>
      <w:r w:rsidRPr="002D4E99">
        <w:rPr>
          <w:rFonts w:ascii="Arial" w:hAnsi="Arial" w:cs="Arial"/>
          <w:lang w:eastAsia="cs-CZ"/>
        </w:rPr>
        <w:t>Odboru</w:t>
      </w:r>
      <w:r>
        <w:rPr>
          <w:rFonts w:ascii="Arial" w:hAnsi="Arial" w:cs="Arial"/>
          <w:lang w:eastAsia="cs-CZ"/>
        </w:rPr>
        <w:t xml:space="preserve"> informatiky</w:t>
      </w:r>
      <w:r w:rsidRPr="002D4E99">
        <w:rPr>
          <w:rFonts w:ascii="Arial" w:hAnsi="Arial" w:cs="Arial"/>
          <w:lang w:eastAsia="cs-CZ"/>
        </w:rPr>
        <w:t>, na základě vnitřního předpisu</w:t>
      </w:r>
    </w:p>
    <w:p w:rsidR="00BB2E82" w:rsidRPr="002D4E99" w:rsidP="00E43697" w14:paraId="1B060C97" w14:textId="5EB9F27B">
      <w:pPr>
        <w:spacing w:after="240" w:line="240" w:lineRule="auto"/>
        <w:ind w:left="2124" w:hanging="2124"/>
        <w:contextualSpacing/>
        <w:rPr>
          <w:rFonts w:ascii="Arial" w:hAnsi="Arial" w:cs="Arial"/>
        </w:rPr>
      </w:pPr>
      <w:r w:rsidRPr="002D4E99">
        <w:rPr>
          <w:rFonts w:ascii="Arial" w:hAnsi="Arial" w:cs="Arial"/>
        </w:rPr>
        <w:t>kontaktní osoba:</w:t>
      </w:r>
      <w:r w:rsidRPr="002D4E99">
        <w:rPr>
          <w:rFonts w:ascii="Arial" w:hAnsi="Arial" w:cs="Arial"/>
        </w:rPr>
        <w:tab/>
      </w:r>
      <w:r w:rsidR="00E43697">
        <w:rPr>
          <w:rFonts w:ascii="Arial" w:hAnsi="Arial" w:cs="Arial"/>
        </w:rPr>
        <w:t xml:space="preserve">  </w:t>
      </w:r>
      <w:r w:rsidRPr="00FA0FF3" w:rsidR="00E43697">
        <w:rPr>
          <w:rFonts w:ascii="Arial" w:hAnsi="Arial" w:cs="Arial"/>
        </w:rPr>
        <w:t xml:space="preserve">Mgr. Ivan Metelka, e-mail: </w:t>
      </w:r>
      <w:r w:rsidR="003D66B1">
        <w:rPr>
          <w:rFonts w:ascii="Arial" w:hAnsi="Arial" w:cs="Arial"/>
        </w:rPr>
        <w:t>XXXXXX</w:t>
      </w:r>
      <w:r w:rsidRPr="00FA0FF3" w:rsidR="00E43697">
        <w:rPr>
          <w:rFonts w:ascii="Arial" w:hAnsi="Arial" w:cs="Arial"/>
        </w:rPr>
        <w:t xml:space="preserve">, </w:t>
      </w:r>
      <w:r w:rsidR="00E43697">
        <w:rPr>
          <w:rFonts w:ascii="Arial" w:hAnsi="Arial" w:cs="Arial"/>
        </w:rPr>
        <w:br/>
        <w:t xml:space="preserve">  </w:t>
      </w:r>
      <w:r w:rsidRPr="00FA0FF3" w:rsidR="00E43697">
        <w:rPr>
          <w:rFonts w:ascii="Arial" w:hAnsi="Arial" w:cs="Arial"/>
        </w:rPr>
        <w:t xml:space="preserve">tel.: </w:t>
      </w:r>
      <w:r w:rsidR="003D66B1">
        <w:rPr>
          <w:rFonts w:ascii="Arial" w:hAnsi="Arial" w:cs="Arial"/>
        </w:rPr>
        <w:t>XXXXXX</w:t>
      </w:r>
    </w:p>
    <w:p w:rsidR="00BB2E82" w:rsidRPr="002D4E99" w:rsidP="00BB2E82" w14:paraId="521DBF77" w14:textId="77777777">
      <w:pPr>
        <w:tabs>
          <w:tab w:val="left" w:pos="0"/>
          <w:tab w:val="left" w:pos="2268"/>
        </w:tabs>
        <w:spacing w:after="120" w:line="240" w:lineRule="auto"/>
        <w:contextualSpacing/>
        <w:jc w:val="both"/>
        <w:rPr>
          <w:rFonts w:ascii="Arial" w:hAnsi="Arial" w:cs="Arial"/>
          <w:lang w:eastAsia="cs-CZ"/>
        </w:rPr>
      </w:pPr>
      <w:r w:rsidRPr="002D4E99">
        <w:rPr>
          <w:rFonts w:ascii="Arial" w:hAnsi="Arial" w:cs="Arial"/>
          <w:lang w:eastAsia="cs-CZ"/>
        </w:rPr>
        <w:t>se sídlem:</w:t>
      </w:r>
      <w:r w:rsidRPr="002D4E99">
        <w:rPr>
          <w:rFonts w:ascii="Arial" w:hAnsi="Arial" w:cs="Arial"/>
          <w:lang w:eastAsia="cs-CZ"/>
        </w:rPr>
        <w:tab/>
        <w:t>nábřeží Edvarda Bene</w:t>
      </w:r>
      <w:r>
        <w:rPr>
          <w:rFonts w:ascii="Arial" w:hAnsi="Arial" w:cs="Arial"/>
          <w:lang w:eastAsia="cs-CZ"/>
        </w:rPr>
        <w:t xml:space="preserve">še 128/4, </w:t>
      </w:r>
      <w:r w:rsidR="006338E4">
        <w:rPr>
          <w:rFonts w:ascii="Arial" w:hAnsi="Arial" w:cs="Arial"/>
          <w:lang w:eastAsia="cs-CZ"/>
        </w:rPr>
        <w:t>118 00</w:t>
      </w:r>
      <w:r>
        <w:rPr>
          <w:rFonts w:ascii="Arial" w:hAnsi="Arial" w:cs="Arial"/>
          <w:lang w:eastAsia="cs-CZ"/>
        </w:rPr>
        <w:t xml:space="preserve"> Praha 1- Malá Strana </w:t>
      </w:r>
    </w:p>
    <w:p w:rsidR="00BB2E82" w:rsidRPr="002D4E99" w:rsidP="00BB2E82" w14:paraId="5A47246D" w14:textId="77777777">
      <w:pPr>
        <w:tabs>
          <w:tab w:val="left" w:pos="0"/>
          <w:tab w:val="left" w:pos="2268"/>
        </w:tabs>
        <w:spacing w:after="120" w:line="240" w:lineRule="auto"/>
        <w:contextualSpacing/>
        <w:jc w:val="both"/>
        <w:rPr>
          <w:rFonts w:ascii="Arial" w:hAnsi="Arial" w:cs="Arial"/>
          <w:snapToGrid w:val="0"/>
          <w:lang w:eastAsia="cs-CZ"/>
        </w:rPr>
      </w:pPr>
      <w:r w:rsidRPr="002D4E99">
        <w:rPr>
          <w:rFonts w:ascii="Arial" w:hAnsi="Arial" w:cs="Arial"/>
          <w:lang w:eastAsia="cs-CZ"/>
        </w:rPr>
        <w:t>IČO:</w:t>
      </w:r>
      <w:r w:rsidRPr="002D4E99">
        <w:rPr>
          <w:rFonts w:ascii="Arial" w:hAnsi="Arial" w:cs="Arial"/>
          <w:lang w:eastAsia="cs-CZ"/>
        </w:rPr>
        <w:tab/>
        <w:t>00006599</w:t>
      </w:r>
    </w:p>
    <w:p w:rsidR="00BB2E82" w:rsidRPr="002D4E99" w:rsidP="00BB2E82" w14:paraId="764D4E86" w14:textId="77777777">
      <w:pPr>
        <w:tabs>
          <w:tab w:val="left" w:pos="0"/>
          <w:tab w:val="left" w:pos="2268"/>
        </w:tabs>
        <w:spacing w:after="120" w:line="240" w:lineRule="auto"/>
        <w:contextualSpacing/>
        <w:jc w:val="both"/>
        <w:rPr>
          <w:rFonts w:ascii="Arial" w:hAnsi="Arial" w:cs="Arial"/>
          <w:lang w:eastAsia="cs-CZ"/>
        </w:rPr>
      </w:pPr>
      <w:r w:rsidRPr="002D4E99">
        <w:rPr>
          <w:rFonts w:ascii="Arial" w:hAnsi="Arial" w:cs="Arial"/>
          <w:snapToGrid w:val="0"/>
          <w:lang w:eastAsia="cs-CZ"/>
        </w:rPr>
        <w:t>DIČ:</w:t>
      </w:r>
      <w:r w:rsidRPr="002D4E99">
        <w:rPr>
          <w:rFonts w:ascii="Arial" w:hAnsi="Arial" w:cs="Arial"/>
          <w:snapToGrid w:val="0"/>
          <w:lang w:eastAsia="cs-CZ"/>
        </w:rPr>
        <w:tab/>
        <w:t>CZ00006599</w:t>
      </w:r>
    </w:p>
    <w:p w:rsidR="00BB2E82" w:rsidP="006338E4" w14:paraId="0ECA5E39" w14:textId="77777777">
      <w:pPr>
        <w:tabs>
          <w:tab w:val="left" w:pos="0"/>
          <w:tab w:val="left" w:pos="2268"/>
        </w:tabs>
        <w:spacing w:after="0" w:line="240" w:lineRule="auto"/>
        <w:jc w:val="both"/>
        <w:rPr>
          <w:rFonts w:ascii="Arial" w:hAnsi="Arial" w:cs="Arial"/>
          <w:lang w:eastAsia="cs-CZ"/>
        </w:rPr>
      </w:pPr>
      <w:r w:rsidRPr="002D4E99">
        <w:rPr>
          <w:rFonts w:ascii="Arial" w:hAnsi="Arial" w:cs="Arial"/>
          <w:lang w:eastAsia="cs-CZ"/>
        </w:rPr>
        <w:t>bankovní spojení:</w:t>
      </w:r>
      <w:r w:rsidRPr="002D4E99">
        <w:rPr>
          <w:rFonts w:ascii="Arial" w:hAnsi="Arial" w:cs="Arial"/>
          <w:lang w:eastAsia="cs-CZ"/>
        </w:rPr>
        <w:tab/>
        <w:t>ČNB Praha, účet č.: 4320001/0710</w:t>
      </w:r>
    </w:p>
    <w:p w:rsidR="00BB2E82" w:rsidRPr="002D4E99" w:rsidP="00BB2E82" w14:paraId="3FD32A8A" w14:textId="4C0197AC">
      <w:pPr>
        <w:spacing w:after="240" w:line="240" w:lineRule="auto"/>
        <w:jc w:val="both"/>
        <w:rPr>
          <w:rFonts w:ascii="Arial" w:hAnsi="Arial" w:cs="Arial"/>
          <w:lang w:eastAsia="cs-CZ"/>
        </w:rPr>
      </w:pPr>
      <w:r w:rsidRPr="002D4E99">
        <w:rPr>
          <w:rFonts w:ascii="Arial" w:hAnsi="Arial" w:cs="Arial"/>
          <w:lang w:eastAsia="cs-CZ"/>
        </w:rPr>
        <w:t>(dále jen „</w:t>
      </w:r>
      <w:r w:rsidR="0091224F">
        <w:rPr>
          <w:rFonts w:ascii="Arial" w:hAnsi="Arial" w:cs="Arial"/>
          <w:b/>
          <w:lang w:eastAsia="cs-CZ"/>
        </w:rPr>
        <w:t>k</w:t>
      </w:r>
      <w:r w:rsidRPr="002D4E99">
        <w:rPr>
          <w:rFonts w:ascii="Arial" w:hAnsi="Arial" w:cs="Arial"/>
          <w:b/>
          <w:lang w:eastAsia="cs-CZ"/>
        </w:rPr>
        <w:t>upující</w:t>
      </w:r>
      <w:r w:rsidRPr="002D4E99">
        <w:rPr>
          <w:rFonts w:ascii="Arial" w:hAnsi="Arial" w:cs="Arial"/>
          <w:lang w:eastAsia="cs-CZ"/>
        </w:rPr>
        <w:t>“)</w:t>
      </w:r>
    </w:p>
    <w:p w:rsidR="00BB2E82" w:rsidRPr="002D4E99" w:rsidP="00BB2E82" w14:paraId="2313C388" w14:textId="77777777">
      <w:pPr>
        <w:spacing w:after="240" w:line="240" w:lineRule="auto"/>
        <w:jc w:val="both"/>
        <w:rPr>
          <w:rFonts w:ascii="Arial" w:hAnsi="Arial" w:cs="Arial"/>
          <w:lang w:eastAsia="cs-CZ"/>
        </w:rPr>
      </w:pPr>
      <w:r w:rsidRPr="002D4E99">
        <w:rPr>
          <w:rFonts w:ascii="Arial" w:hAnsi="Arial" w:cs="Arial"/>
          <w:lang w:eastAsia="cs-CZ"/>
        </w:rPr>
        <w:t>a</w:t>
      </w:r>
    </w:p>
    <w:p w:rsidR="00BB2E82" w:rsidRPr="002D4E99" w:rsidP="00BB2E82" w14:paraId="4840F240" w14:textId="296F912F">
      <w:pPr>
        <w:spacing w:after="240" w:line="240" w:lineRule="auto"/>
        <w:rPr>
          <w:rFonts w:ascii="Arial" w:hAnsi="Arial" w:cs="Arial"/>
          <w:b/>
        </w:rPr>
      </w:pPr>
      <w:r w:rsidRPr="003D3F65">
        <w:rPr>
          <w:rFonts w:ascii="Arial" w:hAnsi="Arial" w:cs="Arial"/>
          <w:b/>
        </w:rPr>
        <w:t>Data Force, s.r.o.</w:t>
      </w:r>
    </w:p>
    <w:p w:rsidR="00BB2E82" w:rsidRPr="002D4E99" w:rsidP="00BB2E82" w14:paraId="7E9A63C7" w14:textId="05492813">
      <w:pPr>
        <w:spacing w:after="240" w:line="240" w:lineRule="auto"/>
        <w:ind w:left="2127" w:hanging="2127"/>
        <w:contextualSpacing/>
        <w:rPr>
          <w:rFonts w:ascii="Arial" w:hAnsi="Arial" w:cs="Arial"/>
        </w:rPr>
      </w:pPr>
      <w:r w:rsidRPr="002D4E99">
        <w:rPr>
          <w:rFonts w:ascii="Arial" w:hAnsi="Arial" w:cs="Arial"/>
        </w:rPr>
        <w:t>kterou zastupuje:</w:t>
      </w:r>
      <w:r w:rsidRPr="002D4E99">
        <w:rPr>
          <w:rFonts w:ascii="Arial" w:hAnsi="Arial" w:cs="Arial"/>
        </w:rPr>
        <w:tab/>
      </w:r>
      <w:r w:rsidRPr="003D3F65" w:rsidR="003D3F65">
        <w:rPr>
          <w:rFonts w:ascii="Arial" w:hAnsi="Arial" w:cs="Arial"/>
        </w:rPr>
        <w:t xml:space="preserve">Jiří </w:t>
      </w:r>
      <w:r w:rsidRPr="003D3F65" w:rsidR="000E6440">
        <w:rPr>
          <w:rFonts w:ascii="Arial" w:hAnsi="Arial" w:cs="Arial"/>
        </w:rPr>
        <w:t>Turčányi, jednatel</w:t>
      </w:r>
      <w:r w:rsidRPr="002D4E99">
        <w:rPr>
          <w:rFonts w:ascii="Arial" w:hAnsi="Arial" w:cs="Arial"/>
        </w:rPr>
        <w:t xml:space="preserve"> </w:t>
      </w:r>
    </w:p>
    <w:p w:rsidR="00BB2E82" w:rsidRPr="002D4E99" w:rsidP="00BB2E82" w14:paraId="03F2C408" w14:textId="0E44A5BC">
      <w:pPr>
        <w:spacing w:after="240" w:line="240" w:lineRule="auto"/>
        <w:ind w:left="2127" w:hanging="2127"/>
        <w:contextualSpacing/>
        <w:rPr>
          <w:rFonts w:ascii="Arial" w:hAnsi="Arial" w:cs="Arial"/>
        </w:rPr>
      </w:pPr>
      <w:r w:rsidRPr="002D4E99">
        <w:rPr>
          <w:rFonts w:ascii="Arial" w:hAnsi="Arial" w:cs="Arial"/>
        </w:rPr>
        <w:t>kontaktní osoba:</w:t>
      </w:r>
      <w:r w:rsidRPr="002D4E99">
        <w:rPr>
          <w:rFonts w:ascii="Arial" w:hAnsi="Arial" w:cs="Arial"/>
        </w:rPr>
        <w:tab/>
      </w:r>
      <w:r w:rsidR="00EF5168">
        <w:rPr>
          <w:rFonts w:ascii="Arial" w:hAnsi="Arial" w:cs="Arial"/>
        </w:rPr>
        <w:t>XXXXXXX</w:t>
      </w:r>
      <w:r w:rsidRPr="003D3F65" w:rsidR="003D3F65">
        <w:rPr>
          <w:rFonts w:ascii="Arial" w:hAnsi="Arial" w:cs="Arial"/>
        </w:rPr>
        <w:t xml:space="preserve">, </w:t>
      </w:r>
      <w:r w:rsidRPr="003D3F65" w:rsidR="000E6440">
        <w:rPr>
          <w:rFonts w:ascii="Arial" w:hAnsi="Arial" w:cs="Arial"/>
        </w:rPr>
        <w:t xml:space="preserve">e-mail: </w:t>
      </w:r>
      <w:r w:rsidR="003D66B1">
        <w:rPr>
          <w:rFonts w:ascii="Arial" w:hAnsi="Arial" w:cs="Arial"/>
        </w:rPr>
        <w:t>XXXXXX</w:t>
      </w:r>
      <w:r w:rsidRPr="003D3F65" w:rsidR="003D3F65">
        <w:rPr>
          <w:rFonts w:ascii="Arial" w:hAnsi="Arial" w:cs="Arial"/>
        </w:rPr>
        <w:t xml:space="preserve">, tel.: </w:t>
      </w:r>
      <w:r w:rsidR="003D66B1">
        <w:rPr>
          <w:rFonts w:ascii="Arial" w:hAnsi="Arial" w:cs="Arial"/>
        </w:rPr>
        <w:t>XXXXXX</w:t>
      </w:r>
    </w:p>
    <w:p w:rsidR="00BB2E82" w:rsidRPr="002D4E99" w:rsidP="00BB2E82" w14:paraId="13570867" w14:textId="5E5B90F8">
      <w:pPr>
        <w:spacing w:after="240" w:line="240" w:lineRule="auto"/>
        <w:contextualSpacing/>
        <w:rPr>
          <w:rFonts w:ascii="Arial" w:hAnsi="Arial" w:cs="Arial"/>
        </w:rPr>
      </w:pPr>
      <w:r w:rsidRPr="002D4E99">
        <w:rPr>
          <w:rFonts w:ascii="Arial" w:hAnsi="Arial" w:cs="Arial"/>
        </w:rPr>
        <w:t>se sídlem:</w:t>
      </w:r>
      <w:r w:rsidRPr="002D4E99">
        <w:rPr>
          <w:rFonts w:ascii="Arial" w:hAnsi="Arial" w:cs="Arial"/>
        </w:rPr>
        <w:tab/>
      </w:r>
      <w:r w:rsidRPr="002D4E99">
        <w:rPr>
          <w:rFonts w:ascii="Arial" w:hAnsi="Arial" w:cs="Arial"/>
        </w:rPr>
        <w:tab/>
      </w:r>
      <w:r w:rsidRPr="003D3F65" w:rsidR="003D3F65">
        <w:rPr>
          <w:rFonts w:ascii="Arial" w:hAnsi="Arial" w:cs="Arial"/>
        </w:rPr>
        <w:t>Lužná 716/2, Praha 6, 160 00</w:t>
      </w:r>
    </w:p>
    <w:p w:rsidR="00BB2E82" w:rsidRPr="002D4E99" w:rsidP="00BB2E82" w14:paraId="0CEA1251" w14:textId="0D080542">
      <w:pPr>
        <w:spacing w:after="240" w:line="240" w:lineRule="auto"/>
        <w:contextualSpacing/>
        <w:rPr>
          <w:rFonts w:ascii="Arial" w:hAnsi="Arial" w:cs="Arial"/>
        </w:rPr>
      </w:pPr>
      <w:r w:rsidRPr="002D4E99">
        <w:rPr>
          <w:rFonts w:ascii="Arial" w:hAnsi="Arial" w:cs="Arial"/>
        </w:rPr>
        <w:t>IČO:</w:t>
      </w:r>
      <w:r w:rsidRPr="002D4E99">
        <w:rPr>
          <w:rFonts w:ascii="Arial" w:hAnsi="Arial" w:cs="Arial"/>
        </w:rPr>
        <w:tab/>
      </w:r>
      <w:r w:rsidRPr="002D4E99">
        <w:rPr>
          <w:rFonts w:ascii="Arial" w:hAnsi="Arial" w:cs="Arial"/>
        </w:rPr>
        <w:tab/>
      </w:r>
      <w:r w:rsidRPr="002D4E99">
        <w:rPr>
          <w:rFonts w:ascii="Arial" w:hAnsi="Arial" w:cs="Arial"/>
        </w:rPr>
        <w:tab/>
      </w:r>
      <w:r w:rsidRPr="003D3F65" w:rsidR="003D3F65">
        <w:rPr>
          <w:rFonts w:ascii="Arial" w:hAnsi="Arial" w:cs="Arial"/>
        </w:rPr>
        <w:t>02967171</w:t>
      </w:r>
    </w:p>
    <w:p w:rsidR="00BB2E82" w:rsidRPr="002D4E99" w:rsidP="00BB2E82" w14:paraId="0ACD5810" w14:textId="1969A79C">
      <w:pPr>
        <w:spacing w:after="240" w:line="240" w:lineRule="auto"/>
        <w:contextualSpacing/>
        <w:rPr>
          <w:rFonts w:ascii="Arial" w:hAnsi="Arial" w:cs="Arial"/>
        </w:rPr>
      </w:pPr>
      <w:r w:rsidRPr="002D4E99">
        <w:rPr>
          <w:rFonts w:ascii="Arial" w:hAnsi="Arial" w:cs="Arial"/>
        </w:rPr>
        <w:t>DIČ:</w:t>
      </w:r>
      <w:r w:rsidRPr="002D4E99">
        <w:rPr>
          <w:rFonts w:ascii="Arial" w:hAnsi="Arial" w:cs="Arial"/>
        </w:rPr>
        <w:tab/>
      </w:r>
      <w:r w:rsidRPr="002D4E99">
        <w:rPr>
          <w:rFonts w:ascii="Arial" w:hAnsi="Arial" w:cs="Arial"/>
        </w:rPr>
        <w:tab/>
      </w:r>
      <w:r w:rsidRPr="002D4E99">
        <w:rPr>
          <w:rFonts w:ascii="Arial" w:hAnsi="Arial" w:cs="Arial"/>
        </w:rPr>
        <w:tab/>
      </w:r>
      <w:r w:rsidRPr="003D3F65" w:rsidR="003D3F65">
        <w:rPr>
          <w:rFonts w:ascii="Arial" w:hAnsi="Arial" w:cs="Arial"/>
        </w:rPr>
        <w:t>CZ02967171</w:t>
      </w:r>
      <w:r w:rsidRPr="002D4E99">
        <w:rPr>
          <w:rFonts w:ascii="Arial" w:hAnsi="Arial" w:cs="Arial"/>
        </w:rPr>
        <w:t xml:space="preserve"> </w:t>
      </w:r>
    </w:p>
    <w:p w:rsidR="00BB2E82" w:rsidRPr="002D4E99" w:rsidP="00BB2E82" w14:paraId="02B81EDB" w14:textId="72397CE0">
      <w:pPr>
        <w:spacing w:after="240" w:line="240" w:lineRule="auto"/>
        <w:contextualSpacing/>
        <w:rPr>
          <w:rFonts w:ascii="Arial" w:hAnsi="Arial" w:cs="Arial"/>
        </w:rPr>
      </w:pPr>
      <w:r w:rsidRPr="002D4E99">
        <w:rPr>
          <w:rFonts w:ascii="Arial" w:hAnsi="Arial" w:cs="Arial"/>
        </w:rPr>
        <w:t>bankovní spojení:</w:t>
      </w:r>
      <w:r w:rsidRPr="002D4E99">
        <w:rPr>
          <w:rFonts w:ascii="Arial" w:hAnsi="Arial" w:cs="Arial"/>
        </w:rPr>
        <w:tab/>
      </w:r>
      <w:r w:rsidRPr="003D3F65" w:rsidR="003D3F65">
        <w:rPr>
          <w:rFonts w:ascii="Arial" w:hAnsi="Arial" w:cs="Arial"/>
        </w:rPr>
        <w:t>ČSOB a.s., účet č.: 264817081/0300</w:t>
      </w:r>
    </w:p>
    <w:p w:rsidR="00BB2E82" w:rsidRPr="002D4E99" w:rsidP="00BB2E82" w14:paraId="6C845E25" w14:textId="70D2E6EC">
      <w:pPr>
        <w:spacing w:after="120" w:line="240" w:lineRule="auto"/>
        <w:jc w:val="both"/>
        <w:rPr>
          <w:rFonts w:ascii="Arial" w:eastAsia="Times New Roman" w:hAnsi="Arial" w:cs="Arial"/>
          <w:lang w:eastAsia="cs-CZ"/>
        </w:rPr>
      </w:pPr>
      <w:r w:rsidRPr="002D4E99">
        <w:rPr>
          <w:rFonts w:ascii="Arial" w:hAnsi="Arial" w:cs="Arial"/>
        </w:rPr>
        <w:t>společnost je zapsaná v Obchodním rejstříku vedeném</w:t>
      </w:r>
      <w:r w:rsidRPr="003D3F65" w:rsidR="003D3F65">
        <w:t xml:space="preserve"> </w:t>
      </w:r>
      <w:r w:rsidRPr="003D3F65" w:rsidR="003D3F65">
        <w:rPr>
          <w:rFonts w:ascii="Arial" w:hAnsi="Arial" w:cs="Arial"/>
        </w:rPr>
        <w:t>Městským soudem v Praze, oddíl C, vložka č. 225785</w:t>
      </w:r>
    </w:p>
    <w:p w:rsidR="00BB2E82" w:rsidP="00BB2E82" w14:paraId="2D1CA030" w14:textId="258C0E53">
      <w:pPr>
        <w:spacing w:after="360" w:line="240" w:lineRule="auto"/>
        <w:jc w:val="both"/>
        <w:rPr>
          <w:rFonts w:ascii="Arial" w:hAnsi="Arial" w:cs="Arial"/>
          <w:lang w:eastAsia="cs-CZ"/>
        </w:rPr>
      </w:pPr>
      <w:r w:rsidRPr="002D4E99">
        <w:rPr>
          <w:rFonts w:ascii="Arial" w:hAnsi="Arial" w:cs="Arial"/>
          <w:lang w:eastAsia="cs-CZ"/>
        </w:rPr>
        <w:t>(dále jen „</w:t>
      </w:r>
      <w:r w:rsidR="0091224F">
        <w:rPr>
          <w:rFonts w:ascii="Arial" w:hAnsi="Arial" w:cs="Arial"/>
          <w:b/>
          <w:lang w:eastAsia="cs-CZ"/>
        </w:rPr>
        <w:t>p</w:t>
      </w:r>
      <w:r w:rsidRPr="002D4E99">
        <w:rPr>
          <w:rFonts w:ascii="Arial" w:hAnsi="Arial" w:cs="Arial"/>
          <w:b/>
          <w:lang w:eastAsia="cs-CZ"/>
        </w:rPr>
        <w:t>rodávající</w:t>
      </w:r>
      <w:r w:rsidRPr="002D4E99">
        <w:rPr>
          <w:rFonts w:ascii="Arial" w:hAnsi="Arial" w:cs="Arial"/>
          <w:lang w:eastAsia="cs-CZ"/>
        </w:rPr>
        <w:t>“)</w:t>
      </w:r>
    </w:p>
    <w:p w:rsidR="00DD2BD3" w:rsidRPr="00932064" w:rsidP="00932064" w14:paraId="04B930BE" w14:textId="6761DF66">
      <w:pPr>
        <w:spacing w:after="0" w:line="240" w:lineRule="auto"/>
        <w:jc w:val="both"/>
        <w:rPr>
          <w:rFonts w:ascii="Arial" w:eastAsia="Times New Roman" w:hAnsi="Arial" w:cs="Arial"/>
          <w:szCs w:val="20"/>
          <w:lang w:eastAsia="cs-CZ"/>
        </w:rPr>
      </w:pPr>
      <w:r w:rsidRPr="006338E4">
        <w:rPr>
          <w:rFonts w:ascii="Arial" w:eastAsia="Times New Roman" w:hAnsi="Arial" w:cs="Arial"/>
          <w:szCs w:val="20"/>
          <w:lang w:eastAsia="cs-CZ"/>
        </w:rPr>
        <w:t xml:space="preserve">uzavřely na základě rozhodnutí </w:t>
      </w:r>
      <w:r w:rsidR="009A1460">
        <w:rPr>
          <w:rFonts w:ascii="Arial" w:eastAsia="Times New Roman" w:hAnsi="Arial" w:cs="Arial"/>
          <w:szCs w:val="20"/>
          <w:lang w:eastAsia="cs-CZ"/>
        </w:rPr>
        <w:t>z</w:t>
      </w:r>
      <w:r w:rsidRPr="006338E4">
        <w:rPr>
          <w:rFonts w:ascii="Arial" w:eastAsia="Times New Roman" w:hAnsi="Arial" w:cs="Arial"/>
          <w:szCs w:val="20"/>
          <w:lang w:eastAsia="cs-CZ"/>
        </w:rPr>
        <w:t>adavatele o výběru dodavatele v zadávacím říze</w:t>
      </w:r>
      <w:r w:rsidR="006B7CC2">
        <w:rPr>
          <w:rFonts w:ascii="Arial" w:eastAsia="Times New Roman" w:hAnsi="Arial" w:cs="Arial"/>
          <w:szCs w:val="20"/>
          <w:lang w:eastAsia="cs-CZ"/>
        </w:rPr>
        <w:t>ní na veřejnou zakázku na dodávky</w:t>
      </w:r>
      <w:r w:rsidRPr="006338E4">
        <w:rPr>
          <w:rFonts w:ascii="Arial" w:eastAsia="Times New Roman" w:hAnsi="Arial" w:cs="Arial"/>
          <w:szCs w:val="20"/>
          <w:lang w:eastAsia="cs-CZ"/>
        </w:rPr>
        <w:t xml:space="preserve"> s názvem </w:t>
      </w:r>
      <w:r w:rsidRPr="006338E4">
        <w:rPr>
          <w:rFonts w:ascii="Arial" w:eastAsia="Times New Roman" w:hAnsi="Arial" w:cs="Arial"/>
          <w:lang w:eastAsia="cs-CZ"/>
        </w:rPr>
        <w:t>„</w:t>
      </w:r>
      <w:r w:rsidRPr="00C344C0" w:rsidR="00C344C0">
        <w:rPr>
          <w:rFonts w:ascii="Arial" w:eastAsia="Times New Roman" w:hAnsi="Arial" w:cs="Arial"/>
          <w:b/>
          <w:bCs/>
          <w:iCs/>
          <w:lang w:eastAsia="cs-CZ"/>
        </w:rPr>
        <w:t>Zakoupení deduplikačního diskového úložiště včetně pětileté servisní podpory, instalace a nastavení ve vnitřní síti LAN ÚVČR</w:t>
      </w:r>
      <w:r w:rsidR="001773ED">
        <w:rPr>
          <w:rFonts w:ascii="Arial" w:eastAsia="Times New Roman" w:hAnsi="Arial" w:cs="Arial"/>
          <w:szCs w:val="20"/>
          <w:lang w:eastAsia="cs-CZ"/>
        </w:rPr>
        <w:t xml:space="preserve">“  </w:t>
      </w:r>
      <w:r w:rsidR="006B7CC2">
        <w:rPr>
          <w:rFonts w:ascii="Arial" w:eastAsia="Times New Roman" w:hAnsi="Arial" w:cs="Arial"/>
          <w:szCs w:val="20"/>
          <w:lang w:eastAsia="cs-CZ"/>
        </w:rPr>
        <w:t xml:space="preserve">(dále jen „veřejná zakázka“), </w:t>
      </w:r>
      <w:r w:rsidRPr="006338E4">
        <w:rPr>
          <w:rFonts w:ascii="Arial" w:eastAsia="Times New Roman" w:hAnsi="Arial" w:cs="Arial"/>
          <w:szCs w:val="20"/>
          <w:lang w:eastAsia="cs-CZ"/>
        </w:rPr>
        <w:t>zadávanou v otevřeném nadlimitním řízení podle § 56 zákona č. 134/2016 Sb., o zadávání veřejných zakázek, ve znění pozdějších předpisů (dále jen „</w:t>
      </w:r>
      <w:r w:rsidRPr="006338E4">
        <w:rPr>
          <w:rFonts w:ascii="Arial" w:eastAsia="Times New Roman" w:hAnsi="Arial" w:cs="Arial"/>
          <w:b/>
          <w:szCs w:val="20"/>
          <w:lang w:eastAsia="cs-CZ"/>
        </w:rPr>
        <w:t>ZZVZ</w:t>
      </w:r>
      <w:r w:rsidR="006B7CC2">
        <w:rPr>
          <w:rFonts w:ascii="Arial" w:eastAsia="Times New Roman" w:hAnsi="Arial" w:cs="Arial"/>
          <w:szCs w:val="20"/>
          <w:lang w:eastAsia="cs-CZ"/>
        </w:rPr>
        <w:t xml:space="preserve">“), sp. zn. </w:t>
      </w:r>
      <w:r w:rsidRPr="00C447E2" w:rsidR="00C447E2">
        <w:rPr>
          <w:rFonts w:ascii="Arial" w:eastAsia="Calibri" w:hAnsi="Arial" w:cs="Arial"/>
          <w:lang w:eastAsia="cs-CZ"/>
        </w:rPr>
        <w:t>SPIS-2025-2909</w:t>
      </w:r>
      <w:r w:rsidR="00C447E2">
        <w:rPr>
          <w:rFonts w:ascii="Arial" w:eastAsia="Calibri" w:hAnsi="Arial" w:cs="Arial"/>
          <w:lang w:eastAsia="cs-CZ"/>
        </w:rPr>
        <w:t xml:space="preserve"> </w:t>
      </w:r>
      <w:r w:rsidR="006B7CC2">
        <w:rPr>
          <w:rFonts w:ascii="Arial" w:eastAsia="Times New Roman" w:hAnsi="Arial" w:cs="Arial"/>
          <w:szCs w:val="20"/>
          <w:lang w:eastAsia="cs-CZ"/>
        </w:rPr>
        <w:t xml:space="preserve">ve smyslu </w:t>
      </w:r>
      <w:r w:rsidRPr="006338E4">
        <w:rPr>
          <w:rFonts w:ascii="Arial" w:eastAsia="Times New Roman" w:hAnsi="Arial" w:cs="Arial"/>
          <w:szCs w:val="20"/>
          <w:lang w:eastAsia="cs-CZ"/>
        </w:rPr>
        <w:t xml:space="preserve">podmínek a ustanovení uvedených v kompletní zadávací dokumentaci a v souladu s nabídkou </w:t>
      </w:r>
      <w:r w:rsidR="009A1460">
        <w:rPr>
          <w:rFonts w:ascii="Arial" w:eastAsia="Times New Roman" w:hAnsi="Arial" w:cs="Arial"/>
          <w:szCs w:val="20"/>
          <w:lang w:eastAsia="cs-CZ"/>
        </w:rPr>
        <w:t>p</w:t>
      </w:r>
      <w:r w:rsidR="006B7CC2">
        <w:rPr>
          <w:rFonts w:ascii="Arial" w:eastAsia="Times New Roman" w:hAnsi="Arial" w:cs="Arial"/>
          <w:szCs w:val="20"/>
          <w:lang w:eastAsia="cs-CZ"/>
        </w:rPr>
        <w:t>rodávajícího</w:t>
      </w:r>
      <w:r w:rsidRPr="006338E4">
        <w:rPr>
          <w:rFonts w:ascii="Arial" w:eastAsia="Times New Roman" w:hAnsi="Arial" w:cs="Arial"/>
          <w:szCs w:val="20"/>
          <w:lang w:eastAsia="cs-CZ"/>
        </w:rPr>
        <w:t xml:space="preserve"> níže uvedeného dne, měsíce a roku v souladu s § 2586 a násl. ob</w:t>
      </w:r>
      <w:r w:rsidR="006B7CC2">
        <w:rPr>
          <w:rFonts w:ascii="Arial" w:eastAsia="Times New Roman" w:hAnsi="Arial" w:cs="Arial"/>
          <w:szCs w:val="20"/>
          <w:lang w:eastAsia="cs-CZ"/>
        </w:rPr>
        <w:t>čanského zákoníku kupní smlouvu</w:t>
      </w:r>
      <w:r w:rsidRPr="006338E4">
        <w:rPr>
          <w:rFonts w:ascii="Arial" w:eastAsia="Times New Roman" w:hAnsi="Arial" w:cs="Arial"/>
          <w:szCs w:val="20"/>
          <w:lang w:eastAsia="cs-CZ"/>
        </w:rPr>
        <w:t xml:space="preserve"> (dále jen „</w:t>
      </w:r>
      <w:r w:rsidR="00A85050">
        <w:rPr>
          <w:rFonts w:ascii="Arial" w:eastAsia="Times New Roman" w:hAnsi="Arial" w:cs="Arial"/>
          <w:szCs w:val="20"/>
          <w:lang w:eastAsia="cs-CZ"/>
        </w:rPr>
        <w:t>s</w:t>
      </w:r>
      <w:r w:rsidRPr="006338E4">
        <w:rPr>
          <w:rFonts w:ascii="Arial" w:eastAsia="Times New Roman" w:hAnsi="Arial" w:cs="Arial"/>
          <w:szCs w:val="20"/>
          <w:lang w:eastAsia="cs-CZ"/>
        </w:rPr>
        <w:t xml:space="preserve">mlouva“). </w:t>
      </w:r>
    </w:p>
    <w:p w:rsidR="00BB2E82" w:rsidRPr="002D4E99" w:rsidP="00BB2E82" w14:paraId="75C702E6" w14:textId="77777777">
      <w:pPr>
        <w:spacing w:before="360" w:after="120" w:line="20" w:lineRule="atLeast"/>
        <w:jc w:val="center"/>
        <w:outlineLvl w:val="3"/>
        <w:rPr>
          <w:rFonts w:ascii="Arial" w:hAnsi="Arial" w:cs="Arial"/>
          <w:b/>
        </w:rPr>
      </w:pPr>
      <w:r w:rsidRPr="002D4E99">
        <w:rPr>
          <w:rFonts w:ascii="Arial" w:hAnsi="Arial" w:cs="Arial"/>
          <w:b/>
        </w:rPr>
        <w:t>Článek I.</w:t>
      </w:r>
      <w:r w:rsidRPr="002D4E99">
        <w:rPr>
          <w:rFonts w:ascii="Arial" w:hAnsi="Arial" w:cs="Arial"/>
          <w:b/>
        </w:rPr>
        <w:br/>
        <w:t>Předmět smlouvy</w:t>
      </w:r>
    </w:p>
    <w:p w:rsidR="00AC46AA" w:rsidRPr="00792165" w:rsidP="00AC46AA" w14:paraId="2280C4E5" w14:textId="7EF56A6E">
      <w:pPr>
        <w:pStyle w:val="ListParagraph"/>
        <w:numPr>
          <w:ilvl w:val="0"/>
          <w:numId w:val="5"/>
        </w:numPr>
        <w:tabs>
          <w:tab w:val="clear" w:pos="360"/>
        </w:tabs>
        <w:spacing w:after="120" w:line="240" w:lineRule="auto"/>
        <w:ind w:left="426" w:hanging="426"/>
        <w:contextualSpacing w:val="0"/>
        <w:jc w:val="both"/>
        <w:rPr>
          <w:rFonts w:ascii="Arial" w:hAnsi="Arial" w:cs="Arial"/>
        </w:rPr>
      </w:pPr>
      <w:r w:rsidRPr="00792165">
        <w:rPr>
          <w:rFonts w:ascii="Arial" w:hAnsi="Arial" w:cs="Arial"/>
        </w:rPr>
        <w:t xml:space="preserve">Předmětem této smlouvy je závazek prodávajícího dodat kupujícímu řádně, ve sjednaném termínu, na sjednané místo a v požadované kvalitě </w:t>
      </w:r>
      <w:r w:rsidRPr="001D14C9">
        <w:rPr>
          <w:rFonts w:ascii="Arial" w:hAnsi="Arial" w:cs="Arial"/>
          <w:b/>
        </w:rPr>
        <w:t>1 ks ded</w:t>
      </w:r>
      <w:r>
        <w:rPr>
          <w:rFonts w:ascii="Arial" w:hAnsi="Arial" w:cs="Arial"/>
          <w:b/>
        </w:rPr>
        <w:t xml:space="preserve">uplikačního diskového uložiště </w:t>
      </w:r>
      <w:r w:rsidRPr="001D14C9">
        <w:rPr>
          <w:rFonts w:ascii="Arial" w:hAnsi="Arial" w:cs="Arial"/>
        </w:rPr>
        <w:t>(dále jen „zboží“)</w:t>
      </w:r>
      <w:r>
        <w:rPr>
          <w:rFonts w:ascii="Arial" w:hAnsi="Arial" w:cs="Arial"/>
        </w:rPr>
        <w:t>, jehož detailní specifikace je</w:t>
      </w:r>
      <w:r w:rsidRPr="001D14C9">
        <w:rPr>
          <w:rFonts w:ascii="Arial" w:hAnsi="Arial" w:cs="Arial"/>
          <w:b/>
        </w:rPr>
        <w:t xml:space="preserve"> </w:t>
      </w:r>
      <w:r>
        <w:rPr>
          <w:rFonts w:ascii="Arial" w:hAnsi="Arial" w:cs="Arial"/>
        </w:rPr>
        <w:t>uvedena</w:t>
      </w:r>
      <w:r w:rsidRPr="003D743F">
        <w:rPr>
          <w:rFonts w:ascii="Arial" w:hAnsi="Arial" w:cs="Arial"/>
        </w:rPr>
        <w:t xml:space="preserve"> v příloze č. 1 této smlouvy, včetně </w:t>
      </w:r>
      <w:r w:rsidRPr="0026563C">
        <w:rPr>
          <w:rFonts w:ascii="Arial" w:hAnsi="Arial" w:cs="Arial"/>
        </w:rPr>
        <w:t>poskytnutí záruky a servis</w:t>
      </w:r>
      <w:r w:rsidRPr="0026563C" w:rsidR="006E2A62">
        <w:rPr>
          <w:rFonts w:ascii="Arial" w:hAnsi="Arial" w:cs="Arial"/>
        </w:rPr>
        <w:t>ní podpory</w:t>
      </w:r>
      <w:r w:rsidRPr="0026563C">
        <w:rPr>
          <w:rFonts w:ascii="Arial" w:hAnsi="Arial" w:cs="Arial"/>
        </w:rPr>
        <w:t xml:space="preserve"> na dobu 60</w:t>
      </w:r>
      <w:r w:rsidRPr="0026563C">
        <w:rPr>
          <w:rFonts w:ascii="Arial" w:hAnsi="Arial" w:cs="Arial"/>
          <w:bCs/>
        </w:rPr>
        <w:t xml:space="preserve"> </w:t>
      </w:r>
      <w:r w:rsidRPr="0026563C">
        <w:rPr>
          <w:rFonts w:ascii="Arial" w:hAnsi="Arial" w:cs="Arial"/>
        </w:rPr>
        <w:t>měsíců</w:t>
      </w:r>
      <w:r w:rsidRPr="003D743F">
        <w:rPr>
          <w:rFonts w:ascii="Arial" w:hAnsi="Arial" w:cs="Arial"/>
        </w:rPr>
        <w:t xml:space="preserve">, instalační a konfigurační práce, migrace dat a </w:t>
      </w:r>
      <w:r>
        <w:rPr>
          <w:rFonts w:ascii="Arial" w:hAnsi="Arial" w:cs="Arial"/>
        </w:rPr>
        <w:t>nastavení</w:t>
      </w:r>
      <w:r w:rsidRPr="003D743F">
        <w:rPr>
          <w:rFonts w:ascii="Arial" w:hAnsi="Arial" w:cs="Arial"/>
        </w:rPr>
        <w:t xml:space="preserve"> replikace mezi stávaj</w:t>
      </w:r>
      <w:r>
        <w:rPr>
          <w:rFonts w:ascii="Arial" w:hAnsi="Arial" w:cs="Arial"/>
        </w:rPr>
        <w:t>ícím a novým diskovým úložištěm.</w:t>
      </w:r>
    </w:p>
    <w:p w:rsidR="001D2F86" w:rsidP="001D2F86" w14:paraId="6AF7CF5B" w14:textId="77777777">
      <w:pPr>
        <w:numPr>
          <w:ilvl w:val="0"/>
          <w:numId w:val="5"/>
        </w:numPr>
        <w:tabs>
          <w:tab w:val="clear" w:pos="360"/>
          <w:tab w:val="num" w:pos="426"/>
        </w:tabs>
        <w:spacing w:after="120" w:line="20" w:lineRule="atLeast"/>
        <w:ind w:left="426" w:hanging="426"/>
        <w:jc w:val="both"/>
        <w:rPr>
          <w:rFonts w:ascii="Arial" w:hAnsi="Arial" w:cs="Arial"/>
        </w:rPr>
      </w:pPr>
      <w:r w:rsidRPr="000039A9">
        <w:rPr>
          <w:rFonts w:ascii="Arial" w:hAnsi="Arial" w:cs="Arial"/>
        </w:rPr>
        <w:t>Předmětem této smlouvy je dále závazek kupujícího převzít řádně a včas poskytnuté zboží a zaplatit za něj sjednanou cenu podle podmínek v této smlouvě.</w:t>
      </w:r>
    </w:p>
    <w:p w:rsidR="00AC46AA" w:rsidP="00C447E2" w14:paraId="576A286B" w14:textId="77777777">
      <w:pPr>
        <w:pStyle w:val="ListParagraph"/>
        <w:numPr>
          <w:ilvl w:val="0"/>
          <w:numId w:val="5"/>
        </w:numPr>
        <w:tabs>
          <w:tab w:val="clear" w:pos="360"/>
        </w:tabs>
        <w:spacing w:after="120" w:line="240" w:lineRule="auto"/>
        <w:ind w:left="426" w:hanging="426"/>
        <w:contextualSpacing w:val="0"/>
        <w:jc w:val="both"/>
        <w:rPr>
          <w:rFonts w:ascii="Arial" w:hAnsi="Arial" w:cs="Arial"/>
        </w:rPr>
      </w:pPr>
      <w:r w:rsidRPr="00CE01F5">
        <w:rPr>
          <w:rFonts w:ascii="Arial" w:hAnsi="Arial" w:cs="Arial"/>
        </w:rPr>
        <w:t xml:space="preserve">Prodávající je povinen dodat kupujícímu </w:t>
      </w:r>
      <w:r>
        <w:rPr>
          <w:rFonts w:ascii="Arial" w:hAnsi="Arial" w:cs="Arial"/>
        </w:rPr>
        <w:t>zboží</w:t>
      </w:r>
      <w:r w:rsidRPr="00CE01F5">
        <w:rPr>
          <w:rFonts w:ascii="Arial" w:hAnsi="Arial" w:cs="Arial"/>
        </w:rPr>
        <w:t xml:space="preserve"> pouze jako nové a nepoužité zboží. Prodávající není oprávněn dodat </w:t>
      </w:r>
      <w:r>
        <w:rPr>
          <w:rFonts w:ascii="Arial" w:hAnsi="Arial" w:cs="Arial"/>
        </w:rPr>
        <w:t>zboží</w:t>
      </w:r>
      <w:r w:rsidRPr="00CE01F5">
        <w:rPr>
          <w:rFonts w:ascii="Arial" w:hAnsi="Arial" w:cs="Arial"/>
        </w:rPr>
        <w:t xml:space="preserve"> </w:t>
      </w:r>
      <w:r>
        <w:rPr>
          <w:rFonts w:ascii="Arial" w:hAnsi="Arial" w:cs="Arial"/>
        </w:rPr>
        <w:t xml:space="preserve">jako </w:t>
      </w:r>
      <w:r w:rsidRPr="00CE01F5">
        <w:rPr>
          <w:rFonts w:ascii="Arial" w:hAnsi="Arial" w:cs="Arial"/>
        </w:rPr>
        <w:t>použité, nebo repasované (renovované).</w:t>
      </w:r>
    </w:p>
    <w:p w:rsidR="00AC46AA" w:rsidRPr="00AC46AA" w:rsidP="00C447E2" w14:paraId="65D6BC10" w14:textId="3BD5049C">
      <w:pPr>
        <w:pStyle w:val="ListParagraph"/>
        <w:numPr>
          <w:ilvl w:val="0"/>
          <w:numId w:val="5"/>
        </w:numPr>
        <w:tabs>
          <w:tab w:val="clear" w:pos="360"/>
        </w:tabs>
        <w:spacing w:after="120" w:line="240" w:lineRule="auto"/>
        <w:ind w:left="426" w:hanging="426"/>
        <w:contextualSpacing w:val="0"/>
        <w:jc w:val="both"/>
        <w:rPr>
          <w:rFonts w:ascii="Arial" w:hAnsi="Arial" w:cs="Arial"/>
        </w:rPr>
      </w:pPr>
      <w:r w:rsidRPr="00B447CB">
        <w:rPr>
          <w:rFonts w:ascii="Arial" w:hAnsi="Arial" w:cs="Arial"/>
        </w:rPr>
        <w:t>Prodávající je povinen provést i činnosti, které nejsou v tét</w:t>
      </w:r>
      <w:r>
        <w:rPr>
          <w:rFonts w:ascii="Arial" w:hAnsi="Arial" w:cs="Arial"/>
        </w:rPr>
        <w:t xml:space="preserve">o smlouvě výslovně uvedeny, ale </w:t>
      </w:r>
      <w:r w:rsidRPr="00B447CB">
        <w:rPr>
          <w:rFonts w:ascii="Arial" w:hAnsi="Arial" w:cs="Arial"/>
        </w:rPr>
        <w:t xml:space="preserve">prodávající jakožto odborník o nich ví nebo má vědět, že jsou nezbytné pro plnění </w:t>
      </w:r>
      <w:r>
        <w:rPr>
          <w:rFonts w:ascii="Arial" w:hAnsi="Arial" w:cs="Arial"/>
        </w:rPr>
        <w:t xml:space="preserve">týkající se </w:t>
      </w:r>
      <w:r w:rsidRPr="00B447CB">
        <w:rPr>
          <w:rFonts w:ascii="Arial" w:hAnsi="Arial" w:cs="Arial"/>
        </w:rPr>
        <w:t>části předmětu smlouvy v souladu s platnými právními a ostatními předpisy.</w:t>
      </w:r>
    </w:p>
    <w:p w:rsidR="001D2F86" w:rsidRPr="005C3D14" w:rsidP="001D2F86" w14:paraId="3FDACC5F" w14:textId="77777777">
      <w:pPr>
        <w:numPr>
          <w:ilvl w:val="0"/>
          <w:numId w:val="5"/>
        </w:numPr>
        <w:tabs>
          <w:tab w:val="clear" w:pos="360"/>
          <w:tab w:val="num" w:pos="426"/>
        </w:tabs>
        <w:spacing w:after="120" w:line="20" w:lineRule="atLeast"/>
        <w:ind w:left="426" w:hanging="426"/>
        <w:jc w:val="both"/>
        <w:rPr>
          <w:rFonts w:ascii="Arial" w:hAnsi="Arial" w:cs="Arial"/>
        </w:rPr>
      </w:pPr>
      <w:r w:rsidRPr="005C3D14">
        <w:rPr>
          <w:rFonts w:ascii="Arial" w:hAnsi="Arial" w:cs="Arial"/>
        </w:rPr>
        <w:t>Prodávající odpovídá za to, že veškeré zboží dle této smlouvy:</w:t>
      </w:r>
    </w:p>
    <w:p w:rsidR="001D2F86" w:rsidRPr="005C3D14" w:rsidP="001D2F86" w14:paraId="47DF2B28" w14:textId="77777777">
      <w:pPr>
        <w:numPr>
          <w:ilvl w:val="1"/>
          <w:numId w:val="7"/>
        </w:numPr>
        <w:tabs>
          <w:tab w:val="num" w:pos="851"/>
        </w:tabs>
        <w:spacing w:after="120" w:line="20" w:lineRule="atLeast"/>
        <w:ind w:left="851" w:hanging="425"/>
        <w:contextualSpacing/>
        <w:jc w:val="both"/>
        <w:rPr>
          <w:rFonts w:ascii="Arial" w:hAnsi="Arial" w:cs="Arial"/>
        </w:rPr>
      </w:pPr>
      <w:r w:rsidRPr="005C3D14">
        <w:rPr>
          <w:rFonts w:ascii="Arial" w:hAnsi="Arial" w:cs="Arial"/>
        </w:rPr>
        <w:t>pochází z autorizovaného obchodního kanálu výrobce,</w:t>
      </w:r>
    </w:p>
    <w:p w:rsidR="001D2F86" w:rsidRPr="005C3D14" w:rsidP="001D2F86" w14:paraId="578784C8" w14:textId="77777777">
      <w:pPr>
        <w:numPr>
          <w:ilvl w:val="1"/>
          <w:numId w:val="7"/>
        </w:numPr>
        <w:tabs>
          <w:tab w:val="num" w:pos="851"/>
        </w:tabs>
        <w:spacing w:after="120" w:line="20" w:lineRule="atLeast"/>
        <w:ind w:left="851" w:hanging="425"/>
        <w:contextualSpacing/>
        <w:jc w:val="both"/>
        <w:rPr>
          <w:rFonts w:ascii="Arial" w:hAnsi="Arial" w:cs="Arial"/>
        </w:rPr>
      </w:pPr>
      <w:r w:rsidRPr="005C3D14">
        <w:rPr>
          <w:rFonts w:ascii="Arial" w:hAnsi="Arial" w:cs="Arial"/>
        </w:rPr>
        <w:t>je registrováno a licencováno u výrobce na jméno kupujícího,</w:t>
      </w:r>
    </w:p>
    <w:p w:rsidR="00AC46AA" w:rsidP="001D2F86" w14:paraId="77BAF644" w14:textId="77777777">
      <w:pPr>
        <w:numPr>
          <w:ilvl w:val="1"/>
          <w:numId w:val="7"/>
        </w:numPr>
        <w:tabs>
          <w:tab w:val="num" w:pos="851"/>
        </w:tabs>
        <w:spacing w:after="120" w:line="20" w:lineRule="atLeast"/>
        <w:ind w:left="851" w:hanging="425"/>
        <w:contextualSpacing/>
        <w:jc w:val="both"/>
        <w:rPr>
          <w:rFonts w:ascii="Arial" w:hAnsi="Arial" w:cs="Arial"/>
        </w:rPr>
      </w:pPr>
      <w:r w:rsidRPr="005C3D14">
        <w:rPr>
          <w:rFonts w:ascii="Arial" w:hAnsi="Arial" w:cs="Arial"/>
        </w:rPr>
        <w:t>nachází se v oblasti Evropské unie v souladu s pravidly Evropské unie o paralelním trhu</w:t>
      </w:r>
      <w:r>
        <w:rPr>
          <w:rFonts w:ascii="Arial" w:hAnsi="Arial" w:cs="Arial"/>
        </w:rPr>
        <w:t>,</w:t>
      </w:r>
    </w:p>
    <w:p w:rsidR="001D2F86" w:rsidRPr="00654F1A" w:rsidP="00654F1A" w14:paraId="3CCA934F" w14:textId="6123A0F0">
      <w:pPr>
        <w:numPr>
          <w:ilvl w:val="1"/>
          <w:numId w:val="7"/>
        </w:numPr>
        <w:tabs>
          <w:tab w:val="num" w:pos="851"/>
        </w:tabs>
        <w:spacing w:after="120" w:line="20" w:lineRule="atLeast"/>
        <w:ind w:left="851" w:hanging="425"/>
        <w:contextualSpacing/>
        <w:jc w:val="both"/>
        <w:rPr>
          <w:rFonts w:ascii="Arial" w:hAnsi="Arial" w:cs="Arial"/>
        </w:rPr>
      </w:pPr>
      <w:r w:rsidRPr="00AC46AA">
        <w:rPr>
          <w:rFonts w:ascii="Arial" w:hAnsi="Arial" w:cs="Arial"/>
        </w:rPr>
        <w:t>kupující bude uveden v databázi výrobce jako konečný uživatel.</w:t>
      </w:r>
    </w:p>
    <w:p w:rsidR="00BB2E82" w:rsidRPr="002D4E99" w:rsidP="00BB2E82" w14:paraId="42820435" w14:textId="77777777">
      <w:pPr>
        <w:spacing w:before="360" w:after="120" w:line="20" w:lineRule="atLeast"/>
        <w:jc w:val="center"/>
        <w:outlineLvl w:val="3"/>
        <w:rPr>
          <w:rFonts w:ascii="Arial" w:hAnsi="Arial" w:cs="Arial"/>
          <w:b/>
        </w:rPr>
      </w:pPr>
      <w:r w:rsidRPr="002D4E99">
        <w:rPr>
          <w:rFonts w:ascii="Arial" w:hAnsi="Arial" w:cs="Arial"/>
          <w:b/>
        </w:rPr>
        <w:t>Článek II.</w:t>
      </w:r>
      <w:r w:rsidRPr="002D4E99">
        <w:rPr>
          <w:rFonts w:ascii="Arial" w:hAnsi="Arial" w:cs="Arial"/>
          <w:b/>
        </w:rPr>
        <w:br/>
        <w:t>Doba a místo plnění, předání zboží</w:t>
      </w:r>
    </w:p>
    <w:p w:rsidR="009E0F92" w:rsidRPr="009E0F92" w:rsidP="006E4299" w14:paraId="10E83C2D" w14:textId="48CBD08B">
      <w:pPr>
        <w:numPr>
          <w:ilvl w:val="0"/>
          <w:numId w:val="6"/>
        </w:numPr>
        <w:spacing w:after="120" w:line="240" w:lineRule="auto"/>
        <w:jc w:val="both"/>
        <w:rPr>
          <w:rFonts w:ascii="Arial" w:hAnsi="Arial" w:cs="Arial"/>
          <w:bCs/>
        </w:rPr>
      </w:pPr>
      <w:r w:rsidRPr="009E0F92">
        <w:rPr>
          <w:rFonts w:ascii="Arial" w:hAnsi="Arial" w:cs="Arial"/>
          <w:bCs/>
        </w:rPr>
        <w:t>Prodávající dodá kupujícímu</w:t>
      </w:r>
      <w:r w:rsidR="005C3D14">
        <w:rPr>
          <w:rFonts w:ascii="Arial" w:hAnsi="Arial" w:cs="Arial"/>
          <w:bCs/>
        </w:rPr>
        <w:t xml:space="preserve"> zboží ve stanoveném množství,</w:t>
      </w:r>
      <w:r w:rsidRPr="009E0F92">
        <w:rPr>
          <w:rFonts w:ascii="Arial" w:hAnsi="Arial" w:cs="Arial"/>
          <w:bCs/>
        </w:rPr>
        <w:t xml:space="preserve"> kvalitě a rozsahu dle přílohy č. 1 této smlouvy </w:t>
      </w:r>
      <w:r w:rsidRPr="009E0F92">
        <w:rPr>
          <w:rFonts w:ascii="Arial" w:hAnsi="Arial" w:cs="Arial"/>
        </w:rPr>
        <w:t>– Technická speci</w:t>
      </w:r>
      <w:r w:rsidRPr="009E0F92" w:rsidR="00AD126C">
        <w:rPr>
          <w:rFonts w:ascii="Arial" w:hAnsi="Arial" w:cs="Arial"/>
        </w:rPr>
        <w:t xml:space="preserve">fikace zboží, a to nejpozději </w:t>
      </w:r>
      <w:r w:rsidRPr="0026563C" w:rsidR="005C3D14">
        <w:rPr>
          <w:rFonts w:ascii="Arial" w:eastAsia="Calibri" w:hAnsi="Arial" w:cs="Arial"/>
          <w:lang w:eastAsia="cs-CZ"/>
        </w:rPr>
        <w:t xml:space="preserve">do </w:t>
      </w:r>
      <w:r w:rsidRPr="0026563C" w:rsidR="00AB41D0">
        <w:rPr>
          <w:rFonts w:ascii="Arial" w:eastAsia="Calibri" w:hAnsi="Arial" w:cs="Arial"/>
          <w:lang w:eastAsia="cs-CZ"/>
        </w:rPr>
        <w:t xml:space="preserve">60 </w:t>
      </w:r>
      <w:r w:rsidRPr="0026563C" w:rsidR="005A1443">
        <w:rPr>
          <w:rFonts w:ascii="Arial" w:eastAsia="Calibri" w:hAnsi="Arial" w:cs="Arial"/>
          <w:lang w:eastAsia="cs-CZ"/>
        </w:rPr>
        <w:t>dnů</w:t>
      </w:r>
      <w:r w:rsidRPr="009E0F92" w:rsidR="005A1443">
        <w:rPr>
          <w:rFonts w:ascii="Arial" w:eastAsia="Calibri" w:hAnsi="Arial" w:cs="Arial"/>
          <w:lang w:eastAsia="cs-CZ"/>
        </w:rPr>
        <w:t xml:space="preserve"> ode dne účinnosti této smlouvy</w:t>
      </w:r>
      <w:r w:rsidR="00DD2BD3">
        <w:rPr>
          <w:rFonts w:ascii="Arial" w:eastAsia="Calibri" w:hAnsi="Arial" w:cs="Arial"/>
          <w:lang w:eastAsia="cs-CZ"/>
        </w:rPr>
        <w:t xml:space="preserve">, </w:t>
      </w:r>
      <w:r w:rsidR="00755F54">
        <w:rPr>
          <w:rFonts w:ascii="Arial" w:eastAsia="Calibri" w:hAnsi="Arial" w:cs="Arial"/>
          <w:lang w:eastAsia="cs-CZ"/>
        </w:rPr>
        <w:t>a to včetně dopravy do míst</w:t>
      </w:r>
      <w:r w:rsidR="00324EB8">
        <w:rPr>
          <w:rFonts w:ascii="Arial" w:eastAsia="Calibri" w:hAnsi="Arial" w:cs="Arial"/>
          <w:lang w:eastAsia="cs-CZ"/>
        </w:rPr>
        <w:t>a</w:t>
      </w:r>
      <w:r w:rsidRPr="009E0F92" w:rsidR="005A1443">
        <w:rPr>
          <w:rFonts w:ascii="Arial" w:eastAsia="Calibri" w:hAnsi="Arial" w:cs="Arial"/>
          <w:lang w:eastAsia="cs-CZ"/>
        </w:rPr>
        <w:t xml:space="preserve"> plnění</w:t>
      </w:r>
      <w:r w:rsidR="00B831DB">
        <w:rPr>
          <w:rFonts w:ascii="Arial" w:eastAsia="Calibri" w:hAnsi="Arial" w:cs="Arial"/>
          <w:lang w:eastAsia="cs-CZ"/>
        </w:rPr>
        <w:t xml:space="preserve">, </w:t>
      </w:r>
      <w:r w:rsidRPr="009E0F92">
        <w:rPr>
          <w:rFonts w:ascii="Arial" w:eastAsia="Calibri" w:hAnsi="Arial" w:cs="Arial"/>
          <w:lang w:eastAsia="cs-CZ"/>
        </w:rPr>
        <w:t>jeho</w:t>
      </w:r>
      <w:r w:rsidR="00B831DB">
        <w:rPr>
          <w:rFonts w:ascii="Arial" w:eastAsia="Calibri" w:hAnsi="Arial" w:cs="Arial"/>
          <w:lang w:eastAsia="cs-CZ"/>
        </w:rPr>
        <w:t xml:space="preserve"> instalace a konfigurace</w:t>
      </w:r>
      <w:r w:rsidR="00654F1A">
        <w:rPr>
          <w:rFonts w:ascii="Arial" w:eastAsia="Calibri" w:hAnsi="Arial" w:cs="Arial"/>
          <w:lang w:eastAsia="cs-CZ"/>
        </w:rPr>
        <w:t xml:space="preserve">, migrace dat a </w:t>
      </w:r>
      <w:r w:rsidR="00C447E2">
        <w:rPr>
          <w:rFonts w:ascii="Arial" w:eastAsia="Calibri" w:hAnsi="Arial" w:cs="Arial"/>
          <w:lang w:eastAsia="cs-CZ"/>
        </w:rPr>
        <w:t>nastavení</w:t>
      </w:r>
      <w:r w:rsidR="00654F1A">
        <w:rPr>
          <w:rFonts w:ascii="Arial" w:eastAsia="Calibri" w:hAnsi="Arial" w:cs="Arial"/>
          <w:lang w:eastAsia="cs-CZ"/>
        </w:rPr>
        <w:t xml:space="preserve"> replikace </w:t>
      </w:r>
      <w:r w:rsidR="00C447E2">
        <w:rPr>
          <w:rFonts w:ascii="Arial" w:eastAsia="Calibri" w:hAnsi="Arial" w:cs="Arial"/>
          <w:lang w:eastAsia="cs-CZ"/>
        </w:rPr>
        <w:t xml:space="preserve">kritických zálohovaných dat </w:t>
      </w:r>
      <w:r w:rsidR="00654F1A">
        <w:rPr>
          <w:rFonts w:ascii="Arial" w:eastAsia="Calibri" w:hAnsi="Arial" w:cs="Arial"/>
          <w:lang w:eastAsia="cs-CZ"/>
        </w:rPr>
        <w:t>mezi stávajícím</w:t>
      </w:r>
      <w:r w:rsidR="00C447E2">
        <w:rPr>
          <w:rFonts w:ascii="Arial" w:eastAsia="Calibri" w:hAnsi="Arial" w:cs="Arial"/>
          <w:lang w:eastAsia="cs-CZ"/>
        </w:rPr>
        <w:t xml:space="preserve"> deduplikačním úložištěm</w:t>
      </w:r>
      <w:r w:rsidR="00654F1A">
        <w:rPr>
          <w:rFonts w:ascii="Arial" w:eastAsia="Calibri" w:hAnsi="Arial" w:cs="Arial"/>
          <w:lang w:eastAsia="cs-CZ"/>
        </w:rPr>
        <w:t xml:space="preserve"> a novým diskovým úložištěm</w:t>
      </w:r>
      <w:r w:rsidR="00782EBC">
        <w:rPr>
          <w:rFonts w:ascii="Arial" w:eastAsia="Calibri" w:hAnsi="Arial" w:cs="Arial"/>
          <w:lang w:eastAsia="cs-CZ"/>
        </w:rPr>
        <w:t>.</w:t>
      </w:r>
      <w:r>
        <w:rPr>
          <w:rFonts w:ascii="Arial" w:eastAsia="Calibri" w:hAnsi="Arial" w:cs="Arial"/>
          <w:lang w:eastAsia="cs-CZ"/>
        </w:rPr>
        <w:t xml:space="preserve"> Instalační práce musí být provedeny technikem, který je za tímto účelem vyškolen a oprávněn výrobcem.</w:t>
      </w:r>
      <w:r w:rsidR="00B831DB">
        <w:rPr>
          <w:rFonts w:ascii="Arial" w:eastAsia="Calibri" w:hAnsi="Arial" w:cs="Arial"/>
          <w:lang w:eastAsia="cs-CZ"/>
        </w:rPr>
        <w:t xml:space="preserve"> </w:t>
      </w:r>
      <w:r w:rsidRPr="009E0F92" w:rsidR="005A1443">
        <w:rPr>
          <w:rFonts w:ascii="Arial" w:eastAsia="Calibri" w:hAnsi="Arial" w:cs="Arial"/>
          <w:lang w:eastAsia="cs-CZ"/>
        </w:rPr>
        <w:t xml:space="preserve"> </w:t>
      </w:r>
    </w:p>
    <w:p w:rsidR="00966067" w:rsidRPr="00C344C0" w:rsidP="00C344C0" w14:paraId="6B56DCF6" w14:textId="05AFBDDE">
      <w:pPr>
        <w:numPr>
          <w:ilvl w:val="0"/>
          <w:numId w:val="6"/>
        </w:numPr>
        <w:spacing w:after="120" w:line="240" w:lineRule="auto"/>
        <w:jc w:val="both"/>
        <w:rPr>
          <w:rFonts w:ascii="Arial" w:hAnsi="Arial" w:cs="Arial"/>
        </w:rPr>
      </w:pPr>
      <w:r w:rsidRPr="00966067">
        <w:rPr>
          <w:rFonts w:ascii="Arial" w:hAnsi="Arial" w:cs="Arial"/>
        </w:rPr>
        <w:t xml:space="preserve">Místem plnění </w:t>
      </w:r>
      <w:r>
        <w:rPr>
          <w:rFonts w:ascii="Arial" w:hAnsi="Arial" w:cs="Arial"/>
        </w:rPr>
        <w:t xml:space="preserve">je </w:t>
      </w:r>
      <w:r w:rsidR="00654F1A">
        <w:rPr>
          <w:rFonts w:ascii="Arial" w:hAnsi="Arial" w:cs="Arial"/>
        </w:rPr>
        <w:t>objekt</w:t>
      </w:r>
      <w:r w:rsidRPr="00C344C0">
        <w:rPr>
          <w:rFonts w:ascii="Arial" w:hAnsi="Arial" w:cs="Arial"/>
        </w:rPr>
        <w:t xml:space="preserve"> kupujícího na adrese</w:t>
      </w:r>
      <w:r w:rsidRPr="00C344C0" w:rsidR="000C2FB7">
        <w:rPr>
          <w:rFonts w:ascii="Arial" w:hAnsi="Arial" w:cs="Arial"/>
        </w:rPr>
        <w:t xml:space="preserve"> </w:t>
      </w:r>
      <w:r w:rsidRPr="00842681" w:rsidR="00DC2CBE">
        <w:rPr>
          <w:rFonts w:ascii="Arial" w:hAnsi="Arial" w:cs="Arial"/>
        </w:rPr>
        <w:t>Loretánská 177/9, Praha 1</w:t>
      </w:r>
      <w:r w:rsidR="00DC2CBE">
        <w:rPr>
          <w:rFonts w:ascii="Arial" w:hAnsi="Arial" w:cs="Arial"/>
        </w:rPr>
        <w:t xml:space="preserve"> - Hradčany</w:t>
      </w:r>
      <w:r w:rsidRPr="00C344C0">
        <w:rPr>
          <w:rFonts w:ascii="Arial" w:hAnsi="Arial" w:cs="Arial"/>
        </w:rPr>
        <w:t xml:space="preserve"> (</w:t>
      </w:r>
      <w:r w:rsidR="00DC2CBE">
        <w:rPr>
          <w:rFonts w:ascii="Arial" w:hAnsi="Arial" w:cs="Arial"/>
        </w:rPr>
        <w:t>Hrzánský palác</w:t>
      </w:r>
      <w:r w:rsidR="00C344C0">
        <w:rPr>
          <w:rFonts w:ascii="Arial" w:hAnsi="Arial" w:cs="Arial"/>
        </w:rPr>
        <w:t>)</w:t>
      </w:r>
      <w:r w:rsidRPr="00C344C0">
        <w:rPr>
          <w:rFonts w:ascii="Arial" w:hAnsi="Arial" w:cs="Arial"/>
        </w:rPr>
        <w:t>.</w:t>
      </w:r>
    </w:p>
    <w:p w:rsidR="00BB2E82" w:rsidRPr="00966067" w:rsidP="00966067" w14:paraId="50F0ACFB" w14:textId="1DBBA4B3">
      <w:pPr>
        <w:numPr>
          <w:ilvl w:val="0"/>
          <w:numId w:val="6"/>
        </w:numPr>
        <w:spacing w:after="120" w:line="240" w:lineRule="auto"/>
        <w:jc w:val="both"/>
        <w:rPr>
          <w:rFonts w:ascii="Arial" w:hAnsi="Arial" w:cs="Arial"/>
          <w:bCs/>
        </w:rPr>
      </w:pPr>
      <w:r w:rsidRPr="00966067">
        <w:rPr>
          <w:rFonts w:ascii="Arial" w:hAnsi="Arial" w:cs="Arial"/>
        </w:rPr>
        <w:t xml:space="preserve">O předání a převzetí zboží </w:t>
      </w:r>
      <w:r w:rsidR="00DC2CBE">
        <w:rPr>
          <w:rFonts w:ascii="Arial" w:hAnsi="Arial" w:cs="Arial"/>
        </w:rPr>
        <w:t xml:space="preserve">v místě plnění včetně provedení veškerých prací souvisejících s instalací, konfigurací, migrací dat a nastavení replikace mezi stávajícím a novým diskovým úložištěm </w:t>
      </w:r>
      <w:r w:rsidRPr="00966067">
        <w:rPr>
          <w:rFonts w:ascii="Arial" w:hAnsi="Arial" w:cs="Arial"/>
        </w:rPr>
        <w:t xml:space="preserve">bude sepsán protokol o předání a převzetí zboží (dále jen „předávací protokol“) ve 2 vyhotoveních, který bude podepsán kontaktní osobou prodávajícího a kupujícího, a každá </w:t>
      </w:r>
      <w:r w:rsidR="00974ADC">
        <w:rPr>
          <w:rFonts w:ascii="Arial" w:hAnsi="Arial" w:cs="Arial"/>
        </w:rPr>
        <w:br/>
      </w:r>
      <w:r w:rsidRPr="00966067">
        <w:rPr>
          <w:rFonts w:ascii="Arial" w:hAnsi="Arial" w:cs="Arial"/>
        </w:rPr>
        <w:t>ze smluvních stran obdrží po 1 vyhotovení předávacího protokolu. Návrh předávacího protokolu připraví prodávající.</w:t>
      </w:r>
    </w:p>
    <w:p w:rsidR="00BB2E82" w:rsidP="00BB2E82" w14:paraId="3C28FF29" w14:textId="77777777">
      <w:pPr>
        <w:numPr>
          <w:ilvl w:val="0"/>
          <w:numId w:val="6"/>
        </w:numPr>
        <w:spacing w:after="120" w:line="240" w:lineRule="auto"/>
        <w:jc w:val="both"/>
        <w:rPr>
          <w:rFonts w:ascii="Arial" w:hAnsi="Arial" w:cs="Arial"/>
          <w:bCs/>
        </w:rPr>
      </w:pPr>
      <w:r w:rsidRPr="000039A9">
        <w:rPr>
          <w:rFonts w:ascii="Arial" w:hAnsi="Arial" w:cs="Arial"/>
        </w:rPr>
        <w:t>Nebezpečí škody na zboží přechází na kupujícího podpisem předávacího protokolu oběma smluvními stranami. Vlastnické a všechna další práva (např. licenční) ke zboží, případně jeho části, nabývá kupující dnem podpisu předávacího protokolu oběma smluvními stranami.</w:t>
      </w:r>
    </w:p>
    <w:p w:rsidR="00BB2E82" w:rsidRPr="000F51A4" w:rsidP="000F51A4" w14:paraId="056FCCE0" w14:textId="6EABB230">
      <w:pPr>
        <w:numPr>
          <w:ilvl w:val="0"/>
          <w:numId w:val="6"/>
        </w:numPr>
        <w:spacing w:after="120" w:line="240" w:lineRule="auto"/>
        <w:jc w:val="both"/>
        <w:rPr>
          <w:rFonts w:ascii="Arial" w:hAnsi="Arial" w:cs="Arial"/>
          <w:bCs/>
        </w:rPr>
      </w:pPr>
      <w:r w:rsidRPr="000039A9">
        <w:rPr>
          <w:rFonts w:ascii="Arial" w:hAnsi="Arial" w:cs="Arial"/>
        </w:rPr>
        <w:t>Kupující není povinen převzít zboží, které vykazuje zjevné vady či odchylky od popisu dle této smlouvy, od dokumentace k němu nebo od nabídky prodávajícího podané v</w:t>
      </w:r>
      <w:r w:rsidR="00832B0A">
        <w:rPr>
          <w:rFonts w:ascii="Arial" w:hAnsi="Arial" w:cs="Arial"/>
        </w:rPr>
        <w:t xml:space="preserve"> zadávacím</w:t>
      </w:r>
      <w:r w:rsidRPr="000039A9">
        <w:rPr>
          <w:rFonts w:ascii="Arial" w:hAnsi="Arial" w:cs="Arial"/>
        </w:rPr>
        <w:t xml:space="preserve"> řízení, </w:t>
      </w:r>
      <w:r w:rsidR="00974ADC">
        <w:rPr>
          <w:rFonts w:ascii="Arial" w:hAnsi="Arial" w:cs="Arial"/>
        </w:rPr>
        <w:br/>
      </w:r>
      <w:r w:rsidRPr="000039A9">
        <w:rPr>
          <w:rFonts w:ascii="Arial" w:hAnsi="Arial" w:cs="Arial"/>
        </w:rPr>
        <w:t xml:space="preserve">v němž byla jeho nabídka vybrána jako </w:t>
      </w:r>
      <w:r w:rsidR="00324EB8">
        <w:rPr>
          <w:rFonts w:ascii="Arial" w:hAnsi="Arial" w:cs="Arial"/>
        </w:rPr>
        <w:t xml:space="preserve">ekonomicky </w:t>
      </w:r>
      <w:r w:rsidRPr="000039A9">
        <w:rPr>
          <w:rFonts w:ascii="Arial" w:hAnsi="Arial" w:cs="Arial"/>
        </w:rPr>
        <w:t>nejvýhodnější. V takovém případě je kupující povinen sepsat zápis o zjištěných vadách a předat jej prodávajícímu. Do odstranění vad není kupující povinen podepsat předávací protokol a zaplatit cenu. Vady zjištěné kupujícím</w:t>
      </w:r>
      <w:r w:rsidRPr="000039A9">
        <w:rPr>
          <w:rFonts w:ascii="Arial" w:hAnsi="Arial" w:cs="Arial"/>
        </w:rPr>
        <w:br/>
        <w:t>při převzetí zboží je prodávající povinen odstranit nejpozději do 3 pracovních dnů ode dne doručení (předání) zápisu kupujícího o těchto vadách.</w:t>
      </w:r>
    </w:p>
    <w:p w:rsidR="00BB2E82" w:rsidRPr="000C2FB7" w:rsidP="00BB2E82" w14:paraId="2D136B91" w14:textId="77777777">
      <w:pPr>
        <w:numPr>
          <w:ilvl w:val="0"/>
          <w:numId w:val="6"/>
        </w:numPr>
        <w:spacing w:after="120" w:line="240" w:lineRule="auto"/>
        <w:jc w:val="both"/>
        <w:rPr>
          <w:rFonts w:ascii="Arial" w:hAnsi="Arial" w:cs="Arial"/>
        </w:rPr>
      </w:pPr>
      <w:r w:rsidRPr="000C2FB7">
        <w:rPr>
          <w:rFonts w:ascii="Arial" w:hAnsi="Arial" w:cs="Arial"/>
        </w:rPr>
        <w:t>Servisní podpora ke zboží bude kupujícímu prodávajícím poskytována dle čl. III odst. 6 této smlouvy.</w:t>
      </w:r>
    </w:p>
    <w:p w:rsidR="00BB2E82" w:rsidRPr="002D4E99" w:rsidP="00C344C0" w14:paraId="5D126A5F" w14:textId="77777777">
      <w:pPr>
        <w:keepNext/>
        <w:spacing w:before="360" w:after="120" w:line="20" w:lineRule="atLeast"/>
        <w:jc w:val="center"/>
        <w:outlineLvl w:val="3"/>
        <w:rPr>
          <w:rFonts w:ascii="Arial" w:hAnsi="Arial" w:cs="Arial"/>
          <w:b/>
        </w:rPr>
      </w:pPr>
      <w:r w:rsidRPr="002D4E99">
        <w:rPr>
          <w:rFonts w:ascii="Arial" w:hAnsi="Arial" w:cs="Arial"/>
          <w:b/>
        </w:rPr>
        <w:t>Článek III.</w:t>
      </w:r>
      <w:r w:rsidRPr="002D4E99">
        <w:rPr>
          <w:rFonts w:ascii="Arial" w:hAnsi="Arial" w:cs="Arial"/>
          <w:b/>
        </w:rPr>
        <w:br/>
        <w:t>Záruka za jakost, odpovědnost za vady</w:t>
      </w:r>
    </w:p>
    <w:p w:rsidR="00BB2E82" w:rsidRPr="002D4E99" w:rsidP="00BB2E82" w14:paraId="2687B068" w14:textId="208AD406">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Prodávající odpovídá za to, že zboží má vlastnosti stanovené touto smlouvou a její přílohou</w:t>
      </w:r>
      <w:r w:rsidRPr="002D4E99">
        <w:rPr>
          <w:rFonts w:ascii="Arial" w:eastAsia="Calibri" w:hAnsi="Arial" w:cs="Arial"/>
          <w:lang w:eastAsia="cs-CZ"/>
        </w:rPr>
        <w:br/>
        <w:t xml:space="preserve">č. 1, </w:t>
      </w:r>
      <w:r w:rsidR="00DC2CBE">
        <w:rPr>
          <w:rFonts w:ascii="Arial" w:eastAsia="Calibri" w:hAnsi="Arial" w:cs="Arial"/>
          <w:lang w:eastAsia="cs-CZ"/>
        </w:rPr>
        <w:t xml:space="preserve">zpracovanou </w:t>
      </w:r>
      <w:r w:rsidRPr="002D4E99">
        <w:rPr>
          <w:rFonts w:ascii="Arial" w:eastAsia="Calibri" w:hAnsi="Arial" w:cs="Arial"/>
          <w:lang w:eastAsia="cs-CZ"/>
        </w:rPr>
        <w:t xml:space="preserve">dokumentací </w:t>
      </w:r>
      <w:r w:rsidR="00DC2CBE">
        <w:rPr>
          <w:rFonts w:ascii="Arial" w:eastAsia="Calibri" w:hAnsi="Arial" w:cs="Arial"/>
          <w:lang w:eastAsia="cs-CZ"/>
        </w:rPr>
        <w:t>předanou kupujícímu k zapojenému a nainstalovanému zboží</w:t>
      </w:r>
      <w:r w:rsidRPr="002D4E99">
        <w:rPr>
          <w:rFonts w:ascii="Arial" w:eastAsia="Calibri" w:hAnsi="Arial" w:cs="Arial"/>
          <w:lang w:eastAsia="cs-CZ"/>
        </w:rPr>
        <w:t xml:space="preserve"> a nabídkou prodávajícího podanou v </w:t>
      </w:r>
      <w:r w:rsidR="001E3A2C">
        <w:rPr>
          <w:rFonts w:ascii="Arial" w:eastAsia="Calibri" w:hAnsi="Arial" w:cs="Arial"/>
          <w:lang w:eastAsia="cs-CZ"/>
        </w:rPr>
        <w:t xml:space="preserve">zadávacím </w:t>
      </w:r>
      <w:r w:rsidRPr="002D4E99">
        <w:rPr>
          <w:rFonts w:ascii="Arial" w:eastAsia="Calibri" w:hAnsi="Arial" w:cs="Arial"/>
          <w:lang w:eastAsia="cs-CZ"/>
        </w:rPr>
        <w:t xml:space="preserve">řízení, v němž byla jeho nabídka vybrána jako </w:t>
      </w:r>
      <w:r w:rsidR="00324EB8">
        <w:rPr>
          <w:rFonts w:ascii="Arial" w:eastAsia="Calibri" w:hAnsi="Arial" w:cs="Arial"/>
          <w:lang w:eastAsia="cs-CZ"/>
        </w:rPr>
        <w:t xml:space="preserve">ekonomicky </w:t>
      </w:r>
      <w:r w:rsidRPr="002D4E99">
        <w:rPr>
          <w:rFonts w:ascii="Arial" w:eastAsia="Calibri" w:hAnsi="Arial" w:cs="Arial"/>
          <w:lang w:eastAsia="cs-CZ"/>
        </w:rPr>
        <w:t>nejvýhodnější.</w:t>
      </w:r>
    </w:p>
    <w:p w:rsidR="00782EBC" w:rsidRPr="00EC5B4F" w:rsidP="00017892" w14:paraId="3E873CDB" w14:textId="77777777">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782EBC">
        <w:rPr>
          <w:rFonts w:ascii="Arial" w:eastAsia="Calibri" w:hAnsi="Arial" w:cs="Arial"/>
          <w:lang w:eastAsia="cs-CZ"/>
        </w:rPr>
        <w:t>Prodávající odpovídá za vady zboží zjištěné při jeho předání nebo v průběhu záruční doby,</w:t>
      </w:r>
      <w:r w:rsidRPr="00782EBC">
        <w:rPr>
          <w:rFonts w:ascii="Arial" w:eastAsia="Calibri" w:hAnsi="Arial" w:cs="Arial"/>
          <w:lang w:eastAsia="cs-CZ"/>
        </w:rPr>
        <w:br/>
        <w:t>a to za všechny vady zboží existující v době předání i za vady vzniklé později. Prodávající za tímto účelem poskytuje kupujícímu záruku za j</w:t>
      </w:r>
      <w:r w:rsidRPr="00782EBC" w:rsidR="00A85A8D">
        <w:rPr>
          <w:rFonts w:ascii="Arial" w:eastAsia="Calibri" w:hAnsi="Arial" w:cs="Arial"/>
          <w:lang w:eastAsia="cs-CZ"/>
        </w:rPr>
        <w:t xml:space="preserve">akost po záruční dobu </w:t>
      </w:r>
      <w:r w:rsidRPr="00EC5B4F" w:rsidR="00A85A8D">
        <w:rPr>
          <w:rFonts w:ascii="Arial" w:eastAsia="Calibri" w:hAnsi="Arial" w:cs="Arial"/>
          <w:lang w:eastAsia="cs-CZ"/>
        </w:rPr>
        <w:t>v délce 60</w:t>
      </w:r>
      <w:r w:rsidRPr="00EC5B4F">
        <w:rPr>
          <w:rFonts w:ascii="Arial" w:eastAsia="Calibri" w:hAnsi="Arial" w:cs="Arial"/>
          <w:lang w:eastAsia="cs-CZ"/>
        </w:rPr>
        <w:t xml:space="preserve"> měsíců.</w:t>
      </w:r>
      <w:r w:rsidRPr="00EC5B4F">
        <w:rPr>
          <w:rFonts w:ascii="Arial" w:eastAsia="Calibri" w:hAnsi="Arial" w:cs="Arial"/>
          <w:lang w:eastAsia="cs-CZ"/>
        </w:rPr>
        <w:t xml:space="preserve"> </w:t>
      </w:r>
    </w:p>
    <w:p w:rsidR="00BB2E82" w:rsidRPr="00782EBC" w:rsidP="00017892" w14:paraId="65366470" w14:textId="77777777">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782EBC">
        <w:rPr>
          <w:rFonts w:ascii="Arial" w:eastAsia="Calibri" w:hAnsi="Arial" w:cs="Arial"/>
          <w:lang w:eastAsia="cs-CZ"/>
        </w:rPr>
        <w:t>Vadou zboží se rozumí zejména odchylka od množství, druhu či kvalitativních náležitostí zboží stanovených touto smlouvou a její přílohou č. 1, technickými normami či obecně závaznými právními předpisy, dále dodání jiného zboží a vady v dokladech nutných k řádnému užívání zboží a k nakládání se zbožím.</w:t>
      </w:r>
    </w:p>
    <w:p w:rsidR="00BB2E82" w:rsidRPr="002D4E99" w:rsidP="00BB2E82" w14:paraId="72B81671" w14:textId="77777777">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Záruční doba začíná běžet dnem podpisu předávacího protokolu dle čl. II odst. 3 této smlouvy.</w:t>
      </w:r>
    </w:p>
    <w:p w:rsidR="00BB2E82" w:rsidP="00BB2E82" w14:paraId="1B41F3A0" w14:textId="77777777">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Vady zboží se kupující zavazuje v průběhu záruční doby uplatňovat písemně na adrese prodávajícího nebo na jiné adrese (i e-mailové) písemně sdělené prodávajícím kupujícímu</w:t>
      </w:r>
      <w:r w:rsidRPr="002D4E99">
        <w:rPr>
          <w:rFonts w:ascii="Arial" w:eastAsia="Calibri" w:hAnsi="Arial" w:cs="Arial"/>
          <w:lang w:eastAsia="cs-CZ"/>
        </w:rPr>
        <w:br/>
        <w:t>po uzavření smlouvy (dále jen „kontaktní místo“). Kontaktní místo může prodávající určit pouze 1, nikoliv více. V případě, že na takovém kontaktním místě nebude možné vady reklamovat (např. odmítnutí poskytnutí součinnosti), je kupující vždy oprávněn uplatňovat vady přímo v sídle prodávajícího.</w:t>
      </w:r>
    </w:p>
    <w:p w:rsidR="00EC5B4F" w:rsidP="00EC5B4F" w14:paraId="69A00F9D" w14:textId="6423F0A4">
      <w:pPr>
        <w:numPr>
          <w:ilvl w:val="0"/>
          <w:numId w:val="8"/>
        </w:numPr>
        <w:tabs>
          <w:tab w:val="num" w:pos="426"/>
        </w:tabs>
        <w:suppressAutoHyphens/>
        <w:spacing w:after="60" w:line="240" w:lineRule="auto"/>
        <w:ind w:left="425" w:hanging="425"/>
        <w:jc w:val="both"/>
        <w:rPr>
          <w:rFonts w:ascii="Arial" w:eastAsia="Calibri" w:hAnsi="Arial" w:cs="Arial"/>
          <w:lang w:eastAsia="cs-CZ"/>
        </w:rPr>
      </w:pPr>
      <w:r w:rsidRPr="00DC2CBE">
        <w:rPr>
          <w:rFonts w:ascii="Arial" w:eastAsia="Calibri" w:hAnsi="Arial" w:cs="Arial"/>
          <w:lang w:eastAsia="cs-CZ"/>
        </w:rPr>
        <w:t>V rámci záruky za jakost prodávaj</w:t>
      </w:r>
      <w:r w:rsidRPr="00DC2CBE" w:rsidR="007B6DCD">
        <w:rPr>
          <w:rFonts w:ascii="Arial" w:eastAsia="Calibri" w:hAnsi="Arial" w:cs="Arial"/>
          <w:lang w:eastAsia="cs-CZ"/>
        </w:rPr>
        <w:t>ící zajistí</w:t>
      </w:r>
      <w:r w:rsidR="00324EB8">
        <w:rPr>
          <w:rFonts w:ascii="Arial" w:eastAsia="Calibri" w:hAnsi="Arial" w:cs="Arial"/>
          <w:lang w:eastAsia="cs-CZ"/>
        </w:rPr>
        <w:t xml:space="preserve">: </w:t>
      </w:r>
    </w:p>
    <w:p w:rsidR="00EC5B4F" w:rsidRPr="009F7CA6" w:rsidP="009F7CA6" w14:paraId="635D2C82" w14:textId="14BB7E61">
      <w:pPr>
        <w:pStyle w:val="ListParagraph"/>
        <w:numPr>
          <w:ilvl w:val="0"/>
          <w:numId w:val="31"/>
        </w:numPr>
        <w:suppressAutoHyphens/>
        <w:spacing w:before="60" w:after="60" w:line="240" w:lineRule="auto"/>
        <w:contextualSpacing w:val="0"/>
        <w:jc w:val="both"/>
        <w:rPr>
          <w:rFonts w:ascii="Arial" w:eastAsia="Calibri" w:hAnsi="Arial" w:cs="Arial"/>
          <w:lang w:eastAsia="cs-CZ"/>
        </w:rPr>
      </w:pPr>
      <w:r w:rsidRPr="009F7CA6">
        <w:rPr>
          <w:rFonts w:ascii="Arial" w:eastAsia="Calibri" w:hAnsi="Arial" w:cs="Arial"/>
          <w:lang w:eastAsia="cs-CZ"/>
        </w:rPr>
        <w:t xml:space="preserve">dostupnost </w:t>
      </w:r>
      <w:r w:rsidRPr="009F7CA6" w:rsidR="007B6DCD">
        <w:rPr>
          <w:rFonts w:ascii="Arial" w:eastAsia="Calibri" w:hAnsi="Arial" w:cs="Arial"/>
          <w:lang w:eastAsia="cs-CZ"/>
        </w:rPr>
        <w:t>poskytování servisní</w:t>
      </w:r>
      <w:r w:rsidRPr="009F7CA6" w:rsidR="001D2F86">
        <w:rPr>
          <w:rFonts w:ascii="Arial" w:eastAsia="Calibri" w:hAnsi="Arial" w:cs="Arial"/>
          <w:lang w:eastAsia="cs-CZ"/>
        </w:rPr>
        <w:t xml:space="preserve"> </w:t>
      </w:r>
      <w:r w:rsidRPr="009F7CA6" w:rsidR="00BB3A88">
        <w:rPr>
          <w:rFonts w:ascii="Arial" w:eastAsia="Calibri" w:hAnsi="Arial" w:cs="Arial"/>
          <w:lang w:eastAsia="cs-CZ"/>
        </w:rPr>
        <w:t xml:space="preserve">podpory </w:t>
      </w:r>
      <w:r w:rsidRPr="009F7CA6" w:rsidR="001D2F86">
        <w:rPr>
          <w:rFonts w:ascii="Arial" w:eastAsia="Calibri" w:hAnsi="Arial" w:cs="Arial"/>
          <w:lang w:eastAsia="cs-CZ"/>
        </w:rPr>
        <w:t>v</w:t>
      </w:r>
      <w:r w:rsidRPr="009F7CA6">
        <w:rPr>
          <w:rFonts w:ascii="Arial" w:eastAsia="Calibri" w:hAnsi="Arial" w:cs="Arial"/>
          <w:lang w:eastAsia="cs-CZ"/>
        </w:rPr>
        <w:t xml:space="preserve"> pracovní dny minimálně 9 hodin denně, a to v čase minimálně od 8:00 </w:t>
      </w:r>
      <w:r w:rsidR="00324EB8">
        <w:rPr>
          <w:rFonts w:ascii="Arial" w:eastAsia="Calibri" w:hAnsi="Arial" w:cs="Arial"/>
          <w:lang w:eastAsia="cs-CZ"/>
        </w:rPr>
        <w:t xml:space="preserve">hod </w:t>
      </w:r>
      <w:r w:rsidRPr="009F7CA6">
        <w:rPr>
          <w:rFonts w:ascii="Arial" w:eastAsia="Calibri" w:hAnsi="Arial" w:cs="Arial"/>
          <w:lang w:eastAsia="cs-CZ"/>
        </w:rPr>
        <w:t>do 17:00</w:t>
      </w:r>
      <w:r w:rsidR="00324EB8">
        <w:rPr>
          <w:rFonts w:ascii="Arial" w:eastAsia="Calibri" w:hAnsi="Arial" w:cs="Arial"/>
          <w:lang w:eastAsia="cs-CZ"/>
        </w:rPr>
        <w:t xml:space="preserve"> hod</w:t>
      </w:r>
      <w:r w:rsidRPr="009F7CA6" w:rsidR="00C447E2">
        <w:rPr>
          <w:rFonts w:ascii="Arial" w:eastAsia="Calibri" w:hAnsi="Arial" w:cs="Arial"/>
          <w:lang w:eastAsia="cs-CZ"/>
        </w:rPr>
        <w:t>,</w:t>
      </w:r>
    </w:p>
    <w:p w:rsidR="001D2F86" w:rsidRPr="009F7CA6" w:rsidP="009F7CA6" w14:paraId="4C2BFD4B" w14:textId="0F290CB3">
      <w:pPr>
        <w:pStyle w:val="ListParagraph"/>
        <w:numPr>
          <w:ilvl w:val="0"/>
          <w:numId w:val="31"/>
        </w:numPr>
        <w:suppressAutoHyphens/>
        <w:spacing w:before="60" w:after="60" w:line="240" w:lineRule="auto"/>
        <w:ind w:left="1066" w:hanging="357"/>
        <w:contextualSpacing w:val="0"/>
        <w:jc w:val="both"/>
        <w:rPr>
          <w:rFonts w:ascii="Arial" w:eastAsia="Calibri" w:hAnsi="Arial" w:cs="Arial"/>
          <w:lang w:eastAsia="cs-CZ"/>
        </w:rPr>
      </w:pPr>
      <w:r w:rsidRPr="009F7CA6">
        <w:rPr>
          <w:rFonts w:ascii="Arial" w:eastAsia="Calibri" w:hAnsi="Arial" w:cs="Arial"/>
          <w:lang w:eastAsia="cs-CZ"/>
        </w:rPr>
        <w:t>možnost sledování servisních reportů prostřednictvím internetu.</w:t>
      </w:r>
    </w:p>
    <w:p w:rsidR="00DC2CBE" w:rsidRPr="00DC2CBE" w:rsidP="00DC2CBE" w14:paraId="2D40EAD8" w14:textId="466944EE">
      <w:pPr>
        <w:pStyle w:val="ListParagraph"/>
        <w:spacing w:after="120" w:line="240" w:lineRule="auto"/>
        <w:ind w:left="426"/>
        <w:contextualSpacing w:val="0"/>
        <w:jc w:val="both"/>
        <w:rPr>
          <w:rFonts w:ascii="Arial" w:hAnsi="Arial" w:cs="Arial"/>
        </w:rPr>
      </w:pPr>
      <w:r w:rsidRPr="00DC2CBE">
        <w:rPr>
          <w:rFonts w:ascii="Arial" w:hAnsi="Arial" w:cs="Arial"/>
        </w:rPr>
        <w:t xml:space="preserve">Případné platby za odstraňování vad zboží jsou zahrnuty v celkové kupní ceně dle čl. IV odst. 1 této smlouvy (tj. v kupní ceně jsou zahrnuty i veškeré servisní služby po dobu záruční doby, vč. dopravy, práce, náhradních dílů a podobně, jakož i poskytování servisní podpory). V případě odstraňování vad zboží prodávající bezplatně odstraní reklamovanou vadu zboží v </w:t>
      </w:r>
      <w:r>
        <w:rPr>
          <w:rFonts w:ascii="Arial" w:hAnsi="Arial" w:cs="Arial"/>
        </w:rPr>
        <w:t>objektu</w:t>
      </w:r>
      <w:r w:rsidRPr="00DC2CBE">
        <w:rPr>
          <w:rFonts w:ascii="Arial" w:hAnsi="Arial" w:cs="Arial"/>
        </w:rPr>
        <w:t xml:space="preserve"> kupujícího nejpozději následující pracovní den po doručení oznámení kupujícího o vadách dle odst. 5 tohoto článku smlouvy, pokud kupující vzhledem k povaze vady nestanoví jinak. O dobu odstraňování vady se prodlužuje záruční doba.</w:t>
      </w:r>
    </w:p>
    <w:p w:rsidR="00BB2E82" w:rsidRPr="002D4E99" w:rsidP="00BB2E82" w14:paraId="7F27B262" w14:textId="77777777">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Písemnou reklamaci lze uplatnit nejpozději do posledního dne záruční lhůty, přičemž reklamace odeslaná kupujícím v poslední den záruční lhůty se považuje za včas uplatněnou.</w:t>
      </w:r>
    </w:p>
    <w:p w:rsidR="005F7D20" w:rsidP="005F7D20" w14:paraId="30F3639F" w14:textId="2A06A54A">
      <w:pPr>
        <w:numPr>
          <w:ilvl w:val="0"/>
          <w:numId w:val="8"/>
        </w:numPr>
        <w:tabs>
          <w:tab w:val="num" w:pos="426"/>
        </w:tabs>
        <w:suppressAutoHyphen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Prodávající odstraní v záruční době reklamované vady na svůj náklad. Odmítne-li prodávající odstranit reklamované vady, případně neodstraní-li </w:t>
      </w:r>
      <w:r w:rsidRPr="005B03F7" w:rsidR="005B03F7">
        <w:rPr>
          <w:rFonts w:ascii="Arial" w:eastAsia="Calibri" w:hAnsi="Arial" w:cs="Arial"/>
          <w:lang w:eastAsia="cs-CZ"/>
        </w:rPr>
        <w:t>je do 10</w:t>
      </w:r>
      <w:r w:rsidRPr="005B03F7">
        <w:rPr>
          <w:rFonts w:ascii="Arial" w:eastAsia="Calibri" w:hAnsi="Arial" w:cs="Arial"/>
          <w:lang w:eastAsia="cs-CZ"/>
        </w:rPr>
        <w:t xml:space="preserve"> dnů</w:t>
      </w:r>
      <w:r w:rsidRPr="002D4E99">
        <w:rPr>
          <w:rFonts w:ascii="Arial" w:eastAsia="Calibri" w:hAnsi="Arial" w:cs="Arial"/>
          <w:lang w:eastAsia="cs-CZ"/>
        </w:rPr>
        <w:t xml:space="preserve"> od stanoveného termínu, je kupující oprávněn odstranit vady sám nebo prostřednictvím třetího subjektu a náklady s tím spojené vyúčtovat prodávajícímu.</w:t>
      </w:r>
    </w:p>
    <w:p w:rsidR="008813C4" w:rsidP="008813C4" w14:paraId="5B834E65" w14:textId="77777777">
      <w:pPr>
        <w:pStyle w:val="ListParagraph"/>
        <w:numPr>
          <w:ilvl w:val="0"/>
          <w:numId w:val="8"/>
        </w:numPr>
        <w:tabs>
          <w:tab w:val="clear" w:pos="502"/>
        </w:tabs>
        <w:spacing w:after="120" w:line="240" w:lineRule="auto"/>
        <w:ind w:left="426" w:hanging="426"/>
        <w:contextualSpacing w:val="0"/>
        <w:jc w:val="both"/>
        <w:rPr>
          <w:rFonts w:ascii="Arial" w:hAnsi="Arial" w:cs="Arial"/>
        </w:rPr>
      </w:pPr>
      <w:r w:rsidRPr="002770EA">
        <w:rPr>
          <w:rFonts w:ascii="Arial" w:hAnsi="Arial" w:cs="Arial"/>
        </w:rPr>
        <w:t>Uplatněním odpovědnosti za vady nejsou dotčeny nároky na náhradu škody nebo na uplatnění smluvní pokuty.</w:t>
      </w:r>
    </w:p>
    <w:p w:rsidR="008813C4" w:rsidRPr="008813C4" w:rsidP="008813C4" w14:paraId="3D29C59A" w14:textId="77777777">
      <w:pPr>
        <w:numPr>
          <w:ilvl w:val="0"/>
          <w:numId w:val="8"/>
        </w:numPr>
        <w:tabs>
          <w:tab w:val="clear" w:pos="502"/>
        </w:tabs>
        <w:suppressAutoHyphens/>
        <w:spacing w:after="120" w:line="20" w:lineRule="atLeast"/>
        <w:ind w:left="426" w:hanging="426"/>
        <w:jc w:val="both"/>
        <w:rPr>
          <w:rFonts w:ascii="Arial" w:eastAsia="Calibri" w:hAnsi="Arial" w:cs="Arial"/>
          <w:lang w:eastAsia="cs-CZ"/>
        </w:rPr>
      </w:pPr>
      <w:r w:rsidRPr="008813C4">
        <w:rPr>
          <w:rFonts w:ascii="Arial" w:eastAsia="Calibri" w:hAnsi="Arial" w:cs="Arial"/>
          <w:lang w:eastAsia="cs-CZ"/>
        </w:rPr>
        <w:t>Prodávající odpovídá za škody, které svou činností, ale i nečinností způsobí kupujícímu nebo třetím osobám, a to zejména v důsledku neplnění podmínek, vyplývajících z právních předpisů nebo z této smlouvy. Jakoukoliv škodu takto vzniklou je prodávající povinen bezodkladně odstranit a není-li to možné, pak finančně nahradit v plné výši.</w:t>
      </w:r>
    </w:p>
    <w:p w:rsidR="00DC2CBE" w:rsidRPr="008813C4" w:rsidP="00EC5B4F" w14:paraId="4080871B" w14:textId="67955B60">
      <w:pPr>
        <w:numPr>
          <w:ilvl w:val="0"/>
          <w:numId w:val="8"/>
        </w:numPr>
        <w:tabs>
          <w:tab w:val="clear" w:pos="502"/>
        </w:tabs>
        <w:suppressAutoHyphens/>
        <w:spacing w:after="120" w:line="20" w:lineRule="atLeast"/>
        <w:ind w:left="426" w:hanging="426"/>
        <w:jc w:val="both"/>
        <w:rPr>
          <w:rFonts w:ascii="Arial" w:eastAsia="Calibri" w:hAnsi="Arial" w:cs="Arial"/>
          <w:lang w:eastAsia="cs-CZ"/>
        </w:rPr>
      </w:pPr>
      <w:r w:rsidRPr="008813C4">
        <w:rPr>
          <w:rFonts w:ascii="Arial" w:eastAsia="Calibri" w:hAnsi="Arial" w:cs="Arial"/>
          <w:lang w:eastAsia="cs-CZ"/>
        </w:rPr>
        <w:t>V případě sporu o oprávněnost reklamace budou smluvní strany respektovat vyjádření a konečné stanovisko soudního znalce vybraného kupujícím. Náklady na vypracování znaleckého posudku nese v plné výši smluvní strana, která nebude ve sporu o oprávněnost reklamace úspěšná.</w:t>
      </w:r>
    </w:p>
    <w:p w:rsidR="005F7D20" w:rsidRPr="00AD42D7" w:rsidP="00EC5B4F" w14:paraId="62F31508" w14:textId="21617F81">
      <w:pPr>
        <w:numPr>
          <w:ilvl w:val="0"/>
          <w:numId w:val="8"/>
        </w:numPr>
        <w:tabs>
          <w:tab w:val="clear" w:pos="502"/>
        </w:tabs>
        <w:suppressAutoHyphens/>
        <w:spacing w:after="120" w:line="20" w:lineRule="atLeast"/>
        <w:ind w:left="426" w:hanging="426"/>
        <w:jc w:val="both"/>
        <w:rPr>
          <w:rFonts w:ascii="Arial" w:eastAsia="Calibri" w:hAnsi="Arial" w:cs="Arial"/>
          <w:lang w:eastAsia="cs-CZ"/>
        </w:rPr>
      </w:pPr>
      <w:r w:rsidRPr="005F7D20">
        <w:rPr>
          <w:rFonts w:ascii="Arial" w:hAnsi="Arial" w:cs="Arial"/>
        </w:rPr>
        <w:t xml:space="preserve">Prodávající je při poskytování podpory povinen postupovat s odbornou péčí, podle svých nejlepších znalostí a schopností, přičemž je při své činnosti povinen sledovat a chránit zájmy a dobré jméno kupujícího a postupovat v souladu s jeho pokyny. Kupující je povinen poskytovat prodávajícímu součinnost nezbytnou k řádnému plnění povinností prodávajícího dle této </w:t>
      </w:r>
      <w:r w:rsidRPr="005F7D20">
        <w:rPr>
          <w:rFonts w:ascii="Arial" w:hAnsi="Arial" w:cs="Arial"/>
        </w:rPr>
        <w:t>smlouvy. V případě nevhodných pokynů kupujícího je prodávající povinen na nevhodnost těchto pokynů kupujícího písemně upozornit, v opačném případě nese prodávající odpovědnost za vady a za škodu, které v důs</w:t>
      </w:r>
      <w:r w:rsidR="00AD42D7">
        <w:rPr>
          <w:rFonts w:ascii="Arial" w:hAnsi="Arial" w:cs="Arial"/>
        </w:rPr>
        <w:t>ledku nevhodných pokynů vznikly</w:t>
      </w:r>
      <w:r w:rsidRPr="00AD42D7">
        <w:rPr>
          <w:rFonts w:ascii="Arial" w:hAnsi="Arial" w:cs="Arial"/>
        </w:rPr>
        <w:t>.</w:t>
      </w:r>
    </w:p>
    <w:p w:rsidR="00BB2E82" w:rsidRPr="002D4E99" w:rsidP="00BB2E82" w14:paraId="5BC9579F" w14:textId="77777777">
      <w:pPr>
        <w:spacing w:before="360" w:after="120" w:line="20" w:lineRule="atLeast"/>
        <w:jc w:val="center"/>
        <w:outlineLvl w:val="3"/>
        <w:rPr>
          <w:rFonts w:ascii="Arial" w:hAnsi="Arial" w:cs="Arial"/>
          <w:b/>
        </w:rPr>
      </w:pPr>
      <w:r w:rsidRPr="002D4E99">
        <w:rPr>
          <w:rFonts w:ascii="Arial" w:hAnsi="Arial" w:cs="Arial"/>
          <w:b/>
        </w:rPr>
        <w:t>Článek IV.</w:t>
      </w:r>
      <w:r w:rsidRPr="002D4E99">
        <w:rPr>
          <w:rFonts w:ascii="Arial" w:hAnsi="Arial" w:cs="Arial"/>
          <w:b/>
        </w:rPr>
        <w:br/>
        <w:t>Cena a platební podmínky</w:t>
      </w:r>
    </w:p>
    <w:p w:rsidR="00BB2E82" w:rsidP="00BB2E82" w14:paraId="56334C32" w14:textId="77777777">
      <w:pPr>
        <w:numPr>
          <w:ilvl w:val="0"/>
          <w:numId w:val="3"/>
        </w:numPr>
        <w:tabs>
          <w:tab w:val="num" w:pos="426"/>
        </w:tabs>
        <w:spacing w:before="240" w:after="120" w:line="20" w:lineRule="atLeast"/>
        <w:ind w:left="425" w:hanging="425"/>
        <w:jc w:val="both"/>
        <w:rPr>
          <w:rFonts w:ascii="Arial" w:hAnsi="Arial" w:cs="Arial"/>
        </w:rPr>
      </w:pPr>
      <w:r w:rsidRPr="002D4E99">
        <w:rPr>
          <w:rFonts w:ascii="Arial" w:hAnsi="Arial" w:cs="Arial"/>
        </w:rPr>
        <w:t xml:space="preserve">Celková cena zboží dle této smlouvy a její dílčí kalkulace jsou následující: </w:t>
      </w:r>
    </w:p>
    <w:tbl>
      <w:tblPr>
        <w:tblW w:w="9072" w:type="dxa"/>
        <w:tblInd w:w="421" w:type="dxa"/>
        <w:tblCellMar>
          <w:left w:w="70" w:type="dxa"/>
          <w:right w:w="70" w:type="dxa"/>
        </w:tblCellMar>
        <w:tblLook w:val="04A0"/>
      </w:tblPr>
      <w:tblGrid>
        <w:gridCol w:w="2976"/>
        <w:gridCol w:w="2410"/>
        <w:gridCol w:w="1276"/>
        <w:gridCol w:w="2410"/>
      </w:tblGrid>
      <w:tr w14:paraId="3303AF03" w14:textId="77777777" w:rsidTr="00CB1014">
        <w:tblPrEx>
          <w:tblW w:w="9072" w:type="dxa"/>
          <w:tblInd w:w="421" w:type="dxa"/>
          <w:tblCellMar>
            <w:left w:w="70" w:type="dxa"/>
            <w:right w:w="70" w:type="dxa"/>
          </w:tblCellMar>
          <w:tblLook w:val="04A0"/>
        </w:tblPrEx>
        <w:trPr>
          <w:trHeight w:val="737"/>
        </w:trPr>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C93" w:rsidRPr="00C67C93" w:rsidP="00C67C93" w14:paraId="3FB4FE0C" w14:textId="77777777">
            <w:pPr>
              <w:spacing w:after="0" w:line="240" w:lineRule="auto"/>
              <w:jc w:val="center"/>
              <w:rPr>
                <w:rFonts w:ascii="Arial" w:eastAsia="Times New Roman" w:hAnsi="Arial" w:cs="Arial"/>
                <w:b/>
                <w:bCs/>
                <w:sz w:val="20"/>
                <w:szCs w:val="20"/>
                <w:lang w:eastAsia="cs-CZ"/>
              </w:rPr>
            </w:pPr>
            <w:r w:rsidRPr="00C67C93">
              <w:rPr>
                <w:rFonts w:ascii="Arial" w:eastAsia="Times New Roman" w:hAnsi="Arial" w:cs="Arial"/>
                <w:b/>
                <w:bCs/>
                <w:sz w:val="20"/>
                <w:szCs w:val="20"/>
                <w:lang w:eastAsia="cs-CZ"/>
              </w:rPr>
              <w:t>Položka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67C93" w:rsidRPr="00C67C93" w:rsidP="00C67C93" w14:paraId="1D82F771" w14:textId="77777777">
            <w:pPr>
              <w:spacing w:after="0" w:line="240" w:lineRule="auto"/>
              <w:jc w:val="center"/>
              <w:rPr>
                <w:rFonts w:ascii="Arial" w:eastAsia="Times New Roman" w:hAnsi="Arial" w:cs="Arial"/>
                <w:b/>
                <w:bCs/>
                <w:sz w:val="20"/>
                <w:szCs w:val="20"/>
                <w:lang w:eastAsia="cs-CZ"/>
              </w:rPr>
            </w:pPr>
            <w:r w:rsidRPr="00C67C93">
              <w:rPr>
                <w:rFonts w:ascii="Arial" w:eastAsia="Times New Roman" w:hAnsi="Arial" w:cs="Arial"/>
                <w:b/>
                <w:bCs/>
                <w:sz w:val="20"/>
                <w:szCs w:val="20"/>
                <w:lang w:eastAsia="cs-CZ"/>
              </w:rPr>
              <w:t>Cena za 1 ks</w:t>
            </w:r>
            <w:r w:rsidRPr="00C67C93">
              <w:rPr>
                <w:rFonts w:ascii="Arial" w:eastAsia="Times New Roman" w:hAnsi="Arial" w:cs="Arial"/>
                <w:b/>
                <w:bCs/>
                <w:sz w:val="20"/>
                <w:szCs w:val="20"/>
                <w:lang w:eastAsia="cs-CZ"/>
              </w:rPr>
              <w:br/>
              <w:t>v Kč bez DPH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67C93" w:rsidRPr="00C67C93" w:rsidP="00C67C93" w14:paraId="445B5ECD" w14:textId="77777777">
            <w:pPr>
              <w:spacing w:after="0" w:line="240" w:lineRule="auto"/>
              <w:jc w:val="center"/>
              <w:rPr>
                <w:rFonts w:ascii="Arial" w:eastAsia="Times New Roman" w:hAnsi="Arial" w:cs="Arial"/>
                <w:b/>
                <w:bCs/>
                <w:sz w:val="20"/>
                <w:szCs w:val="20"/>
                <w:lang w:eastAsia="cs-CZ"/>
              </w:rPr>
            </w:pPr>
            <w:r w:rsidRPr="00C67C93">
              <w:rPr>
                <w:rFonts w:ascii="Arial" w:eastAsia="Times New Roman" w:hAnsi="Arial" w:cs="Arial"/>
                <w:b/>
                <w:bCs/>
                <w:sz w:val="20"/>
                <w:szCs w:val="20"/>
                <w:lang w:eastAsia="cs-CZ"/>
              </w:rPr>
              <w:t>Sazba DPH</w:t>
            </w:r>
            <w:r w:rsidRPr="00C67C93">
              <w:rPr>
                <w:rFonts w:ascii="Arial" w:eastAsia="Times New Roman" w:hAnsi="Arial" w:cs="Arial"/>
                <w:b/>
                <w:bCs/>
                <w:sz w:val="20"/>
                <w:szCs w:val="20"/>
                <w:lang w:eastAsia="cs-CZ"/>
              </w:rPr>
              <w:br/>
              <w:t>v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67C93" w:rsidRPr="00C67C93" w:rsidP="00C67C93" w14:paraId="0050B385" w14:textId="08118A3B">
            <w:pPr>
              <w:spacing w:after="0" w:line="240" w:lineRule="auto"/>
              <w:jc w:val="center"/>
              <w:rPr>
                <w:rFonts w:ascii="Arial" w:eastAsia="Times New Roman" w:hAnsi="Arial" w:cs="Arial"/>
                <w:b/>
                <w:bCs/>
                <w:sz w:val="20"/>
                <w:szCs w:val="20"/>
                <w:lang w:eastAsia="cs-CZ"/>
              </w:rPr>
            </w:pPr>
            <w:r w:rsidRPr="00C67C93">
              <w:rPr>
                <w:rFonts w:ascii="Arial" w:eastAsia="Times New Roman" w:hAnsi="Arial" w:cs="Arial"/>
                <w:b/>
                <w:bCs/>
                <w:sz w:val="20"/>
                <w:szCs w:val="20"/>
                <w:lang w:eastAsia="cs-CZ"/>
              </w:rPr>
              <w:t>Cena za 1 ks</w:t>
            </w:r>
            <w:r w:rsidRPr="00C67C93">
              <w:rPr>
                <w:rFonts w:ascii="Arial" w:eastAsia="Times New Roman" w:hAnsi="Arial" w:cs="Arial"/>
                <w:b/>
                <w:bCs/>
                <w:sz w:val="20"/>
                <w:szCs w:val="20"/>
                <w:lang w:eastAsia="cs-CZ"/>
              </w:rPr>
              <w:br/>
              <w:t xml:space="preserve">v Kč vč. DPH </w:t>
            </w:r>
          </w:p>
        </w:tc>
      </w:tr>
      <w:tr w14:paraId="7F12251A"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932064" w:rsidRPr="00C67C93" w:rsidP="00932064" w14:paraId="2F5DDAB0" w14:textId="77777777">
            <w:pPr>
              <w:spacing w:after="0" w:line="240" w:lineRule="auto"/>
              <w:rPr>
                <w:rFonts w:ascii="Arial" w:eastAsia="Times New Roman" w:hAnsi="Arial" w:cs="Arial"/>
                <w:color w:val="000000"/>
                <w:sz w:val="20"/>
                <w:szCs w:val="20"/>
                <w:lang w:eastAsia="cs-CZ"/>
              </w:rPr>
            </w:pPr>
            <w:r w:rsidRPr="00C67C93">
              <w:rPr>
                <w:rFonts w:ascii="Arial" w:eastAsia="Times New Roman" w:hAnsi="Arial" w:cs="Arial"/>
                <w:color w:val="000000"/>
                <w:sz w:val="20"/>
                <w:szCs w:val="20"/>
                <w:lang w:eastAsia="cs-CZ"/>
              </w:rPr>
              <w:t>Deduplikační diskové úložiště</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064" w:rsidRPr="00932064" w:rsidP="00932064" w14:paraId="3E9B5692" w14:textId="2CADF563">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1 613 800,00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2064" w:rsidRPr="00932064" w:rsidP="00932064" w14:paraId="68550790" w14:textId="53C8A26A">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32064" w:rsidRPr="00932064" w:rsidP="00932064" w14:paraId="21100811" w14:textId="0D69D407">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1 952 698,00</w:t>
            </w:r>
          </w:p>
        </w:tc>
      </w:tr>
      <w:tr w14:paraId="017CD5B0"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932064" w:rsidRPr="00C67C93" w:rsidP="00932064" w14:paraId="762647BC" w14:textId="77777777">
            <w:pPr>
              <w:spacing w:after="0" w:line="240" w:lineRule="auto"/>
              <w:rPr>
                <w:rFonts w:ascii="Arial" w:eastAsia="Times New Roman" w:hAnsi="Arial" w:cs="Arial"/>
                <w:color w:val="000000"/>
                <w:sz w:val="20"/>
                <w:szCs w:val="20"/>
                <w:lang w:eastAsia="cs-CZ"/>
              </w:rPr>
            </w:pPr>
            <w:r w:rsidRPr="00C67C93">
              <w:rPr>
                <w:rFonts w:ascii="Arial" w:eastAsia="Times New Roman" w:hAnsi="Arial" w:cs="Arial"/>
                <w:color w:val="000000"/>
                <w:sz w:val="20"/>
                <w:szCs w:val="20"/>
                <w:lang w:eastAsia="cs-CZ"/>
              </w:rPr>
              <w:t>Instalace a konfigurace nového deduplikačního diskového úložiště</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2064" w:rsidRPr="00932064" w:rsidP="00932064" w14:paraId="359AE9B7" w14:textId="2FF7C824">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30 000,00</w:t>
            </w:r>
          </w:p>
        </w:tc>
        <w:tc>
          <w:tcPr>
            <w:tcW w:w="1276"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1304D30C" w14:textId="50E7DE8F">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21</w:t>
            </w:r>
          </w:p>
        </w:tc>
        <w:tc>
          <w:tcPr>
            <w:tcW w:w="2410"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3B21245D" w14:textId="58AC32D9">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36 300,00</w:t>
            </w:r>
          </w:p>
        </w:tc>
      </w:tr>
      <w:tr w14:paraId="5857833A"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932064" w:rsidRPr="00C67C93" w:rsidP="00932064" w14:paraId="2D1E6282" w14:textId="77777777">
            <w:pPr>
              <w:spacing w:after="0" w:line="240" w:lineRule="auto"/>
              <w:rPr>
                <w:rFonts w:ascii="Arial" w:eastAsia="Times New Roman" w:hAnsi="Arial" w:cs="Arial"/>
                <w:color w:val="000000"/>
                <w:sz w:val="20"/>
                <w:szCs w:val="20"/>
                <w:lang w:eastAsia="cs-CZ"/>
              </w:rPr>
            </w:pPr>
            <w:r w:rsidRPr="00C67C93">
              <w:rPr>
                <w:rFonts w:ascii="Arial" w:eastAsia="Times New Roman" w:hAnsi="Arial" w:cs="Arial"/>
                <w:color w:val="000000"/>
                <w:sz w:val="20"/>
                <w:szCs w:val="20"/>
                <w:lang w:eastAsia="cs-CZ"/>
              </w:rPr>
              <w:t>Migrace dat provozních záloh</w:t>
            </w:r>
            <w:r w:rsidRPr="00C67C93">
              <w:rPr>
                <w:rFonts w:ascii="Arial" w:eastAsia="Times New Roman" w:hAnsi="Arial" w:cs="Arial"/>
                <w:color w:val="000000"/>
                <w:sz w:val="20"/>
                <w:szCs w:val="20"/>
                <w:lang w:eastAsia="cs-CZ"/>
              </w:rPr>
              <w:br/>
              <w:t xml:space="preserve">ze stávajícího deduplikačního úložiště na nové  </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2064" w:rsidRPr="00932064" w:rsidP="00932064" w14:paraId="01B5D718" w14:textId="61279F26">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380965BC" w14:textId="1EC5C66B">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21</w:t>
            </w:r>
          </w:p>
        </w:tc>
        <w:tc>
          <w:tcPr>
            <w:tcW w:w="2410"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5B90AD5C" w14:textId="31EB43CA">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60 500,00</w:t>
            </w:r>
          </w:p>
        </w:tc>
      </w:tr>
      <w:tr w14:paraId="2B4B8155"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932064" w:rsidRPr="00C67C93" w:rsidP="00932064" w14:paraId="30523BFC" w14:textId="77777777">
            <w:pPr>
              <w:spacing w:after="0" w:line="240" w:lineRule="auto"/>
              <w:rPr>
                <w:rFonts w:ascii="Arial" w:eastAsia="Times New Roman" w:hAnsi="Arial" w:cs="Arial"/>
                <w:color w:val="000000"/>
                <w:sz w:val="20"/>
                <w:szCs w:val="20"/>
                <w:lang w:eastAsia="cs-CZ"/>
              </w:rPr>
            </w:pPr>
            <w:r w:rsidRPr="00C67C93">
              <w:rPr>
                <w:rFonts w:ascii="Arial" w:eastAsia="Times New Roman" w:hAnsi="Arial" w:cs="Arial"/>
                <w:color w:val="000000"/>
                <w:sz w:val="20"/>
                <w:szCs w:val="20"/>
                <w:lang w:eastAsia="cs-CZ"/>
              </w:rPr>
              <w:t xml:space="preserve">Nastavení replikace kritických zálohovaných dat mezi novým diskovým úložištěm a stávajícím </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2064" w:rsidRPr="00932064" w:rsidP="00932064" w14:paraId="5DD40C4F" w14:textId="299479D2">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15 000,00</w:t>
            </w:r>
          </w:p>
        </w:tc>
        <w:tc>
          <w:tcPr>
            <w:tcW w:w="1276"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2AE923C5" w14:textId="5DDFC797">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21</w:t>
            </w:r>
          </w:p>
        </w:tc>
        <w:tc>
          <w:tcPr>
            <w:tcW w:w="2410"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4D0DF3B7" w14:textId="5DBA1C72">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18 150,00</w:t>
            </w:r>
          </w:p>
        </w:tc>
      </w:tr>
      <w:tr w14:paraId="0DE830F7"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932064" w:rsidRPr="00C67C93" w:rsidP="00932064" w14:paraId="0AAD6928" w14:textId="77777777">
            <w:pPr>
              <w:spacing w:after="0" w:line="240" w:lineRule="auto"/>
              <w:rPr>
                <w:rFonts w:ascii="Arial" w:eastAsia="Times New Roman" w:hAnsi="Arial" w:cs="Arial"/>
                <w:color w:val="000000"/>
                <w:sz w:val="20"/>
                <w:szCs w:val="20"/>
                <w:lang w:eastAsia="cs-CZ"/>
              </w:rPr>
            </w:pPr>
            <w:r w:rsidRPr="00C67C93">
              <w:rPr>
                <w:rFonts w:ascii="Arial" w:eastAsia="Times New Roman" w:hAnsi="Arial" w:cs="Arial"/>
                <w:color w:val="000000"/>
                <w:sz w:val="20"/>
                <w:szCs w:val="20"/>
                <w:lang w:eastAsia="cs-CZ"/>
              </w:rPr>
              <w:t>Servisní podpora 60 měsíců</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2064" w:rsidRPr="00932064" w:rsidP="00932064" w14:paraId="39A7DDC0" w14:textId="47E223F2">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849 800,00</w:t>
            </w:r>
          </w:p>
        </w:tc>
        <w:tc>
          <w:tcPr>
            <w:tcW w:w="1276"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77F2EDC2" w14:textId="7D71A9D7">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21</w:t>
            </w:r>
          </w:p>
        </w:tc>
        <w:tc>
          <w:tcPr>
            <w:tcW w:w="2410"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3D98119B" w14:textId="6409E364">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1 028 258,00</w:t>
            </w:r>
          </w:p>
        </w:tc>
      </w:tr>
      <w:tr w14:paraId="24C3B965" w14:textId="77777777" w:rsidTr="00CB1014">
        <w:tblPrEx>
          <w:tblW w:w="9072" w:type="dxa"/>
          <w:tblInd w:w="421" w:type="dxa"/>
          <w:tblCellMar>
            <w:left w:w="70" w:type="dxa"/>
            <w:right w:w="70" w:type="dxa"/>
          </w:tblCellMar>
          <w:tblLook w:val="04A0"/>
        </w:tblPrEx>
        <w:trPr>
          <w:trHeight w:val="737"/>
        </w:trPr>
        <w:tc>
          <w:tcPr>
            <w:tcW w:w="2976" w:type="dxa"/>
            <w:tcBorders>
              <w:top w:val="nil"/>
              <w:left w:val="single" w:sz="4" w:space="0" w:color="auto"/>
              <w:bottom w:val="single" w:sz="4" w:space="0" w:color="auto"/>
              <w:right w:val="single" w:sz="4" w:space="0" w:color="auto"/>
            </w:tcBorders>
            <w:shd w:val="clear" w:color="auto" w:fill="auto"/>
            <w:noWrap/>
            <w:vAlign w:val="center"/>
            <w:hideMark/>
          </w:tcPr>
          <w:p w:rsidR="00932064" w:rsidRPr="00C67C93" w:rsidP="00932064" w14:paraId="1FAB3C6A" w14:textId="40EAFF37">
            <w:pPr>
              <w:spacing w:after="0" w:line="240" w:lineRule="auto"/>
              <w:rPr>
                <w:rFonts w:ascii="Arial" w:eastAsia="Times New Roman" w:hAnsi="Arial" w:cs="Arial"/>
                <w:b/>
                <w:bCs/>
                <w:color w:val="000000"/>
                <w:sz w:val="20"/>
                <w:szCs w:val="20"/>
                <w:lang w:eastAsia="cs-CZ"/>
              </w:rPr>
            </w:pPr>
            <w:r w:rsidRPr="00C67C93">
              <w:rPr>
                <w:rFonts w:ascii="Arial" w:eastAsia="Times New Roman" w:hAnsi="Arial" w:cs="Arial"/>
                <w:b/>
                <w:bCs/>
                <w:color w:val="000000"/>
                <w:sz w:val="20"/>
                <w:szCs w:val="20"/>
                <w:lang w:eastAsia="cs-CZ"/>
              </w:rPr>
              <w:t xml:space="preserve">Celková cena   </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2064" w:rsidRPr="00932064" w:rsidP="00932064" w14:paraId="07396955" w14:textId="6A654C91">
            <w:pPr>
              <w:spacing w:after="0" w:line="240" w:lineRule="auto"/>
              <w:jc w:val="center"/>
              <w:rPr>
                <w:rFonts w:ascii="Arial" w:eastAsia="Times New Roman" w:hAnsi="Arial" w:cs="Arial"/>
                <w:color w:val="000000"/>
                <w:sz w:val="20"/>
                <w:szCs w:val="20"/>
                <w:lang w:eastAsia="cs-CZ"/>
              </w:rPr>
            </w:pPr>
            <w:r w:rsidRPr="00932064">
              <w:rPr>
                <w:rFonts w:ascii="Arial" w:hAnsi="Arial" w:cs="Arial"/>
                <w:color w:val="000000"/>
                <w:sz w:val="20"/>
                <w:szCs w:val="20"/>
              </w:rPr>
              <w:t>2 558 600,00</w:t>
            </w:r>
          </w:p>
        </w:tc>
        <w:tc>
          <w:tcPr>
            <w:tcW w:w="1276" w:type="dxa"/>
            <w:tcBorders>
              <w:top w:val="nil"/>
              <w:left w:val="nil"/>
              <w:bottom w:val="single" w:sz="4" w:space="0" w:color="auto"/>
              <w:right w:val="single" w:sz="4" w:space="0" w:color="auto"/>
              <w:tr2bl w:val="single" w:sz="4" w:space="0" w:color="auto"/>
            </w:tcBorders>
            <w:shd w:val="clear" w:color="auto" w:fill="auto"/>
            <w:noWrap/>
            <w:vAlign w:val="center"/>
            <w:hideMark/>
          </w:tcPr>
          <w:p w:rsidR="00932064" w:rsidRPr="00932064" w:rsidP="00932064" w14:paraId="408A858C" w14:textId="21389383">
            <w:pPr>
              <w:spacing w:after="0" w:line="240" w:lineRule="auto"/>
              <w:rPr>
                <w:rFonts w:ascii="Arial" w:eastAsia="Times New Roman" w:hAnsi="Arial" w:cs="Arial"/>
                <w:b/>
                <w:bCs/>
                <w:color w:val="000000"/>
                <w:sz w:val="20"/>
                <w:szCs w:val="20"/>
                <w:lang w:eastAsia="cs-CZ"/>
              </w:rPr>
            </w:pPr>
            <w:r w:rsidRPr="00932064">
              <w:rPr>
                <w:rFonts w:ascii="Arial" w:hAnsi="Arial" w:cs="Arial"/>
                <w:b/>
                <w:bCs/>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rsidR="00932064" w:rsidRPr="00932064" w:rsidP="00932064" w14:paraId="1D321105" w14:textId="127FD3D2">
            <w:pPr>
              <w:spacing w:after="0" w:line="240" w:lineRule="auto"/>
              <w:jc w:val="center"/>
              <w:rPr>
                <w:rFonts w:ascii="Arial" w:eastAsia="Times New Roman" w:hAnsi="Arial" w:cs="Arial"/>
                <w:b/>
                <w:bCs/>
                <w:color w:val="000000"/>
                <w:sz w:val="20"/>
                <w:szCs w:val="20"/>
                <w:lang w:eastAsia="cs-CZ"/>
              </w:rPr>
            </w:pPr>
            <w:r w:rsidRPr="00932064">
              <w:rPr>
                <w:rFonts w:ascii="Arial" w:hAnsi="Arial" w:cs="Arial"/>
                <w:b/>
                <w:bCs/>
                <w:color w:val="000000"/>
                <w:sz w:val="20"/>
                <w:szCs w:val="20"/>
              </w:rPr>
              <w:t>3 095 906,00</w:t>
            </w:r>
          </w:p>
        </w:tc>
      </w:tr>
    </w:tbl>
    <w:p w:rsidR="00C67C93" w:rsidP="00C67C93" w14:paraId="739EFD78" w14:textId="77777777">
      <w:pPr>
        <w:tabs>
          <w:tab w:val="num" w:pos="426"/>
        </w:tabs>
        <w:spacing w:after="0" w:line="240" w:lineRule="auto"/>
        <w:jc w:val="both"/>
        <w:rPr>
          <w:rFonts w:ascii="Arial" w:hAnsi="Arial" w:cs="Arial"/>
        </w:rPr>
      </w:pPr>
    </w:p>
    <w:p w:rsidR="00BB2E82" w:rsidP="00C67C93" w14:paraId="27A34EA3" w14:textId="093787BA">
      <w:pPr>
        <w:pStyle w:val="ListParagraph"/>
        <w:numPr>
          <w:ilvl w:val="0"/>
          <w:numId w:val="3"/>
        </w:numPr>
        <w:tabs>
          <w:tab w:val="num" w:pos="426"/>
        </w:tabs>
        <w:suppressAutoHyphens/>
        <w:spacing w:after="120" w:line="240" w:lineRule="auto"/>
        <w:ind w:left="357" w:hanging="357"/>
        <w:contextualSpacing w:val="0"/>
        <w:jc w:val="both"/>
        <w:rPr>
          <w:rFonts w:ascii="Arial" w:eastAsia="Calibri" w:hAnsi="Arial" w:cs="Arial"/>
          <w:lang w:eastAsia="cs-CZ"/>
        </w:rPr>
      </w:pPr>
      <w:r w:rsidRPr="004627C5">
        <w:rPr>
          <w:rFonts w:ascii="Arial" w:eastAsia="Calibri" w:hAnsi="Arial" w:cs="Arial"/>
          <w:lang w:eastAsia="cs-CZ"/>
        </w:rPr>
        <w:t>Celková cena</w:t>
      </w:r>
      <w:r w:rsidR="00EA454B">
        <w:rPr>
          <w:rFonts w:ascii="Arial" w:eastAsia="Calibri" w:hAnsi="Arial" w:cs="Arial"/>
          <w:lang w:eastAsia="cs-CZ"/>
        </w:rPr>
        <w:t xml:space="preserve"> dle odst. 1 tohoto článku</w:t>
      </w:r>
      <w:r w:rsidRPr="004627C5">
        <w:rPr>
          <w:rFonts w:ascii="Arial" w:eastAsia="Calibri" w:hAnsi="Arial" w:cs="Arial"/>
          <w:lang w:eastAsia="cs-CZ"/>
        </w:rPr>
        <w:t xml:space="preserve"> je stanovena jako cena nejvýše přípustná a nepřekročitelná a zahrnuje zejména veškeré náklady prodávajícího spojené s plněním předmětu smlouvy, včetně dopravy </w:t>
      </w:r>
      <w:r>
        <w:rPr>
          <w:rFonts w:ascii="Arial" w:eastAsia="Calibri" w:hAnsi="Arial" w:cs="Arial"/>
          <w:lang w:eastAsia="cs-CZ"/>
        </w:rPr>
        <w:t>z/</w:t>
      </w:r>
      <w:r w:rsidRPr="004627C5">
        <w:rPr>
          <w:rFonts w:ascii="Arial" w:eastAsia="Calibri" w:hAnsi="Arial" w:cs="Arial"/>
          <w:lang w:eastAsia="cs-CZ"/>
        </w:rPr>
        <w:t>do místa plnění. Cenu je možné měnit pouze v případě změny sazby DPH; v takovém případě není třeba uzavírat dodatek k této smlouvě, ale bude aplikována sazba DPH vždy v aktuální výši</w:t>
      </w:r>
      <w:r>
        <w:rPr>
          <w:rFonts w:ascii="Arial" w:eastAsia="Calibri" w:hAnsi="Arial" w:cs="Arial"/>
          <w:lang w:eastAsia="cs-CZ"/>
        </w:rPr>
        <w:t xml:space="preserve"> dle platných právních předpisů.</w:t>
      </w:r>
    </w:p>
    <w:p w:rsidR="00BB2E82" w:rsidRPr="00333F06" w:rsidP="00BB2E82" w14:paraId="3F0C91D1" w14:textId="6755ED52">
      <w:pPr>
        <w:numPr>
          <w:ilvl w:val="0"/>
          <w:numId w:val="3"/>
        </w:numPr>
        <w:spacing w:after="120" w:line="240" w:lineRule="auto"/>
        <w:ind w:left="357" w:hanging="357"/>
        <w:jc w:val="both"/>
        <w:rPr>
          <w:rFonts w:ascii="Arial" w:eastAsia="Calibri" w:hAnsi="Arial" w:cs="Arial"/>
        </w:rPr>
      </w:pPr>
      <w:r>
        <w:rPr>
          <w:rFonts w:ascii="Arial" w:hAnsi="Arial" w:cs="Arial"/>
        </w:rPr>
        <w:t>P</w:t>
      </w:r>
      <w:r w:rsidR="005905BB">
        <w:rPr>
          <w:rFonts w:ascii="Arial" w:hAnsi="Arial" w:cs="Arial"/>
        </w:rPr>
        <w:t>rodávající</w:t>
      </w:r>
      <w:r w:rsidRPr="00F35E63">
        <w:rPr>
          <w:rFonts w:ascii="Arial" w:hAnsi="Arial" w:cs="Arial"/>
        </w:rPr>
        <w:t xml:space="preserve"> je oprávněn vystavit fakturu po převzetí </w:t>
      </w:r>
      <w:r>
        <w:rPr>
          <w:rFonts w:ascii="Arial" w:hAnsi="Arial" w:cs="Arial"/>
        </w:rPr>
        <w:t xml:space="preserve">zboží kupujícím </w:t>
      </w:r>
      <w:r w:rsidR="00EA454B">
        <w:rPr>
          <w:rFonts w:ascii="Arial" w:hAnsi="Arial" w:cs="Arial"/>
        </w:rPr>
        <w:t xml:space="preserve">a po podpisu předávacího protokolu </w:t>
      </w:r>
      <w:r>
        <w:rPr>
          <w:rFonts w:ascii="Arial" w:hAnsi="Arial" w:cs="Arial"/>
        </w:rPr>
        <w:t xml:space="preserve">dle </w:t>
      </w:r>
      <w:r w:rsidRPr="003B4669">
        <w:rPr>
          <w:rFonts w:ascii="Arial" w:hAnsi="Arial" w:cs="Arial"/>
        </w:rPr>
        <w:t>čl. I</w:t>
      </w:r>
      <w:r>
        <w:rPr>
          <w:rFonts w:ascii="Arial" w:hAnsi="Arial" w:cs="Arial"/>
        </w:rPr>
        <w:t>I</w:t>
      </w:r>
      <w:r w:rsidRPr="003B4669">
        <w:rPr>
          <w:rFonts w:ascii="Arial" w:hAnsi="Arial" w:cs="Arial"/>
        </w:rPr>
        <w:t xml:space="preserve"> odst. </w:t>
      </w:r>
      <w:r>
        <w:rPr>
          <w:rFonts w:ascii="Arial" w:hAnsi="Arial" w:cs="Arial"/>
        </w:rPr>
        <w:t>3</w:t>
      </w:r>
      <w:r w:rsidRPr="003B4669">
        <w:rPr>
          <w:rFonts w:ascii="Arial" w:hAnsi="Arial" w:cs="Arial"/>
        </w:rPr>
        <w:t xml:space="preserve"> této smlouvy</w:t>
      </w:r>
      <w:r w:rsidR="00EA454B">
        <w:rPr>
          <w:rFonts w:ascii="Arial" w:hAnsi="Arial" w:cs="Arial"/>
        </w:rPr>
        <w:t xml:space="preserve"> oběma smluvními stranami</w:t>
      </w:r>
      <w:r w:rsidRPr="00F35E63">
        <w:rPr>
          <w:rFonts w:ascii="Arial" w:hAnsi="Arial" w:cs="Arial"/>
        </w:rPr>
        <w:t xml:space="preserve">. </w:t>
      </w:r>
      <w:r>
        <w:rPr>
          <w:rFonts w:ascii="Arial" w:hAnsi="Arial" w:cs="Arial"/>
        </w:rPr>
        <w:t>C</w:t>
      </w:r>
      <w:r w:rsidRPr="00F35E63">
        <w:rPr>
          <w:rFonts w:ascii="Arial" w:hAnsi="Arial" w:cs="Arial"/>
        </w:rPr>
        <w:t>enu</w:t>
      </w:r>
      <w:r>
        <w:rPr>
          <w:rFonts w:ascii="Arial" w:hAnsi="Arial" w:cs="Arial"/>
        </w:rPr>
        <w:t xml:space="preserve"> za poskytnuté zboží u</w:t>
      </w:r>
      <w:r w:rsidRPr="00F35E63">
        <w:rPr>
          <w:rFonts w:ascii="Arial" w:hAnsi="Arial" w:cs="Arial"/>
        </w:rPr>
        <w:t xml:space="preserve">hradí </w:t>
      </w:r>
      <w:r>
        <w:rPr>
          <w:rFonts w:ascii="Arial" w:hAnsi="Arial" w:cs="Arial"/>
        </w:rPr>
        <w:t xml:space="preserve">kupující </w:t>
      </w:r>
      <w:r w:rsidRPr="00F35E63">
        <w:rPr>
          <w:rFonts w:ascii="Arial" w:hAnsi="Arial" w:cs="Arial"/>
        </w:rPr>
        <w:t xml:space="preserve">na základě faktury </w:t>
      </w:r>
      <w:r>
        <w:rPr>
          <w:rFonts w:ascii="Arial" w:hAnsi="Arial" w:cs="Arial"/>
        </w:rPr>
        <w:t xml:space="preserve">prodávajícího </w:t>
      </w:r>
      <w:r w:rsidRPr="00F35E63">
        <w:rPr>
          <w:rFonts w:ascii="Arial" w:hAnsi="Arial" w:cs="Arial"/>
        </w:rPr>
        <w:t>bezhotovostním převodem, přičemž splatnost faktury je 21 dnů ode dne jejího doručení</w:t>
      </w:r>
      <w:r>
        <w:rPr>
          <w:rFonts w:ascii="Arial" w:hAnsi="Arial" w:cs="Arial"/>
        </w:rPr>
        <w:t xml:space="preserve"> kupujícímu</w:t>
      </w:r>
      <w:r w:rsidRPr="00333F06">
        <w:rPr>
          <w:rFonts w:ascii="Arial" w:eastAsia="Calibri" w:hAnsi="Arial" w:cs="Arial"/>
        </w:rPr>
        <w:t>.</w:t>
      </w:r>
    </w:p>
    <w:p w:rsidR="00BB2E82" w:rsidRPr="00333F06" w:rsidP="00BB2E82" w14:paraId="6042C728" w14:textId="77777777">
      <w:pPr>
        <w:numPr>
          <w:ilvl w:val="0"/>
          <w:numId w:val="3"/>
        </w:numPr>
        <w:spacing w:after="120" w:line="240" w:lineRule="auto"/>
        <w:ind w:left="357" w:hanging="357"/>
        <w:jc w:val="both"/>
        <w:rPr>
          <w:rFonts w:ascii="Arial" w:eastAsia="Calibri" w:hAnsi="Arial" w:cs="Arial"/>
        </w:rPr>
      </w:pPr>
      <w:r w:rsidRPr="008556E0">
        <w:rPr>
          <w:rFonts w:ascii="Arial" w:hAnsi="Arial" w:cs="Arial"/>
        </w:rPr>
        <w:t xml:space="preserve">Faktura </w:t>
      </w:r>
      <w:r>
        <w:rPr>
          <w:rFonts w:ascii="Arial" w:hAnsi="Arial" w:cs="Arial"/>
        </w:rPr>
        <w:t xml:space="preserve">prodávajícího </w:t>
      </w:r>
      <w:r w:rsidRPr="008556E0">
        <w:rPr>
          <w:rFonts w:ascii="Arial" w:hAnsi="Arial" w:cs="Arial"/>
        </w:rPr>
        <w:t xml:space="preserve">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Pr>
          <w:rFonts w:ascii="Arial" w:hAnsi="Arial" w:cs="Arial"/>
        </w:rPr>
        <w:t xml:space="preserve">prodávajícím </w:t>
      </w:r>
      <w:r w:rsidRPr="008556E0">
        <w:rPr>
          <w:rFonts w:ascii="Arial" w:hAnsi="Arial" w:cs="Arial"/>
        </w:rPr>
        <w:t xml:space="preserve">v záhlaví této smlouvy a </w:t>
      </w:r>
      <w:r>
        <w:rPr>
          <w:rFonts w:ascii="Arial" w:hAnsi="Arial" w:cs="Arial"/>
        </w:rPr>
        <w:t xml:space="preserve">přílohou faktury musí být kopie </w:t>
      </w:r>
      <w:r w:rsidRPr="008556E0">
        <w:rPr>
          <w:rFonts w:ascii="Arial" w:hAnsi="Arial" w:cs="Arial"/>
        </w:rPr>
        <w:t>předávacího protokolu</w:t>
      </w:r>
      <w:r>
        <w:rPr>
          <w:rFonts w:ascii="Arial" w:hAnsi="Arial" w:cs="Arial"/>
        </w:rPr>
        <w:t xml:space="preserve"> </w:t>
      </w:r>
      <w:r w:rsidRPr="008556E0">
        <w:rPr>
          <w:rFonts w:ascii="Arial" w:hAnsi="Arial" w:cs="Arial"/>
        </w:rPr>
        <w:t xml:space="preserve">dle čl. II odst. </w:t>
      </w:r>
      <w:r>
        <w:rPr>
          <w:rFonts w:ascii="Arial" w:hAnsi="Arial" w:cs="Arial"/>
        </w:rPr>
        <w:t xml:space="preserve">3 </w:t>
      </w:r>
      <w:r w:rsidRPr="008556E0">
        <w:rPr>
          <w:rFonts w:ascii="Arial" w:hAnsi="Arial" w:cs="Arial"/>
        </w:rPr>
        <w:t>této smlouvy.</w:t>
      </w:r>
    </w:p>
    <w:p w:rsidR="00BB2E82" w:rsidRPr="00333F06" w:rsidP="00BB2E82" w14:paraId="7CDF2743" w14:textId="77777777">
      <w:pPr>
        <w:numPr>
          <w:ilvl w:val="0"/>
          <w:numId w:val="3"/>
        </w:numPr>
        <w:spacing w:after="120" w:line="240" w:lineRule="auto"/>
        <w:ind w:left="357" w:hanging="357"/>
        <w:jc w:val="both"/>
        <w:rPr>
          <w:rFonts w:ascii="Arial" w:eastAsia="Calibri" w:hAnsi="Arial" w:cs="Arial"/>
        </w:rPr>
      </w:pPr>
      <w:r w:rsidRPr="00333F06">
        <w:rPr>
          <w:rFonts w:ascii="Arial" w:eastAsia="Calibri" w:hAnsi="Arial" w:cs="Arial"/>
        </w:rPr>
        <w:t>V případě, že faktura nebude mít stanovené náležitosti nebo bude obsahovat chybné údaje, je objednatel oprávněn tuto fakturu ve lhůtě její</w:t>
      </w:r>
      <w:r>
        <w:rPr>
          <w:rFonts w:ascii="Arial" w:eastAsia="Calibri" w:hAnsi="Arial" w:cs="Arial"/>
        </w:rPr>
        <w:t xml:space="preserve"> splatnosti vrátit prodávajícímu</w:t>
      </w:r>
      <w:r w:rsidRPr="00333F06">
        <w:rPr>
          <w:rFonts w:ascii="Arial" w:eastAsia="Calibri" w:hAnsi="Arial" w:cs="Arial"/>
        </w:rPr>
        <w:t xml:space="preserve">, aniž by se tím </w:t>
      </w:r>
      <w:r>
        <w:rPr>
          <w:rFonts w:ascii="Arial" w:eastAsia="Calibri" w:hAnsi="Arial" w:cs="Arial"/>
        </w:rPr>
        <w:t xml:space="preserve">kupující </w:t>
      </w:r>
      <w:r w:rsidRPr="00333F06">
        <w:rPr>
          <w:rFonts w:ascii="Arial" w:eastAsia="Calibri" w:hAnsi="Arial" w:cs="Arial"/>
        </w:rPr>
        <w:t>dostal do prodlení s úhradou faktury. Nová lhůta splatnosti počíná běžet dnem obdržení opravené nebo nově vystavené faktury. Důvod případného vráce</w:t>
      </w:r>
      <w:r>
        <w:rPr>
          <w:rFonts w:ascii="Arial" w:eastAsia="Calibri" w:hAnsi="Arial" w:cs="Arial"/>
        </w:rPr>
        <w:t>ní faktury musí být kupujícím</w:t>
      </w:r>
      <w:r w:rsidRPr="00333F06">
        <w:rPr>
          <w:rFonts w:ascii="Arial" w:eastAsia="Calibri" w:hAnsi="Arial" w:cs="Arial"/>
        </w:rPr>
        <w:t xml:space="preserve"> jednoznačně vymezen.</w:t>
      </w:r>
    </w:p>
    <w:p w:rsidR="00BB2E82" w:rsidRPr="00333F06" w:rsidP="00BB2E82" w14:paraId="17F23E76" w14:textId="3B8D79BF">
      <w:pPr>
        <w:numPr>
          <w:ilvl w:val="0"/>
          <w:numId w:val="3"/>
        </w:numPr>
        <w:spacing w:after="120" w:line="240" w:lineRule="auto"/>
        <w:ind w:left="357" w:hanging="357"/>
        <w:jc w:val="both"/>
        <w:rPr>
          <w:rFonts w:ascii="Arial" w:eastAsia="Calibri" w:hAnsi="Arial" w:cs="Arial"/>
        </w:rPr>
      </w:pPr>
      <w:r>
        <w:rPr>
          <w:rFonts w:ascii="Arial" w:eastAsia="Calibri" w:hAnsi="Arial" w:cs="Arial"/>
        </w:rPr>
        <w:t xml:space="preserve">Prodávající </w:t>
      </w:r>
      <w:r w:rsidRPr="00333F06">
        <w:rPr>
          <w:rFonts w:ascii="Arial" w:eastAsia="Calibri" w:hAnsi="Arial" w:cs="Arial"/>
        </w:rPr>
        <w:t xml:space="preserve">je oprávněn fakturu včetně všech jejích příloh vystavit v elektronické formě dle § 26 ZDPH, a to ve formátu ISDOC nebo ISDOCX verze 5.2 nebo vyšší. </w:t>
      </w:r>
      <w:r>
        <w:rPr>
          <w:rFonts w:ascii="Arial" w:eastAsia="Calibri" w:hAnsi="Arial" w:cs="Arial"/>
        </w:rPr>
        <w:t>Prodávající</w:t>
      </w:r>
      <w:r w:rsidRPr="00333F06">
        <w:rPr>
          <w:rFonts w:ascii="Arial" w:eastAsia="Calibri" w:hAnsi="Arial" w:cs="Arial"/>
        </w:rPr>
        <w:t xml:space="preserve"> je dále oprávněn vystavit fakturu ve formátu, který je v souladu s evropským standardem elektronické faktury dle </w:t>
      </w:r>
      <w:r w:rsidRPr="00333F06">
        <w:rPr>
          <w:rFonts w:ascii="Arial" w:eastAsia="Calibri" w:hAnsi="Arial" w:cs="Arial"/>
        </w:rPr>
        <w:t xml:space="preserve">technické normy ČSN EN 16931-1:2017. Elektronickou fakturu je možné zaslat datovou schránkou (identifikace: trfaa33) nebo elektronickou poštou na adresu </w:t>
      </w:r>
      <w:hyperlink r:id="rId4" w:history="1">
        <w:r w:rsidRPr="00AD42D7">
          <w:rPr>
            <w:rStyle w:val="Hyperlink"/>
            <w:rFonts w:ascii="Arial" w:eastAsia="Calibri" w:hAnsi="Arial" w:cs="Arial"/>
          </w:rPr>
          <w:t>posta@vlada.</w:t>
        </w:r>
        <w:r w:rsidRPr="00AD42D7" w:rsidR="001E3A2C">
          <w:rPr>
            <w:rStyle w:val="Hyperlink"/>
            <w:rFonts w:ascii="Arial" w:eastAsia="Calibri" w:hAnsi="Arial" w:cs="Arial"/>
          </w:rPr>
          <w:t>gov.</w:t>
        </w:r>
        <w:r w:rsidRPr="00AD42D7">
          <w:rPr>
            <w:rStyle w:val="Hyperlink"/>
            <w:rFonts w:ascii="Arial" w:eastAsia="Calibri" w:hAnsi="Arial" w:cs="Arial"/>
          </w:rPr>
          <w:t>cz</w:t>
        </w:r>
      </w:hyperlink>
      <w:r w:rsidRPr="00333F06">
        <w:rPr>
          <w:rFonts w:ascii="Arial" w:eastAsia="Calibri" w:hAnsi="Arial" w:cs="Arial"/>
        </w:rPr>
        <w:t>.</w:t>
      </w:r>
    </w:p>
    <w:p w:rsidR="00BB2E82" w:rsidRPr="00333F06" w:rsidP="00BB2E82" w14:paraId="4352F7EE" w14:textId="77777777">
      <w:pPr>
        <w:numPr>
          <w:ilvl w:val="0"/>
          <w:numId w:val="3"/>
        </w:numPr>
        <w:spacing w:after="120" w:line="240" w:lineRule="auto"/>
        <w:ind w:left="357" w:hanging="357"/>
        <w:jc w:val="both"/>
        <w:rPr>
          <w:rFonts w:ascii="Arial" w:eastAsia="Calibri" w:hAnsi="Arial" w:cs="Arial"/>
        </w:rPr>
      </w:pPr>
      <w:r w:rsidRPr="00333F06">
        <w:rPr>
          <w:rFonts w:ascii="Arial" w:eastAsia="Calibri" w:hAnsi="Arial" w:cs="Arial"/>
        </w:rPr>
        <w:t>V případě, že úhrada má být provedena zcela nebo zčásti bezhotovostním převodem na účet vedený poskytovatelem platebních služeb mimo tuzemsko ve smyslu § 109 odst. 2 písm. b) ZDPH, nebo</w:t>
      </w:r>
      <w:r>
        <w:rPr>
          <w:rFonts w:ascii="Arial" w:eastAsia="Calibri" w:hAnsi="Arial" w:cs="Arial"/>
        </w:rPr>
        <w:t xml:space="preserve"> číslo bankovního účtu prodávajícího</w:t>
      </w:r>
      <w:r w:rsidRPr="00333F06">
        <w:rPr>
          <w:rFonts w:ascii="Arial" w:eastAsia="Calibri" w:hAnsi="Arial" w:cs="Arial"/>
        </w:rPr>
        <w:t xml:space="preserve"> uvedené v této smlouvě nebo na daňovém dokladu vystaveném </w:t>
      </w:r>
      <w:r>
        <w:rPr>
          <w:rFonts w:ascii="Arial" w:eastAsia="Calibri" w:hAnsi="Arial" w:cs="Arial"/>
        </w:rPr>
        <w:t xml:space="preserve">prodávajícím </w:t>
      </w:r>
      <w:r w:rsidRPr="00333F06">
        <w:rPr>
          <w:rFonts w:ascii="Arial" w:eastAsia="Calibri" w:hAnsi="Arial" w:cs="Arial"/>
        </w:rPr>
        <w:t xml:space="preserve">nebude uveřejněno způsobem umožňujícím dálkový přístup ve smyslu § 109 odst. 2 písm. c) ZDPH </w:t>
      </w:r>
      <w:r>
        <w:rPr>
          <w:rFonts w:ascii="Arial" w:eastAsia="Calibri" w:hAnsi="Arial" w:cs="Arial"/>
        </w:rPr>
        <w:t xml:space="preserve">a nebo stane-li se prodávající </w:t>
      </w:r>
      <w:r w:rsidRPr="00333F06">
        <w:rPr>
          <w:rFonts w:ascii="Arial" w:eastAsia="Calibri" w:hAnsi="Arial" w:cs="Arial"/>
        </w:rPr>
        <w:t xml:space="preserve">nespolehlivým plátcem ve smyslu § 106a ZDPH, je </w:t>
      </w:r>
      <w:r>
        <w:rPr>
          <w:rFonts w:ascii="Arial" w:eastAsia="Calibri" w:hAnsi="Arial" w:cs="Arial"/>
        </w:rPr>
        <w:t xml:space="preserve">kupující </w:t>
      </w:r>
      <w:r w:rsidRPr="00333F06">
        <w:rPr>
          <w:rFonts w:ascii="Arial" w:eastAsia="Calibri" w:hAnsi="Arial" w:cs="Arial"/>
        </w:rPr>
        <w:t xml:space="preserve">oprávněn uhradit </w:t>
      </w:r>
      <w:r>
        <w:rPr>
          <w:rFonts w:ascii="Arial" w:eastAsia="Calibri" w:hAnsi="Arial" w:cs="Arial"/>
        </w:rPr>
        <w:t xml:space="preserve">prodávajícímu </w:t>
      </w:r>
      <w:r w:rsidRPr="00333F06">
        <w:rPr>
          <w:rFonts w:ascii="Arial" w:eastAsia="Calibri" w:hAnsi="Arial" w:cs="Arial"/>
        </w:rPr>
        <w:t xml:space="preserve">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rsidR="00BB2E82" w:rsidP="00BB2E82" w14:paraId="60FE2EBD" w14:textId="77777777">
      <w:pPr>
        <w:numPr>
          <w:ilvl w:val="0"/>
          <w:numId w:val="3"/>
        </w:numPr>
        <w:spacing w:after="120" w:line="240" w:lineRule="auto"/>
        <w:ind w:left="357" w:hanging="357"/>
        <w:jc w:val="both"/>
        <w:rPr>
          <w:rFonts w:ascii="Arial" w:eastAsia="Calibri" w:hAnsi="Arial" w:cs="Arial"/>
        </w:rPr>
      </w:pPr>
      <w:r>
        <w:rPr>
          <w:rFonts w:ascii="Arial" w:eastAsia="Calibri" w:hAnsi="Arial" w:cs="Arial"/>
        </w:rPr>
        <w:t>Povinnost kupujícího</w:t>
      </w:r>
      <w:r w:rsidRPr="00333F06">
        <w:rPr>
          <w:rFonts w:ascii="Arial" w:eastAsia="Calibri" w:hAnsi="Arial" w:cs="Arial"/>
        </w:rPr>
        <w:t xml:space="preserve"> zaplatit fakturovanou částku dle této smlouvy je splněna odepsáním pří</w:t>
      </w:r>
      <w:r>
        <w:rPr>
          <w:rFonts w:ascii="Arial" w:eastAsia="Calibri" w:hAnsi="Arial" w:cs="Arial"/>
        </w:rPr>
        <w:t>slušné částky z účtu kupujícího</w:t>
      </w:r>
      <w:r w:rsidRPr="00333F06">
        <w:rPr>
          <w:rFonts w:ascii="Arial" w:eastAsia="Calibri" w:hAnsi="Arial" w:cs="Arial"/>
        </w:rPr>
        <w:t xml:space="preserve"> ve prospěch účtu p</w:t>
      </w:r>
      <w:r>
        <w:rPr>
          <w:rFonts w:ascii="Arial" w:eastAsia="Calibri" w:hAnsi="Arial" w:cs="Arial"/>
        </w:rPr>
        <w:t>rodávajícího</w:t>
      </w:r>
      <w:r w:rsidRPr="00333F06">
        <w:rPr>
          <w:rFonts w:ascii="Arial" w:eastAsia="Calibri" w:hAnsi="Arial" w:cs="Arial"/>
        </w:rPr>
        <w:t>.</w:t>
      </w:r>
    </w:p>
    <w:p w:rsidR="00543DDA" w:rsidRPr="00543DDA" w:rsidP="00543DDA" w14:paraId="1253FB3B" w14:textId="77777777">
      <w:pPr>
        <w:pStyle w:val="ListParagraph"/>
        <w:numPr>
          <w:ilvl w:val="0"/>
          <w:numId w:val="3"/>
        </w:numPr>
        <w:spacing w:after="240" w:line="260" w:lineRule="atLeast"/>
        <w:contextualSpacing w:val="0"/>
        <w:jc w:val="both"/>
        <w:rPr>
          <w:rFonts w:ascii="Arial" w:hAnsi="Arial" w:cs="Arial"/>
        </w:rPr>
      </w:pPr>
      <w:r w:rsidRPr="00A12547">
        <w:rPr>
          <w:rFonts w:ascii="Arial" w:hAnsi="Arial" w:cs="Arial"/>
        </w:rPr>
        <w:t>V případě, že prodávající není ke dni uzavření této smlouvy plátcem DPH a v průběhu realizace plnění se plátcem DPH stane, nemá tato skutečnost vliv na výši ceny za plnění. Prodávající nemá nárok na navýšení ceny za plnění o výši DPH, kterou je povinen zaplatit.</w:t>
      </w:r>
    </w:p>
    <w:p w:rsidR="00BB2E82" w:rsidRPr="002D4E99" w:rsidP="00BB2E82" w14:paraId="3AD9AF7F" w14:textId="77777777">
      <w:pPr>
        <w:spacing w:before="360" w:after="120" w:line="20" w:lineRule="atLeast"/>
        <w:jc w:val="center"/>
        <w:outlineLvl w:val="3"/>
        <w:rPr>
          <w:rFonts w:ascii="Arial" w:hAnsi="Arial" w:cs="Arial"/>
          <w:b/>
        </w:rPr>
      </w:pPr>
      <w:r w:rsidRPr="002D4E99">
        <w:rPr>
          <w:rFonts w:ascii="Arial" w:hAnsi="Arial" w:cs="Arial"/>
          <w:b/>
        </w:rPr>
        <w:t>Článek V.</w:t>
      </w:r>
      <w:r w:rsidRPr="002D4E99">
        <w:rPr>
          <w:rFonts w:ascii="Arial" w:hAnsi="Arial" w:cs="Arial"/>
          <w:b/>
        </w:rPr>
        <w:br/>
        <w:t>Ochrana informací</w:t>
      </w:r>
    </w:p>
    <w:p w:rsidR="00BB2E82" w:rsidRPr="002D4E99" w:rsidP="0091224F" w14:paraId="4C2E634B" w14:textId="77777777">
      <w:pPr>
        <w:numPr>
          <w:ilvl w:val="0"/>
          <w:numId w:val="12"/>
        </w:numPr>
        <w:tabs>
          <w:tab w:val="num" w:pos="426"/>
          <w:tab w:val="left" w:pos="720"/>
        </w:tabs>
        <w:spacing w:before="120" w:after="120" w:line="20" w:lineRule="atLeast"/>
        <w:ind w:left="426" w:hanging="426"/>
        <w:jc w:val="both"/>
        <w:rPr>
          <w:rFonts w:ascii="Arial" w:hAnsi="Arial" w:cs="Arial"/>
        </w:rPr>
      </w:pPr>
      <w:r w:rsidRPr="002D4E99">
        <w:rPr>
          <w:rFonts w:ascii="Arial" w:hAnsi="Arial" w:cs="Arial"/>
        </w:rPr>
        <w:t>Smluvní strany jsou si vědomy toho, že v rámci plnění závazků z této smlouvy</w:t>
      </w:r>
    </w:p>
    <w:p w:rsidR="00BB2E82" w:rsidRPr="002D4E99" w:rsidP="0091224F" w14:paraId="2AA40B04" w14:textId="77777777">
      <w:pPr>
        <w:numPr>
          <w:ilvl w:val="1"/>
          <w:numId w:val="13"/>
        </w:numPr>
        <w:spacing w:before="120" w:after="120" w:line="20" w:lineRule="atLeast"/>
        <w:ind w:left="851" w:hanging="425"/>
        <w:jc w:val="both"/>
        <w:rPr>
          <w:rFonts w:ascii="Arial" w:hAnsi="Arial" w:cs="Arial"/>
        </w:rPr>
      </w:pPr>
      <w:r w:rsidRPr="002D4E99">
        <w:rPr>
          <w:rFonts w:ascii="Arial" w:hAnsi="Arial" w:cs="Arial"/>
        </w:rPr>
        <w:t>si mohou vzájemně vědomě nebo opomenutím poskytnout informace, které budou považovány za důvěrné (dále jen „důvěrné informace“),</w:t>
      </w:r>
    </w:p>
    <w:p w:rsidR="00BB2E82" w:rsidRPr="002D4E99" w:rsidP="0091224F" w14:paraId="724758F7" w14:textId="77777777">
      <w:pPr>
        <w:numPr>
          <w:ilvl w:val="1"/>
          <w:numId w:val="13"/>
        </w:numPr>
        <w:tabs>
          <w:tab w:val="num" w:pos="426"/>
        </w:tabs>
        <w:spacing w:before="120" w:after="120" w:line="20" w:lineRule="atLeast"/>
        <w:ind w:left="851" w:hanging="425"/>
        <w:jc w:val="both"/>
        <w:rPr>
          <w:rFonts w:ascii="Arial" w:hAnsi="Arial" w:cs="Arial"/>
        </w:rPr>
      </w:pPr>
      <w:r w:rsidRPr="002D4E99">
        <w:rPr>
          <w:rFonts w:ascii="Arial" w:hAnsi="Arial" w:cs="Arial"/>
        </w:rPr>
        <w:t>mohou jejich zaměstnanci či osoby v obdobném postavení získat vědomou činností druhé smluvní strany nebo i jejím opomenutím přístup k důvěrným informacím druhé smluvní strany.</w:t>
      </w:r>
    </w:p>
    <w:p w:rsidR="00BB2E82" w:rsidRPr="002D4E99" w:rsidP="0091224F" w14:paraId="362CE4A2"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Smluvní strany se zavazují, že žádná z nich nezpřístupní třetí osobě důvěrné informace</w:t>
      </w:r>
      <w:r w:rsidRPr="002D4E99">
        <w:rPr>
          <w:rFonts w:ascii="Arial" w:hAnsi="Arial" w:cs="Arial"/>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BB2E82" w:rsidRPr="002D4E99" w:rsidP="0091224F" w14:paraId="734BD9B7"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Za třetí osoby dle odst. 2 tohoto článku se nepovažují:</w:t>
      </w:r>
    </w:p>
    <w:p w:rsidR="00BB2E82" w:rsidRPr="002D4E99" w:rsidP="0091224F" w14:paraId="3FEC2A88" w14:textId="77777777">
      <w:pPr>
        <w:numPr>
          <w:ilvl w:val="0"/>
          <w:numId w:val="14"/>
        </w:numPr>
        <w:spacing w:before="120" w:after="120" w:line="240" w:lineRule="auto"/>
        <w:ind w:left="850" w:hanging="425"/>
        <w:jc w:val="both"/>
        <w:rPr>
          <w:rFonts w:ascii="Arial" w:hAnsi="Arial" w:cs="Arial"/>
        </w:rPr>
      </w:pPr>
      <w:r w:rsidRPr="002D4E99">
        <w:rPr>
          <w:rFonts w:ascii="Arial" w:hAnsi="Arial" w:cs="Arial"/>
        </w:rPr>
        <w:t>zaměstnanci smluvních stran a osoby v obdobném postavení,</w:t>
      </w:r>
    </w:p>
    <w:p w:rsidR="00BB2E82" w:rsidRPr="002D4E99" w:rsidP="0091224F" w14:paraId="6228705B" w14:textId="77777777">
      <w:pPr>
        <w:numPr>
          <w:ilvl w:val="0"/>
          <w:numId w:val="14"/>
        </w:numPr>
        <w:spacing w:before="120" w:after="120" w:line="240" w:lineRule="auto"/>
        <w:ind w:left="850" w:hanging="425"/>
        <w:jc w:val="both"/>
        <w:rPr>
          <w:rFonts w:ascii="Arial" w:hAnsi="Arial" w:cs="Arial"/>
        </w:rPr>
      </w:pPr>
      <w:r w:rsidRPr="002D4E99">
        <w:rPr>
          <w:rFonts w:ascii="Arial" w:hAnsi="Arial" w:cs="Arial"/>
        </w:rPr>
        <w:t>orgány smluvních stran a jejich členové,</w:t>
      </w:r>
    </w:p>
    <w:p w:rsidR="00BB2E82" w:rsidRPr="002D4E99" w:rsidP="0091224F" w14:paraId="446B41CD" w14:textId="21D4BE25">
      <w:pPr>
        <w:numPr>
          <w:ilvl w:val="0"/>
          <w:numId w:val="14"/>
        </w:numPr>
        <w:spacing w:before="120" w:after="120" w:line="240" w:lineRule="auto"/>
        <w:ind w:left="850" w:hanging="425"/>
        <w:jc w:val="both"/>
        <w:rPr>
          <w:rFonts w:ascii="Arial" w:hAnsi="Arial" w:cs="Arial"/>
        </w:rPr>
      </w:pPr>
      <w:r w:rsidRPr="002D4E99">
        <w:rPr>
          <w:rFonts w:ascii="Arial" w:hAnsi="Arial" w:cs="Arial"/>
        </w:rPr>
        <w:t xml:space="preserve">ve vztahu k důvěrným informacím kupujícího </w:t>
      </w:r>
      <w:r w:rsidR="001E3A2C">
        <w:rPr>
          <w:rFonts w:ascii="Arial" w:hAnsi="Arial" w:cs="Arial"/>
        </w:rPr>
        <w:t>pod</w:t>
      </w:r>
      <w:r w:rsidRPr="002D4E99">
        <w:rPr>
          <w:rFonts w:ascii="Arial" w:hAnsi="Arial" w:cs="Arial"/>
        </w:rPr>
        <w:t>dodavatelé prodávajícího,</w:t>
      </w:r>
    </w:p>
    <w:p w:rsidR="00BB2E82" w:rsidRPr="002D4E99" w:rsidP="0091224F" w14:paraId="61C84125" w14:textId="77777777">
      <w:pPr>
        <w:numPr>
          <w:ilvl w:val="0"/>
          <w:numId w:val="14"/>
        </w:numPr>
        <w:spacing w:before="120" w:after="120" w:line="240" w:lineRule="auto"/>
        <w:ind w:left="850" w:hanging="425"/>
        <w:jc w:val="both"/>
        <w:rPr>
          <w:rFonts w:ascii="Arial" w:hAnsi="Arial" w:cs="Arial"/>
        </w:rPr>
      </w:pPr>
      <w:r w:rsidRPr="002D4E99">
        <w:rPr>
          <w:rFonts w:ascii="Arial" w:hAnsi="Arial" w:cs="Arial"/>
        </w:rPr>
        <w:t>ve vztahu k důvěrným informacím prodávajícího externí dodavatelé kupujícího,</w:t>
      </w:r>
      <w:r w:rsidRPr="002D4E99">
        <w:rPr>
          <w:rFonts w:ascii="Arial" w:hAnsi="Arial" w:cs="Arial"/>
        </w:rPr>
        <w:br/>
        <w:t>a to i potenciální,</w:t>
      </w:r>
    </w:p>
    <w:p w:rsidR="00BB2E82" w:rsidP="0091224F" w14:paraId="5A7802F4" w14:textId="77777777">
      <w:pPr>
        <w:tabs>
          <w:tab w:val="left" w:pos="720"/>
        </w:tabs>
        <w:spacing w:before="120" w:after="120" w:line="240" w:lineRule="auto"/>
        <w:ind w:left="426"/>
        <w:jc w:val="both"/>
        <w:rPr>
          <w:rFonts w:ascii="Arial" w:hAnsi="Arial" w:cs="Arial"/>
        </w:rPr>
      </w:pPr>
      <w:r w:rsidRPr="002D4E99">
        <w:rPr>
          <w:rFonts w:ascii="Arial" w:hAnsi="Arial" w:cs="Arial"/>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w:t>
      </w:r>
      <w:r>
        <w:rPr>
          <w:rFonts w:ascii="Arial" w:hAnsi="Arial" w:cs="Arial"/>
        </w:rPr>
        <w:t>mluvním stranám v této smlouvě.</w:t>
      </w:r>
    </w:p>
    <w:p w:rsidR="00BB2E82" w:rsidP="0091224F" w14:paraId="491634AA" w14:textId="30250680">
      <w:pPr>
        <w:pStyle w:val="ListParagraph"/>
        <w:numPr>
          <w:ilvl w:val="0"/>
          <w:numId w:val="12"/>
        </w:numPr>
        <w:tabs>
          <w:tab w:val="left" w:pos="720"/>
        </w:tabs>
        <w:spacing w:before="120" w:after="120" w:line="240" w:lineRule="auto"/>
        <w:ind w:left="357" w:hanging="357"/>
        <w:contextualSpacing w:val="0"/>
        <w:jc w:val="both"/>
        <w:rPr>
          <w:rFonts w:ascii="Arial" w:hAnsi="Arial" w:cs="Arial"/>
        </w:rPr>
      </w:pPr>
      <w:r w:rsidRPr="004627C5">
        <w:rPr>
          <w:rFonts w:ascii="Arial" w:hAnsi="Arial" w:cs="Arial"/>
        </w:rPr>
        <w:t xml:space="preserve">Smluvní strany se zavazují v plném rozsahu zachovávat povinnost mlčenlivosti a povinnost chránit důvěrné informace vyplývající z této smlouvy a z příslušných </w:t>
      </w:r>
      <w:r w:rsidRPr="004627C5" w:rsidR="00C447E2">
        <w:rPr>
          <w:rFonts w:ascii="Arial" w:hAnsi="Arial" w:cs="Arial"/>
        </w:rPr>
        <w:t>právních předpisů</w:t>
      </w:r>
      <w:r w:rsidRPr="004627C5">
        <w:rPr>
          <w:rFonts w:ascii="Arial" w:hAnsi="Arial" w:cs="Arial"/>
        </w:rPr>
        <w:t>,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BB2E82" w:rsidP="0091224F" w14:paraId="73EF386B" w14:textId="77777777">
      <w:pPr>
        <w:pStyle w:val="ListParagraph"/>
        <w:numPr>
          <w:ilvl w:val="0"/>
          <w:numId w:val="12"/>
        </w:numPr>
        <w:tabs>
          <w:tab w:val="left" w:pos="720"/>
        </w:tabs>
        <w:spacing w:before="120" w:after="120" w:line="240" w:lineRule="auto"/>
        <w:ind w:left="357" w:hanging="357"/>
        <w:contextualSpacing w:val="0"/>
        <w:jc w:val="both"/>
        <w:rPr>
          <w:rFonts w:ascii="Arial" w:hAnsi="Arial" w:cs="Arial"/>
        </w:rPr>
      </w:pPr>
      <w:r w:rsidRPr="004627C5">
        <w:rPr>
          <w:rFonts w:ascii="Arial" w:hAnsi="Arial" w:cs="Arial"/>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BB2E82" w:rsidP="0091224F" w14:paraId="3B5458D5" w14:textId="77777777">
      <w:pPr>
        <w:pStyle w:val="ListParagraph"/>
        <w:numPr>
          <w:ilvl w:val="0"/>
          <w:numId w:val="12"/>
        </w:numPr>
        <w:tabs>
          <w:tab w:val="left" w:pos="720"/>
        </w:tabs>
        <w:spacing w:before="120" w:after="120" w:line="240" w:lineRule="auto"/>
        <w:ind w:left="357" w:hanging="357"/>
        <w:contextualSpacing w:val="0"/>
        <w:jc w:val="both"/>
        <w:rPr>
          <w:rFonts w:ascii="Arial" w:hAnsi="Arial" w:cs="Arial"/>
        </w:rPr>
      </w:pPr>
      <w:r w:rsidRPr="004627C5">
        <w:rPr>
          <w:rFonts w:ascii="Arial" w:hAnsi="Arial" w:cs="Arial"/>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BB2E82" w:rsidP="0091224F" w14:paraId="2DE0B5E0" w14:textId="2E41DB79">
      <w:pPr>
        <w:pStyle w:val="ListParagraph"/>
        <w:numPr>
          <w:ilvl w:val="0"/>
          <w:numId w:val="12"/>
        </w:numPr>
        <w:tabs>
          <w:tab w:val="left" w:pos="720"/>
        </w:tabs>
        <w:spacing w:before="120" w:after="120" w:line="240" w:lineRule="auto"/>
        <w:ind w:left="357" w:hanging="357"/>
        <w:contextualSpacing w:val="0"/>
        <w:jc w:val="both"/>
        <w:rPr>
          <w:rFonts w:ascii="Arial" w:hAnsi="Arial" w:cs="Arial"/>
        </w:rPr>
      </w:pPr>
      <w:r w:rsidRPr="004627C5">
        <w:rPr>
          <w:rFonts w:ascii="Arial" w:hAnsi="Arial" w:cs="Arial"/>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4627C5" w:rsidR="006E2A62">
        <w:rPr>
          <w:rFonts w:ascii="Arial" w:hAnsi="Arial" w:cs="Arial"/>
        </w:rPr>
        <w:t>jinak</w:t>
      </w:r>
      <w:r w:rsidRPr="004627C5">
        <w:rPr>
          <w:rFonts w:ascii="Arial" w:hAnsi="Arial" w:cs="Arial"/>
        </w:rPr>
        <w:t xml:space="preserve"> než za účelem plnění této smlouvy.</w:t>
      </w:r>
    </w:p>
    <w:p w:rsidR="00BB2E82" w:rsidRPr="004627C5" w:rsidP="0091224F" w14:paraId="20AE2BB1" w14:textId="77777777">
      <w:pPr>
        <w:pStyle w:val="ListParagraph"/>
        <w:numPr>
          <w:ilvl w:val="0"/>
          <w:numId w:val="12"/>
        </w:numPr>
        <w:tabs>
          <w:tab w:val="left" w:pos="720"/>
        </w:tabs>
        <w:spacing w:before="120" w:after="120" w:line="240" w:lineRule="auto"/>
        <w:ind w:left="357" w:hanging="357"/>
        <w:contextualSpacing w:val="0"/>
        <w:jc w:val="both"/>
        <w:rPr>
          <w:rFonts w:ascii="Arial" w:hAnsi="Arial" w:cs="Arial"/>
        </w:rPr>
      </w:pPr>
      <w:r w:rsidRPr="004627C5">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BB2E82" w:rsidRPr="002D4E99" w:rsidP="0091224F" w14:paraId="54CEEC8F"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BB2E82" w:rsidRPr="002D4E99" w:rsidP="0091224F" w14:paraId="2155F9D3"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Bez ohledu na výše uvedená ustanovení se za důvěrné nepovažují informace, které:</w:t>
      </w:r>
    </w:p>
    <w:p w:rsidR="00BB2E82" w:rsidRPr="002D4E99" w:rsidP="0091224F" w14:paraId="7A5DDF40"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se staly veřejně známými, aniž by jejich zveřejněním došlo k porušení závazků přijímající smluvní strany či právních předpisů,</w:t>
      </w:r>
    </w:p>
    <w:p w:rsidR="00BB2E82" w:rsidRPr="002D4E99" w:rsidP="0091224F" w14:paraId="7E4AA504"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 o ochraně informací,</w:t>
      </w:r>
    </w:p>
    <w:p w:rsidR="00BB2E82" w:rsidRPr="002D4E99" w:rsidP="0091224F" w14:paraId="10A97395"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rsidR="00BB2E82" w:rsidRPr="002D4E99" w:rsidP="0091224F" w14:paraId="4FC3C89C"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po podpisu této smlouvy poskytne přijímající straně třetí osoba, jež není omezena v takovém nakládání s informacemi,</w:t>
      </w:r>
    </w:p>
    <w:p w:rsidR="00BB2E82" w:rsidRPr="002D4E99" w:rsidP="0091224F" w14:paraId="24F3EC54"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BB2E82" w:rsidRPr="002D4E99" w:rsidP="0091224F" w14:paraId="3CBE1C52" w14:textId="77777777">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before="120" w:after="120" w:line="240" w:lineRule="auto"/>
        <w:ind w:left="782" w:hanging="357"/>
        <w:jc w:val="both"/>
        <w:rPr>
          <w:rFonts w:ascii="Arial" w:eastAsia="@Arial Unicode MS" w:hAnsi="Arial" w:cs="Arial"/>
          <w:color w:val="000000"/>
          <w:lang w:eastAsia="cs-CZ"/>
        </w:rPr>
      </w:pPr>
      <w:r w:rsidRPr="002D4E99">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 a o registru smluv, ve znění pozdějších předpisů (dále jen „Registr smluv“).</w:t>
      </w:r>
    </w:p>
    <w:p w:rsidR="00BB2E82" w:rsidRPr="002D4E99" w:rsidP="0091224F" w14:paraId="64514C67"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rsidR="00BB2E82" w:rsidRPr="002D4E99" w:rsidP="0091224F" w14:paraId="1DED0AB9"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 xml:space="preserve">Prodávající je povinen zavázat povinností mlčenlivosti a ochrany důvěrných informací dle tohoto článku rovněž všechny poddodavatele, kteří se budou podílet na plnění předmětu veřejné zakázky dle této smlouvy. </w:t>
      </w:r>
    </w:p>
    <w:p w:rsidR="00BB2E82" w:rsidRPr="002D4E99" w:rsidP="0091224F" w14:paraId="29C125FD"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Za porušení povinnosti mlčenlivosti osobami, které se budou podílet na plnění předmětu smlouvy, odpovídá prodávající, jako by povinnost porušil sám.</w:t>
      </w:r>
    </w:p>
    <w:p w:rsidR="00BB2E82" w:rsidRPr="002D4E99" w:rsidP="0091224F" w14:paraId="71DB1906" w14:textId="77777777">
      <w:pPr>
        <w:numPr>
          <w:ilvl w:val="0"/>
          <w:numId w:val="12"/>
        </w:numPr>
        <w:tabs>
          <w:tab w:val="num" w:pos="426"/>
          <w:tab w:val="left" w:pos="720"/>
        </w:tabs>
        <w:spacing w:before="120" w:after="120" w:line="240" w:lineRule="auto"/>
        <w:ind w:left="426" w:hanging="426"/>
        <w:jc w:val="both"/>
        <w:rPr>
          <w:rFonts w:ascii="Arial" w:hAnsi="Arial" w:cs="Arial"/>
        </w:rPr>
      </w:pPr>
      <w:r w:rsidRPr="002D4E99">
        <w:rPr>
          <w:rFonts w:ascii="Arial" w:hAnsi="Arial" w:cs="Arial"/>
        </w:rPr>
        <w:t>Ukončení účinnosti této smlouvy z jakéhokoliv důvodu se nedotkne ustanovení tohoto článku a jeho účinnost přetrvá i po ukončení účinnosti této smlouvy.</w:t>
      </w:r>
    </w:p>
    <w:p w:rsidR="00BB2E82" w:rsidRPr="002D4E99" w:rsidP="00BB2E82" w14:paraId="7D5BEB45" w14:textId="77777777">
      <w:pPr>
        <w:spacing w:before="360" w:after="120" w:line="20" w:lineRule="atLeast"/>
        <w:jc w:val="center"/>
        <w:outlineLvl w:val="3"/>
        <w:rPr>
          <w:rFonts w:ascii="Arial" w:hAnsi="Arial" w:cs="Arial"/>
          <w:b/>
        </w:rPr>
      </w:pPr>
      <w:r w:rsidRPr="002D4E99">
        <w:rPr>
          <w:rFonts w:ascii="Arial" w:hAnsi="Arial" w:cs="Arial"/>
          <w:b/>
        </w:rPr>
        <w:t>Článek VI.</w:t>
      </w:r>
      <w:r w:rsidRPr="002D4E99">
        <w:rPr>
          <w:rFonts w:ascii="Arial" w:hAnsi="Arial" w:cs="Arial"/>
          <w:b/>
        </w:rPr>
        <w:br/>
        <w:t>Práva duševního vlastnictví</w:t>
      </w:r>
    </w:p>
    <w:p w:rsidR="00BB2E82" w:rsidRPr="002D4E99" w:rsidP="0091224F" w14:paraId="4A5DAC14" w14:textId="77777777">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Prodávající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kupujícího, nebo k jej</w:t>
      </w:r>
      <w:r>
        <w:rPr>
          <w:rFonts w:ascii="Arial" w:eastAsia="Calibri" w:hAnsi="Arial" w:cs="Arial"/>
          <w:lang w:eastAsia="cs-CZ"/>
        </w:rPr>
        <w:t xml:space="preserve">ichž užití poskytuje kupujícímu </w:t>
      </w:r>
      <w:r w:rsidRPr="002D4E99">
        <w:rPr>
          <w:rFonts w:ascii="Arial" w:eastAsia="Calibri" w:hAnsi="Arial" w:cs="Arial"/>
          <w:lang w:eastAsia="cs-CZ"/>
        </w:rPr>
        <w:t>dle této smlouvy licenci a zavazuje se za tímto účelem zajistit řádné a nerušené užívání výstupů poskytovaného plnění (dále pro účely tohoto článku jen „dílo“) kupujícím, včetně případného zajištění dalších souhlasů a licencí od autorů děl v souladu se autorským zákonem, popř. od nositelů jiných práv duševního vlastnictví v souladu s právními předpisy. Prodávající se zavazuje, že kupujícímu uhradí veškeré nákl</w:t>
      </w:r>
      <w:r>
        <w:rPr>
          <w:rFonts w:ascii="Arial" w:eastAsia="Calibri" w:hAnsi="Arial" w:cs="Arial"/>
          <w:lang w:eastAsia="cs-CZ"/>
        </w:rPr>
        <w:t xml:space="preserve">ady, výdaje, škody a majetkovou </w:t>
      </w:r>
      <w:r w:rsidRPr="002D4E99">
        <w:rPr>
          <w:rFonts w:ascii="Arial" w:eastAsia="Calibri" w:hAnsi="Arial" w:cs="Arial"/>
          <w:lang w:eastAsia="cs-CZ"/>
        </w:rPr>
        <w:t>i nemajetkovou újmu, které kupujícímu vzniknou v důsledku porušení povinností dle předchozí věty.</w:t>
      </w:r>
    </w:p>
    <w:p w:rsidR="00BB2E82" w:rsidRPr="002D4E99" w:rsidP="0091224F" w14:paraId="069F5868" w14:textId="3B921E99">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Je-li výsledkem činnosti prodávajícího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kupujícímu pro území celého světa včetně České republiky </w:t>
      </w:r>
      <w:r w:rsidR="00C91A6E">
        <w:rPr>
          <w:rFonts w:ascii="Arial" w:eastAsia="Calibri" w:hAnsi="Arial" w:cs="Arial"/>
          <w:lang w:eastAsia="cs-CZ"/>
        </w:rPr>
        <w:t>ne</w:t>
      </w:r>
      <w:r w:rsidRPr="002D4E99">
        <w:rPr>
          <w:rFonts w:ascii="Arial" w:eastAsia="Calibri" w:hAnsi="Arial" w:cs="Arial"/>
          <w:lang w:eastAsia="cs-CZ"/>
        </w:rPr>
        <w:t xml:space="preserve">výhradní právo k užití těchto Předmětů ochrany podle autorského zákona, a to na dobu trvání práva k Předmětům ochrany podle autorského zákona, resp. na zákonnou dobu ochrany. Prodávající touto smlouvou poskytuje kupujícímu oprávnění k výkonu uvedeného </w:t>
      </w:r>
      <w:r w:rsidR="00C91A6E">
        <w:rPr>
          <w:rFonts w:ascii="Arial" w:eastAsia="Calibri" w:hAnsi="Arial" w:cs="Arial"/>
          <w:lang w:eastAsia="cs-CZ"/>
        </w:rPr>
        <w:t>ne</w:t>
      </w:r>
      <w:r w:rsidRPr="002D4E99">
        <w:rPr>
          <w:rFonts w:ascii="Arial" w:eastAsia="Calibri" w:hAnsi="Arial" w:cs="Arial"/>
          <w:lang w:eastAsia="cs-CZ"/>
        </w:rPr>
        <w:t xml:space="preserve">výhradního práva k užití předmětů ochrany podle autorského zákona (licence) bez časového, územního a množstevního omezení a pro všechny způsoby užití. Kupující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na všechny nové verze, úpravy a překlady Předmětů ochrany podle autorského zákona dodané prodávajícím. Kupující není povinen výše uvedenou licenci využít. Dohodou smluvních stran se stanoví, že cena za užití Předmětů ochrany podle autorského zákona dle tohoto odstavce je součástí ceny dle </w:t>
      </w:r>
      <w:r w:rsidRPr="002D4E99">
        <w:rPr>
          <w:rFonts w:ascii="Arial" w:hAnsi="Arial" w:cs="Arial"/>
        </w:rPr>
        <w:t>čl. IV odst. 1</w:t>
      </w:r>
      <w:r w:rsidRPr="002D4E99">
        <w:rPr>
          <w:rFonts w:ascii="Arial" w:eastAsia="Calibri" w:hAnsi="Arial" w:cs="Arial"/>
          <w:lang w:eastAsia="cs-CZ"/>
        </w:rPr>
        <w:t xml:space="preserve"> této smlouvy. </w:t>
      </w:r>
    </w:p>
    <w:p w:rsidR="00BB2E82" w:rsidRPr="002D4E99" w:rsidP="0091224F" w14:paraId="2A0F38CB" w14:textId="77777777">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Je-li výsledkem činnosti prodávajícího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prodávající na kupujícího od okamžiku předání díla</w:t>
      </w:r>
      <w:r w:rsidRPr="002D4E99">
        <w:rPr>
          <w:rFonts w:ascii="Arial" w:eastAsia="Calibri" w:hAnsi="Arial" w:cs="Arial"/>
          <w:lang w:eastAsia="cs-CZ"/>
        </w:rPr>
        <w:br/>
        <w:t>dle této smlouvy veškerá práva na Nezapsané předměty průmyslových práv, zejména pak právo na patent, právo na užitný vzor a právo na průmyslový vzor. Kupující je oprávněn zejména Nezapsané předměty průmyslových práv přihlásit k ochraně na území České republiky a jiných teritoriích a neomezeně je i po jejich zápisu využívat na území celého světa včetně České republiky. Toto právo kupujícího k Nezapsaným předmětům průmyslových práv se automaticky vztahuje i na všechny nové verze a úpravy Nezapsaných předmětů průmyslových práv dodaných prodávajícím na základě této smlouvy. Prodávající je o takovémto výtvoru povinen kupujícího neprodleně info</w:t>
      </w:r>
      <w:r>
        <w:rPr>
          <w:rFonts w:ascii="Arial" w:eastAsia="Calibri" w:hAnsi="Arial" w:cs="Arial"/>
          <w:lang w:eastAsia="cs-CZ"/>
        </w:rPr>
        <w:t xml:space="preserve">rmovat. Dohodou smluvních stran </w:t>
      </w:r>
      <w:r w:rsidRPr="002D4E99">
        <w:rPr>
          <w:rFonts w:ascii="Arial" w:eastAsia="Calibri" w:hAnsi="Arial" w:cs="Arial"/>
          <w:lang w:eastAsia="cs-CZ"/>
        </w:rPr>
        <w:t>se stanoví, že cena za převod práv k Nezapsaným předmětům průmyslových práv je součástí ceny dle </w:t>
      </w:r>
      <w:r w:rsidRPr="002D4E99">
        <w:rPr>
          <w:rFonts w:ascii="Arial" w:hAnsi="Arial" w:cs="Arial"/>
        </w:rPr>
        <w:t>čl. IV odst. 1 této smlouvy</w:t>
      </w:r>
      <w:r w:rsidRPr="002D4E99">
        <w:rPr>
          <w:rFonts w:ascii="Arial" w:eastAsia="Calibri" w:hAnsi="Arial" w:cs="Arial"/>
          <w:lang w:eastAsia="cs-CZ"/>
        </w:rPr>
        <w:t>.</w:t>
      </w:r>
    </w:p>
    <w:p w:rsidR="00BB2E82" w:rsidRPr="002D4E99" w:rsidP="0091224F" w14:paraId="25028144" w14:textId="2E7003C1">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Je-li výsledkem činnosti prodávajícího dle této smlouvy anebo součástí předaného díla výtvor, který je již chráněn zapsaným či uděleným právem z průmyslového vlastnictví, zejména udělený </w:t>
      </w:r>
      <w:r w:rsidRPr="002D4E99">
        <w:rPr>
          <w:rFonts w:ascii="Arial" w:eastAsia="Calibri" w:hAnsi="Arial" w:cs="Arial"/>
          <w:lang w:eastAsia="cs-CZ"/>
        </w:rPr>
        <w:t xml:space="preserve">či zapsaný vynález, užitný vzor či průmyslový vzor (dále pro účely tohoto článku souhrnně jen „Zapsané předměty průmyslových práv“), náleží kupujícímu od okamžiku předání díla podle této smlouvy k Zapsaným předmětům průmyslových práv </w:t>
      </w:r>
      <w:r w:rsidR="00C91A6E">
        <w:rPr>
          <w:rFonts w:ascii="Arial" w:eastAsia="Calibri" w:hAnsi="Arial" w:cs="Arial"/>
          <w:lang w:eastAsia="cs-CZ"/>
        </w:rPr>
        <w:t>ne</w:t>
      </w:r>
      <w:r w:rsidRPr="002D4E99">
        <w:rPr>
          <w:rFonts w:ascii="Arial" w:eastAsia="Calibri" w:hAnsi="Arial" w:cs="Arial"/>
          <w:lang w:eastAsia="cs-CZ"/>
        </w:rPr>
        <w:t xml:space="preserve">výhradní  právo k užití těchto Zapsaných předmětů průmyslových práv, a to pro území celého světa včetně České republiky. Prodávající touto smlouvou opravňuje kupujícího k výkonu uvedených </w:t>
      </w:r>
      <w:r w:rsidR="00C91A6E">
        <w:rPr>
          <w:rFonts w:ascii="Arial" w:eastAsia="Calibri" w:hAnsi="Arial" w:cs="Arial"/>
          <w:lang w:eastAsia="cs-CZ"/>
        </w:rPr>
        <w:t>ne</w:t>
      </w:r>
      <w:r w:rsidRPr="002D4E99">
        <w:rPr>
          <w:rFonts w:ascii="Arial" w:eastAsia="Calibri" w:hAnsi="Arial" w:cs="Arial"/>
          <w:lang w:eastAsia="cs-CZ"/>
        </w:rPr>
        <w:t xml:space="preserve">výhradních práv k Zapsaným předmětům průmyslových práv, a to bez časového, územního a množstevního omezení a pro všechny způsoby užití. Oprávnění k užití Zapsaných předmětů průmyslových práv získává kupující jako převoditelná s právem podlicence a dále postupitelná. Toto právo kupujícího k Zapsaným předmětům průmyslových práv se automaticky vztahuje i na všechny nové verze a úpravy Zapsaných předmětů průmyslových práv dodaných prodávajícím, ať již budou přihlášeny k ochraně či nikoliv. Prodávající je o takovémto výtvoru povinen kupujícího neprodleně informovat. Prodávající je dále povinen učinit veškeré nezbytné úkony a poskytnout kupujícímu veškerou nezbytnou součinnost směřující k zápisu uvedené licence k Zapsaným předmětům průmyslových práv do příslušných rejstříků. Prodávající rovněž poskytuje kupujícímu právo upravovat a modifikovat Zapsané předměty průmyslových práv, včetně práva kupujícího zadat vývoj a provedení těchto úprav a modifikací třetím osobám. Dohodou smluvních stran se stanoví, že cena za převod práv k Zapsaným předmětům průmyslových práv je součástí ceny </w:t>
      </w:r>
      <w:r w:rsidRPr="002D4E99">
        <w:rPr>
          <w:rFonts w:ascii="Arial" w:hAnsi="Arial" w:cs="Arial"/>
        </w:rPr>
        <w:t>dle čl. IV odst. 1 této smlouvy</w:t>
      </w:r>
      <w:r w:rsidRPr="002D4E99">
        <w:rPr>
          <w:rFonts w:ascii="Arial" w:eastAsia="Calibri" w:hAnsi="Arial" w:cs="Arial"/>
          <w:lang w:eastAsia="cs-CZ"/>
        </w:rPr>
        <w:t>.</w:t>
      </w:r>
    </w:p>
    <w:p w:rsidR="00BB2E82" w:rsidRPr="002D4E99" w:rsidP="0091224F" w14:paraId="6C25C60C" w14:textId="77777777">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Je-li výsledkem činnosti prodávajícího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prodávající na kupujícího od okamžiku předání díla veškerá práva k Ostatním předmětům duševního vlastnictví. Kupující je oprávněn zejména Ostatní předměty duševního vlastnictví neomezeně využívat na území celého světa včetně České republiky. Toto právo kupujícího k Ostatním </w:t>
      </w:r>
      <w:r>
        <w:rPr>
          <w:rFonts w:ascii="Arial" w:eastAsia="Calibri" w:hAnsi="Arial" w:cs="Arial"/>
          <w:lang w:eastAsia="cs-CZ"/>
        </w:rPr>
        <w:t xml:space="preserve">předmětům duševního vlastnictví </w:t>
      </w:r>
      <w:r w:rsidRPr="002D4E99">
        <w:rPr>
          <w:rFonts w:ascii="Arial" w:eastAsia="Calibri" w:hAnsi="Arial" w:cs="Arial"/>
          <w:lang w:eastAsia="cs-CZ"/>
        </w:rPr>
        <w:t xml:space="preserve">se automaticky vztahuje i na všechny nové verze a úpravy Ostatních předmětů duševního vlastnictví dodaných prodávajícím. Prodávající je o takovémto výtvoru povinen kupujícího neprodleně informovat. Dohodou smluvních stran se stanoví, že cena za užití Ostatních předmětů duševního vlastnictví dle tohoto odstavce je součástí ceny dle </w:t>
      </w:r>
      <w:r w:rsidRPr="002D4E99">
        <w:rPr>
          <w:rFonts w:ascii="Arial" w:hAnsi="Arial" w:cs="Arial"/>
        </w:rPr>
        <w:t>čl. IV odst. 1</w:t>
      </w:r>
      <w:r w:rsidRPr="002D4E99">
        <w:rPr>
          <w:rFonts w:ascii="Arial" w:eastAsia="Calibri" w:hAnsi="Arial" w:cs="Arial"/>
          <w:lang w:eastAsia="cs-CZ"/>
        </w:rPr>
        <w:t xml:space="preserve"> této smlouvy.</w:t>
      </w:r>
    </w:p>
    <w:p w:rsidR="00BB2E82" w:rsidRPr="002D4E99" w:rsidP="0091224F" w14:paraId="002BAAFB" w14:textId="77777777">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Je-li výsledkem nebo součástí díla i zaměstnanecké či kolektivní dílo, které je předmětem autorských práv, práv souvisejících s právem autorským či práv pořizovatele k jím pořízené databázi, prodávající jako zaměstnavatel či osoba, z jejíhož podnětu a pod jejímž vedením je dílo vytvářeno a pod jejímž jménem je dílo uváděno na veřejnost, ke dni předání díla dle této smlouvy postupuje právo výkonu majetkových práv k dílu na kupujícího, přičemž výše odměny za postoupení je již zahrnuta v ceně </w:t>
      </w:r>
      <w:r w:rsidRPr="002D4E99">
        <w:rPr>
          <w:rFonts w:ascii="Arial" w:hAnsi="Arial" w:cs="Arial"/>
        </w:rPr>
        <w:t>dle čl. IV odst. 1 této smlouvy</w:t>
      </w:r>
      <w:r w:rsidRPr="002D4E99">
        <w:rPr>
          <w:rFonts w:ascii="Arial" w:eastAsia="Calibri" w:hAnsi="Arial" w:cs="Arial"/>
          <w:lang w:eastAsia="cs-CZ"/>
        </w:rPr>
        <w:t>. Kupující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kupující jako dále postupitelné. Kupující je tak především oprávněn dílo i jeho části bez dalšího sám jakýmkoli způsobem užít v původní, zpracované či jinak změněné podobě a udělit třetím osobám oprávnění (licenci) k výkonu práva dílo a jeho části užít. Kupující je dále oprávněn nehotové anebo nedostatečně podrobné části díla dokončit, a to bez ohledu na podmínky podle ustanovení § 58 odst. 5 autorského zákona. Prodávajícímu ani původním autorům nenáleží nárok na přiměřenou dodatečnou odměnu podle ustanovení § 58 odst. 6 autorského zákona. Kupující je oprávněn dílo anebo jeho části zveřejnit, upravovat, zpracovávat včetně překladu, spojit s jiným dílem, zařadit do díla souborného a uvádět je na veřejnost pod vlastním jménem.</w:t>
      </w:r>
    </w:p>
    <w:p w:rsidR="00BB2E82" w:rsidP="0091224F" w14:paraId="264B12F6" w14:textId="64C71391">
      <w:pPr>
        <w:numPr>
          <w:ilvl w:val="0"/>
          <w:numId w:val="1"/>
        </w:numPr>
        <w:tabs>
          <w:tab w:val="left" w:pos="426"/>
        </w:tabs>
        <w:autoSpaceDE w:val="0"/>
        <w:autoSpaceDN w:val="0"/>
        <w:spacing w:before="120"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Prodávající je povinen předat kupujícímu bezodkladně veškeré informace, doklady </w:t>
      </w:r>
      <w:r w:rsidRPr="002D4E99">
        <w:rPr>
          <w:rFonts w:ascii="Arial" w:eastAsia="Calibri" w:hAnsi="Arial" w:cs="Arial"/>
          <w:lang w:eastAsia="cs-CZ"/>
        </w:rPr>
        <w:br/>
        <w:t>a dokumentaci potřebné pro výkon práv dle tohoto článku.</w:t>
      </w:r>
    </w:p>
    <w:p w:rsidR="00BB2E82" w:rsidRPr="002D4E99" w:rsidP="00080969" w14:paraId="29232E8D" w14:textId="30D55DE7">
      <w:pPr>
        <w:keepNext/>
        <w:spacing w:before="360" w:after="120" w:line="20" w:lineRule="atLeast"/>
        <w:jc w:val="center"/>
        <w:outlineLvl w:val="3"/>
        <w:rPr>
          <w:rFonts w:ascii="Arial" w:hAnsi="Arial" w:cs="Arial"/>
          <w:b/>
        </w:rPr>
      </w:pPr>
      <w:r w:rsidRPr="002D4E99">
        <w:rPr>
          <w:rFonts w:ascii="Arial" w:hAnsi="Arial" w:cs="Arial"/>
          <w:b/>
        </w:rPr>
        <w:t>Článek VII.</w:t>
      </w:r>
      <w:r w:rsidRPr="002D4E99">
        <w:rPr>
          <w:rFonts w:ascii="Arial" w:hAnsi="Arial" w:cs="Arial"/>
          <w:b/>
        </w:rPr>
        <w:br/>
        <w:t>S</w:t>
      </w:r>
      <w:r w:rsidR="00CC4099">
        <w:rPr>
          <w:rFonts w:ascii="Arial" w:hAnsi="Arial" w:cs="Arial"/>
          <w:b/>
        </w:rPr>
        <w:t>leva, s</w:t>
      </w:r>
      <w:r w:rsidRPr="002D4E99">
        <w:rPr>
          <w:rFonts w:ascii="Arial" w:hAnsi="Arial" w:cs="Arial"/>
          <w:b/>
        </w:rPr>
        <w:t>mluvní pokuta, úrok z prodlení</w:t>
      </w:r>
    </w:p>
    <w:p w:rsidR="00543DDA" w:rsidP="00CC4099" w14:paraId="45BDAE84" w14:textId="1B5ABEB7">
      <w:pPr>
        <w:numPr>
          <w:ilvl w:val="0"/>
          <w:numId w:val="9"/>
        </w:numPr>
        <w:tabs>
          <w:tab w:val="clear" w:pos="720"/>
        </w:tabs>
        <w:spacing w:before="120" w:after="120" w:line="20" w:lineRule="atLeast"/>
        <w:ind w:left="426" w:hanging="426"/>
        <w:jc w:val="both"/>
        <w:rPr>
          <w:rFonts w:ascii="Arial" w:hAnsi="Arial" w:cs="Arial"/>
        </w:rPr>
      </w:pPr>
      <w:r w:rsidRPr="00543DDA">
        <w:rPr>
          <w:rFonts w:ascii="Arial" w:hAnsi="Arial" w:cs="Arial"/>
        </w:rPr>
        <w:t xml:space="preserve">V případě prodlení prodávajícího s předáním </w:t>
      </w:r>
      <w:r w:rsidR="00C30DC0">
        <w:rPr>
          <w:rFonts w:ascii="Arial" w:hAnsi="Arial" w:cs="Arial"/>
        </w:rPr>
        <w:t>zboží</w:t>
      </w:r>
      <w:r w:rsidRPr="00543DDA">
        <w:rPr>
          <w:rFonts w:ascii="Arial" w:hAnsi="Arial" w:cs="Arial"/>
        </w:rPr>
        <w:t xml:space="preserve">, a to i v případě jeho nepřevzetí kupujícím z titulu jeho vad je kupující oprávněn účtovat prodávajícímu slevu ve výši </w:t>
      </w:r>
      <w:r w:rsidR="00773A68">
        <w:rPr>
          <w:rFonts w:ascii="Arial" w:hAnsi="Arial" w:cs="Arial"/>
        </w:rPr>
        <w:t>0,5</w:t>
      </w:r>
      <w:r w:rsidRPr="00543DDA">
        <w:rPr>
          <w:rFonts w:ascii="Arial" w:hAnsi="Arial" w:cs="Arial"/>
        </w:rPr>
        <w:t xml:space="preserve"> % z celkové ceny vč. DPH dle čl. IV odst. 1 této smlouvy za každý započatý den prodlení, max. však do celkové výše 10 % z ceny </w:t>
      </w:r>
      <w:r w:rsidR="00C30DC0">
        <w:rPr>
          <w:rFonts w:ascii="Arial" w:hAnsi="Arial" w:cs="Arial"/>
        </w:rPr>
        <w:t>zboží</w:t>
      </w:r>
      <w:r w:rsidRPr="00543DDA">
        <w:rPr>
          <w:rFonts w:ascii="Arial" w:hAnsi="Arial" w:cs="Arial"/>
        </w:rPr>
        <w:t>.</w:t>
      </w:r>
    </w:p>
    <w:p w:rsidR="00543DDA" w:rsidP="00CC4099" w14:paraId="18DCC8E2" w14:textId="3C41F19F">
      <w:pPr>
        <w:numPr>
          <w:ilvl w:val="0"/>
          <w:numId w:val="9"/>
        </w:numPr>
        <w:tabs>
          <w:tab w:val="num" w:pos="426"/>
        </w:tabs>
        <w:spacing w:before="120" w:after="120" w:line="20" w:lineRule="atLeast"/>
        <w:ind w:left="426" w:hanging="426"/>
        <w:jc w:val="both"/>
        <w:rPr>
          <w:rFonts w:ascii="Arial" w:hAnsi="Arial" w:cs="Arial"/>
        </w:rPr>
      </w:pPr>
      <w:r w:rsidRPr="002D4E99">
        <w:rPr>
          <w:rFonts w:ascii="Arial" w:hAnsi="Arial" w:cs="Arial"/>
        </w:rPr>
        <w:t>V případě, že prodávající nedodrží lhůtu pro odstranění vad zboží dle č</w:t>
      </w:r>
      <w:r w:rsidR="00057B46">
        <w:rPr>
          <w:rFonts w:ascii="Arial" w:hAnsi="Arial" w:cs="Arial"/>
        </w:rPr>
        <w:t xml:space="preserve">l. II odst. </w:t>
      </w:r>
      <w:r w:rsidR="006D293A">
        <w:rPr>
          <w:rFonts w:ascii="Arial" w:hAnsi="Arial" w:cs="Arial"/>
        </w:rPr>
        <w:t>5</w:t>
      </w:r>
      <w:r w:rsidRPr="002D4E99">
        <w:rPr>
          <w:rFonts w:ascii="Arial" w:hAnsi="Arial" w:cs="Arial"/>
        </w:rPr>
        <w:t xml:space="preserve"> této smlouvy je povinen zaplatit kupujícímu smluvní pokutu ve výši 0,05 % z celkové ceny vč. DPH dle čl. IV odst. 1 této smlouvy za každý započatý den prodlení.</w:t>
      </w:r>
    </w:p>
    <w:p w:rsidR="00543DDA" w:rsidP="00CC4099" w14:paraId="69135227" w14:textId="6DFDEC18">
      <w:pPr>
        <w:numPr>
          <w:ilvl w:val="0"/>
          <w:numId w:val="9"/>
        </w:numPr>
        <w:tabs>
          <w:tab w:val="num" w:pos="426"/>
        </w:tabs>
        <w:spacing w:before="120" w:after="120" w:line="20" w:lineRule="atLeast"/>
        <w:ind w:left="426" w:hanging="426"/>
        <w:jc w:val="both"/>
        <w:rPr>
          <w:rFonts w:ascii="Arial" w:hAnsi="Arial" w:cs="Arial"/>
        </w:rPr>
      </w:pPr>
      <w:r w:rsidRPr="00543DDA">
        <w:rPr>
          <w:rFonts w:ascii="Arial" w:hAnsi="Arial" w:cs="Arial"/>
        </w:rPr>
        <w:t>V případě, že prodávající nedodrží lhůty pro poskytování servisní podpory</w:t>
      </w:r>
      <w:r w:rsidR="006D293A">
        <w:rPr>
          <w:rFonts w:ascii="Arial" w:hAnsi="Arial" w:cs="Arial"/>
        </w:rPr>
        <w:t xml:space="preserve"> a odstraňování vad</w:t>
      </w:r>
      <w:r w:rsidRPr="00543DDA">
        <w:rPr>
          <w:rFonts w:ascii="Arial" w:hAnsi="Arial" w:cs="Arial"/>
        </w:rPr>
        <w:t xml:space="preserve"> dle čl. III odst. 6 této smlouvy, je povinen zaplatit kupujícímu smluvní pokutu ve výši 0,05 % z celkové ceny za poskytování servisní podpory vč. DPH dle čl. IV odst. 1 této smlouvy za každý započatý den prodlení.</w:t>
      </w:r>
    </w:p>
    <w:p w:rsidR="00BB2E82" w:rsidRPr="002D4E99" w:rsidP="00CC4099" w14:paraId="2B12B237" w14:textId="77777777">
      <w:pPr>
        <w:numPr>
          <w:ilvl w:val="0"/>
          <w:numId w:val="9"/>
        </w:numPr>
        <w:tabs>
          <w:tab w:val="num" w:pos="426"/>
        </w:tabs>
        <w:spacing w:before="120" w:after="120" w:line="20" w:lineRule="atLeast"/>
        <w:ind w:left="426" w:hanging="426"/>
        <w:jc w:val="both"/>
        <w:rPr>
          <w:rFonts w:ascii="Arial" w:hAnsi="Arial" w:cs="Arial"/>
        </w:rPr>
      </w:pPr>
      <w:r w:rsidRPr="002D4E99">
        <w:rPr>
          <w:rFonts w:ascii="Arial" w:hAnsi="Arial" w:cs="Arial"/>
        </w:rPr>
        <w:t>V případě, že prodávající poruší jakoukoliv povinnost uvedenou v čl. V této smlouvy, je povinen zaplatit kupujícímu smluvní pokutu ve výši 5.000 Kč za každý jednotlivý případ.</w:t>
      </w:r>
    </w:p>
    <w:p w:rsidR="00BB2E82" w:rsidRPr="002D4E99" w:rsidP="00CC4099" w14:paraId="074BBE00" w14:textId="77777777">
      <w:pPr>
        <w:numPr>
          <w:ilvl w:val="0"/>
          <w:numId w:val="9"/>
        </w:numPr>
        <w:tabs>
          <w:tab w:val="num" w:pos="426"/>
        </w:tabs>
        <w:spacing w:before="120" w:after="120" w:line="20" w:lineRule="atLeast"/>
        <w:ind w:left="426" w:hanging="426"/>
        <w:jc w:val="both"/>
        <w:rPr>
          <w:rFonts w:ascii="Arial" w:hAnsi="Arial" w:cs="Arial"/>
        </w:rPr>
      </w:pPr>
      <w:r w:rsidRPr="002D4E99">
        <w:rPr>
          <w:rFonts w:ascii="Arial" w:hAnsi="Arial" w:cs="Arial"/>
        </w:rPr>
        <w:t>V případě, že prodávající poruší jakoukoliv povinnost uvedenou v čl. VI této smlouvy, je povinen zaplatit kupujícímu smluvní pokutu ve výši 2.000 Kč za každý jednotlivý případ.</w:t>
      </w:r>
    </w:p>
    <w:p w:rsidR="00BB2E82" w:rsidRPr="002D4E99" w:rsidP="00CC4099" w14:paraId="7FC4CD8E" w14:textId="77777777">
      <w:pPr>
        <w:numPr>
          <w:ilvl w:val="0"/>
          <w:numId w:val="9"/>
        </w:numPr>
        <w:tabs>
          <w:tab w:val="num" w:pos="426"/>
        </w:tabs>
        <w:spacing w:before="120" w:after="120" w:line="20" w:lineRule="atLeast"/>
        <w:ind w:left="426" w:hanging="426"/>
        <w:jc w:val="both"/>
        <w:rPr>
          <w:rFonts w:ascii="Arial" w:hAnsi="Arial" w:cs="Arial"/>
        </w:rPr>
      </w:pPr>
      <w:r w:rsidRPr="002D4E99">
        <w:rPr>
          <w:rFonts w:ascii="Arial" w:hAnsi="Arial" w:cs="Arial"/>
        </w:rPr>
        <w:t>V případě prodlení kupujícího se zaplacením faktury prodávajícího je prodávající oprávněn účtovat mu úroky z prodlení v zákonné výši z dlužné částky za každý započatý den prodlení.</w:t>
      </w:r>
    </w:p>
    <w:p w:rsidR="00BB2E82" w:rsidRPr="002D4E99" w:rsidP="0091224F" w14:paraId="3C0EAC55" w14:textId="77777777">
      <w:pPr>
        <w:numPr>
          <w:ilvl w:val="0"/>
          <w:numId w:val="9"/>
        </w:numPr>
        <w:tabs>
          <w:tab w:val="num" w:pos="426"/>
        </w:tabs>
        <w:spacing w:before="120" w:after="120" w:line="20" w:lineRule="atLeast"/>
        <w:ind w:left="425" w:hanging="425"/>
        <w:jc w:val="both"/>
        <w:rPr>
          <w:rFonts w:ascii="Arial" w:hAnsi="Arial" w:cs="Arial"/>
        </w:rPr>
      </w:pPr>
      <w:r w:rsidRPr="002D4E99">
        <w:rPr>
          <w:rFonts w:ascii="Arial" w:hAnsi="Arial" w:cs="Arial"/>
        </w:rPr>
        <w:t>Prodávající se zavazuje řádně a včas plnit své povinnosti vztahující se ke správě DPH 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rsidR="00BB2E82" w:rsidRPr="002D4E99" w:rsidP="0091224F" w14:paraId="19F61A83" w14:textId="77777777">
      <w:pPr>
        <w:numPr>
          <w:ilvl w:val="0"/>
          <w:numId w:val="9"/>
        </w:numPr>
        <w:tabs>
          <w:tab w:val="num" w:pos="426"/>
        </w:tabs>
        <w:spacing w:before="120" w:after="120" w:line="20" w:lineRule="atLeast"/>
        <w:ind w:left="425" w:hanging="425"/>
        <w:jc w:val="both"/>
        <w:rPr>
          <w:rFonts w:ascii="Arial" w:hAnsi="Arial" w:cs="Arial"/>
        </w:rPr>
      </w:pPr>
      <w:r w:rsidRPr="002D4E99">
        <w:rPr>
          <w:rFonts w:ascii="Arial" w:hAnsi="Arial" w:cs="Arial"/>
        </w:rPr>
        <w:t>Smluvní pokuta nebo úroky z prodlení jsou splatné do 21 dnů ode dne doručení oznámení o uložení smluvní pokuty kupujícím prodávajícímu nebo oznámení o započetí s účtováním úroků z prodlení prodávajícím kupujícímu.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BB2E82" w:rsidRPr="002D4E99" w:rsidP="0091224F" w14:paraId="1163E112" w14:textId="7CD249C3">
      <w:pPr>
        <w:numPr>
          <w:ilvl w:val="0"/>
          <w:numId w:val="9"/>
        </w:numPr>
        <w:tabs>
          <w:tab w:val="num" w:pos="0"/>
        </w:tabs>
        <w:spacing w:before="120" w:after="120" w:line="240" w:lineRule="auto"/>
        <w:ind w:left="426" w:hanging="426"/>
        <w:jc w:val="both"/>
        <w:rPr>
          <w:rFonts w:ascii="Arial" w:eastAsia="Calibri" w:hAnsi="Arial" w:cs="Arial"/>
        </w:rPr>
      </w:pPr>
      <w:r>
        <w:rPr>
          <w:rFonts w:ascii="Arial" w:eastAsia="Calibri" w:hAnsi="Arial" w:cs="Arial"/>
        </w:rPr>
        <w:t xml:space="preserve">Celková výše smluvních pokut, resp. slev z ceny, </w:t>
      </w:r>
      <w:r w:rsidRPr="002D4E99">
        <w:rPr>
          <w:rFonts w:ascii="Arial" w:eastAsia="Calibri" w:hAnsi="Arial" w:cs="Arial"/>
        </w:rPr>
        <w:t xml:space="preserve">není omezena jakýmkoliv limitem a smluvní pokuty mohou být kombinovány (tzn., že uplatnění jedné smluvní pokuty nevylučuje souběžné uplatnění jakékoliv jiné smluvní pokuty). </w:t>
      </w:r>
    </w:p>
    <w:p w:rsidR="00BB2E82" w:rsidRPr="007A59FE" w:rsidP="007A59FE" w14:paraId="3FBE1BF9" w14:textId="2737EA91">
      <w:pPr>
        <w:pStyle w:val="ListParagraph"/>
        <w:numPr>
          <w:ilvl w:val="0"/>
          <w:numId w:val="9"/>
        </w:numPr>
        <w:tabs>
          <w:tab w:val="num" w:pos="284"/>
          <w:tab w:val="clear" w:pos="720"/>
        </w:tabs>
        <w:spacing w:line="240" w:lineRule="auto"/>
        <w:ind w:left="426" w:hanging="426"/>
        <w:contextualSpacing w:val="0"/>
        <w:jc w:val="both"/>
        <w:rPr>
          <w:rFonts w:ascii="Arial" w:hAnsi="Arial" w:cs="Arial"/>
        </w:rPr>
      </w:pPr>
      <w:r w:rsidRPr="0091224F">
        <w:rPr>
          <w:rFonts w:ascii="Arial" w:hAnsi="Arial" w:cs="Arial"/>
        </w:rPr>
        <w:t>Zaplacením s</w:t>
      </w:r>
      <w:r w:rsidR="00E533E0">
        <w:rPr>
          <w:rFonts w:ascii="Arial" w:hAnsi="Arial" w:cs="Arial"/>
        </w:rPr>
        <w:t xml:space="preserve">mluvní pokuty, resp. poskytnutím </w:t>
      </w:r>
      <w:r w:rsidRPr="0091224F">
        <w:rPr>
          <w:rFonts w:ascii="Arial" w:hAnsi="Arial" w:cs="Arial"/>
        </w:rPr>
        <w:t>slevy z ceny</w:t>
      </w:r>
      <w:r w:rsidR="00C30DC0">
        <w:rPr>
          <w:rFonts w:ascii="Arial" w:hAnsi="Arial" w:cs="Arial"/>
        </w:rPr>
        <w:t xml:space="preserve">, </w:t>
      </w:r>
      <w:r w:rsidRPr="0091224F">
        <w:rPr>
          <w:rFonts w:ascii="Arial" w:hAnsi="Arial" w:cs="Arial"/>
        </w:rPr>
        <w:t>není j</w:t>
      </w:r>
      <w:r>
        <w:rPr>
          <w:rFonts w:ascii="Arial" w:hAnsi="Arial" w:cs="Arial"/>
        </w:rPr>
        <w:t>akkoliv dotčen nárok kupujícího</w:t>
      </w:r>
      <w:r w:rsidRPr="0091224F">
        <w:rPr>
          <w:rFonts w:ascii="Arial" w:hAnsi="Arial" w:cs="Arial"/>
        </w:rPr>
        <w:t xml:space="preserve"> na náhradu škody a nemajetkové újmy přesahující výši smluvní pokuty, případně výši poskytnuté slevy z ceny plnění. Zaplacením smluvní pokuty za porušení smluvní</w:t>
      </w:r>
      <w:r w:rsidR="007A59FE">
        <w:rPr>
          <w:rFonts w:ascii="Arial" w:hAnsi="Arial" w:cs="Arial"/>
        </w:rPr>
        <w:t>ho závazku není prodávající</w:t>
      </w:r>
      <w:r w:rsidRPr="0091224F">
        <w:rPr>
          <w:rFonts w:ascii="Arial" w:hAnsi="Arial" w:cs="Arial"/>
        </w:rPr>
        <w:t xml:space="preserve"> zbaven povinnosti svůj závazek splnit. </w:t>
      </w:r>
    </w:p>
    <w:p w:rsidR="00BB2E82" w:rsidRPr="002D4E99" w:rsidP="00BB2E82" w14:paraId="78191D4A" w14:textId="77777777">
      <w:pPr>
        <w:spacing w:before="360" w:after="120" w:line="20" w:lineRule="atLeast"/>
        <w:jc w:val="center"/>
        <w:outlineLvl w:val="3"/>
        <w:rPr>
          <w:rFonts w:ascii="Arial" w:hAnsi="Arial" w:cs="Arial"/>
          <w:b/>
        </w:rPr>
      </w:pPr>
      <w:r w:rsidRPr="002D4E99">
        <w:rPr>
          <w:rFonts w:ascii="Arial" w:hAnsi="Arial" w:cs="Arial"/>
          <w:b/>
        </w:rPr>
        <w:t>Článek VIII.</w:t>
      </w:r>
      <w:r w:rsidRPr="002D4E99">
        <w:rPr>
          <w:rFonts w:ascii="Arial" w:hAnsi="Arial" w:cs="Arial"/>
          <w:b/>
        </w:rPr>
        <w:br/>
        <w:t>Ukončení smluvního vztahu</w:t>
      </w:r>
    </w:p>
    <w:p w:rsidR="00BB2E82" w:rsidRPr="002D4E99" w:rsidP="00BB2E82" w14:paraId="768597B1" w14:textId="77777777">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Smluvní vztah vzniklý na základě této smlouvy lze ukončit těmito způsoby:</w:t>
      </w:r>
    </w:p>
    <w:p w:rsidR="00BB2E82" w:rsidRPr="002D4E99" w:rsidP="00BB2E82" w14:paraId="7E194C38" w14:textId="77777777">
      <w:pPr>
        <w:numPr>
          <w:ilvl w:val="0"/>
          <w:numId w:val="4"/>
        </w:numPr>
        <w:tabs>
          <w:tab w:val="num" w:pos="851"/>
          <w:tab w:val="num" w:pos="9716"/>
        </w:tabs>
        <w:spacing w:after="120" w:line="20" w:lineRule="atLeast"/>
        <w:ind w:left="850" w:hanging="425"/>
        <w:jc w:val="both"/>
        <w:rPr>
          <w:rFonts w:ascii="Arial" w:eastAsia="Calibri" w:hAnsi="Arial" w:cs="Arial"/>
          <w:lang w:eastAsia="cs-CZ"/>
        </w:rPr>
      </w:pPr>
      <w:r w:rsidRPr="002D4E99">
        <w:rPr>
          <w:rFonts w:ascii="Arial" w:eastAsia="Calibri" w:hAnsi="Arial" w:cs="Arial"/>
          <w:lang w:eastAsia="cs-CZ"/>
        </w:rPr>
        <w:t xml:space="preserve">odstoupením od smlouvy </w:t>
      </w:r>
    </w:p>
    <w:p w:rsidR="00BB2E82" w:rsidP="005905BB" w14:paraId="2B8E0857" w14:textId="77777777">
      <w:pPr>
        <w:numPr>
          <w:ilvl w:val="2"/>
          <w:numId w:val="4"/>
        </w:numPr>
        <w:tabs>
          <w:tab w:val="left" w:pos="1276"/>
          <w:tab w:val="num" w:pos="2160"/>
        </w:tabs>
        <w:spacing w:before="60" w:after="60" w:line="20" w:lineRule="atLeast"/>
        <w:ind w:left="1276" w:hanging="283"/>
        <w:jc w:val="both"/>
        <w:rPr>
          <w:rFonts w:ascii="Arial" w:eastAsia="Calibri" w:hAnsi="Arial" w:cs="Arial"/>
          <w:lang w:eastAsia="cs-CZ"/>
        </w:rPr>
      </w:pPr>
      <w:r w:rsidRPr="002D4E99">
        <w:rPr>
          <w:rFonts w:ascii="Arial" w:eastAsia="Calibri" w:hAnsi="Arial" w:cs="Arial"/>
          <w:lang w:eastAsia="cs-CZ"/>
        </w:rPr>
        <w:t>za podmínek uvedených v § 2002 a násl. občanského zákoníku v případě porušení smlouvy druhou smluvní stranou podstatným způsobem;</w:t>
      </w:r>
    </w:p>
    <w:p w:rsidR="005905BB" w:rsidRPr="005905BB" w:rsidP="005905BB" w14:paraId="4762E188" w14:textId="1EF0C085">
      <w:pPr>
        <w:pStyle w:val="ListParagraph"/>
        <w:numPr>
          <w:ilvl w:val="2"/>
          <w:numId w:val="4"/>
        </w:numPr>
        <w:tabs>
          <w:tab w:val="clear" w:pos="890"/>
        </w:tabs>
        <w:spacing w:before="60" w:after="60"/>
        <w:ind w:left="1276" w:hanging="283"/>
        <w:rPr>
          <w:rFonts w:ascii="Arial" w:eastAsia="Calibri" w:hAnsi="Arial" w:cs="Arial"/>
          <w:lang w:eastAsia="cs-CZ"/>
        </w:rPr>
      </w:pPr>
      <w:r w:rsidRPr="005905BB">
        <w:rPr>
          <w:rFonts w:ascii="Arial" w:eastAsia="Calibri" w:hAnsi="Arial" w:cs="Arial"/>
          <w:lang w:eastAsia="cs-CZ"/>
        </w:rPr>
        <w:t>za podmínek stanovených</w:t>
      </w:r>
      <w:r w:rsidR="00FE1B2E">
        <w:rPr>
          <w:rFonts w:ascii="Arial" w:eastAsia="Calibri" w:hAnsi="Arial" w:cs="Arial"/>
          <w:lang w:eastAsia="cs-CZ"/>
        </w:rPr>
        <w:t xml:space="preserve"> ZZVZ</w:t>
      </w:r>
      <w:r w:rsidRPr="005905BB">
        <w:rPr>
          <w:rFonts w:ascii="Arial" w:eastAsia="Calibri" w:hAnsi="Arial" w:cs="Arial"/>
          <w:lang w:eastAsia="cs-CZ"/>
        </w:rPr>
        <w:t>,</w:t>
      </w:r>
    </w:p>
    <w:p w:rsidR="00BB2E82" w:rsidRPr="002D4E99" w:rsidP="005905BB" w14:paraId="02E2BF29" w14:textId="57E23DBA">
      <w:pPr>
        <w:numPr>
          <w:ilvl w:val="2"/>
          <w:numId w:val="4"/>
        </w:numPr>
        <w:tabs>
          <w:tab w:val="left" w:pos="1276"/>
          <w:tab w:val="num" w:pos="2160"/>
        </w:tabs>
        <w:spacing w:before="60" w:after="60" w:line="20" w:lineRule="atLeast"/>
        <w:ind w:left="1276" w:hanging="284"/>
        <w:jc w:val="both"/>
        <w:rPr>
          <w:rFonts w:ascii="Arial" w:eastAsia="Calibri" w:hAnsi="Arial" w:cs="Arial"/>
          <w:lang w:eastAsia="cs-CZ"/>
        </w:rPr>
      </w:pPr>
      <w:r w:rsidRPr="002D4E99">
        <w:rPr>
          <w:rFonts w:ascii="Arial" w:eastAsia="Calibri" w:hAnsi="Arial" w:cs="Arial"/>
          <w:lang w:eastAsia="cs-CZ"/>
        </w:rPr>
        <w:t xml:space="preserve">v případech, které si smluvní strany ujednaly </w:t>
      </w:r>
      <w:r w:rsidRPr="002770EA" w:rsidR="00184D9A">
        <w:rPr>
          <w:rFonts w:ascii="Arial" w:hAnsi="Arial" w:cs="Arial"/>
        </w:rPr>
        <w:t>dále v tomto článku smlouvy</w:t>
      </w:r>
      <w:r w:rsidRPr="002D4E99">
        <w:rPr>
          <w:rFonts w:ascii="Arial" w:eastAsia="Calibri" w:hAnsi="Arial" w:cs="Arial"/>
          <w:lang w:eastAsia="cs-CZ"/>
        </w:rPr>
        <w:t>;</w:t>
      </w:r>
    </w:p>
    <w:p w:rsidR="00BB2E82" w:rsidRPr="002D4E99" w:rsidP="005905BB" w14:paraId="4FCC3B4B" w14:textId="77777777">
      <w:pPr>
        <w:numPr>
          <w:ilvl w:val="0"/>
          <w:numId w:val="4"/>
        </w:numPr>
        <w:tabs>
          <w:tab w:val="num" w:pos="851"/>
          <w:tab w:val="num" w:pos="9716"/>
        </w:tabs>
        <w:spacing w:before="120" w:after="240" w:line="240" w:lineRule="auto"/>
        <w:ind w:left="850" w:hanging="425"/>
        <w:jc w:val="both"/>
        <w:rPr>
          <w:rFonts w:ascii="Arial" w:eastAsia="Calibri" w:hAnsi="Arial" w:cs="Arial"/>
          <w:lang w:eastAsia="cs-CZ"/>
        </w:rPr>
      </w:pPr>
      <w:r w:rsidRPr="002D4E99">
        <w:rPr>
          <w:rFonts w:ascii="Arial" w:eastAsia="Calibri" w:hAnsi="Arial" w:cs="Arial"/>
          <w:lang w:eastAsia="cs-CZ"/>
        </w:rPr>
        <w:t>dohodou smluvních stran.</w:t>
      </w:r>
    </w:p>
    <w:p w:rsidR="00BB2E82" w:rsidRPr="002D4E99" w:rsidP="00BB2E82" w14:paraId="690B9D50" w14:textId="77777777">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Kupující je oprávněn od smlouvy odstoupit v případě:</w:t>
      </w:r>
    </w:p>
    <w:p w:rsidR="00BB2E82" w:rsidRPr="002D4E99" w:rsidP="00BB2E82" w14:paraId="7D9EFA93" w14:textId="77777777">
      <w:pPr>
        <w:numPr>
          <w:ilvl w:val="0"/>
          <w:numId w:val="11"/>
        </w:numPr>
        <w:tabs>
          <w:tab w:val="clear" w:pos="720"/>
          <w:tab w:val="num" w:pos="851"/>
          <w:tab w:val="num" w:pos="993"/>
        </w:tabs>
        <w:spacing w:after="60" w:line="20" w:lineRule="atLeast"/>
        <w:ind w:left="850" w:hanging="425"/>
        <w:jc w:val="both"/>
        <w:rPr>
          <w:rFonts w:ascii="Arial" w:eastAsia="Calibri" w:hAnsi="Arial" w:cs="Arial"/>
          <w:lang w:eastAsia="cs-CZ"/>
        </w:rPr>
      </w:pPr>
      <w:r w:rsidRPr="002D4E99">
        <w:rPr>
          <w:rFonts w:ascii="Arial" w:eastAsia="Calibri" w:hAnsi="Arial" w:cs="Arial"/>
          <w:lang w:eastAsia="cs-CZ"/>
        </w:rPr>
        <w:t xml:space="preserve">prodlení prodávajícího s předáním zboží delšího než 15 dnů, a to i v případě nepřevzetí zboží kupujícím z titulu jeho vad, </w:t>
      </w:r>
    </w:p>
    <w:p w:rsidR="00BB2E82" w:rsidRPr="00184D9A" w:rsidP="00BB2E82" w14:paraId="56FFC48C" w14:textId="2758918D">
      <w:pPr>
        <w:numPr>
          <w:ilvl w:val="0"/>
          <w:numId w:val="11"/>
        </w:numPr>
        <w:tabs>
          <w:tab w:val="clear" w:pos="720"/>
          <w:tab w:val="num" w:pos="851"/>
          <w:tab w:val="num" w:pos="993"/>
        </w:tabs>
        <w:spacing w:after="60" w:line="20" w:lineRule="atLeast"/>
        <w:ind w:left="850" w:hanging="425"/>
        <w:jc w:val="both"/>
        <w:rPr>
          <w:rFonts w:ascii="Arial" w:eastAsia="Calibri" w:hAnsi="Arial" w:cs="Arial"/>
          <w:lang w:eastAsia="cs-CZ"/>
        </w:rPr>
      </w:pPr>
      <w:r w:rsidRPr="00184D9A">
        <w:rPr>
          <w:rFonts w:ascii="Arial" w:eastAsia="Calibri" w:hAnsi="Arial" w:cs="Arial"/>
          <w:lang w:eastAsia="cs-CZ"/>
        </w:rPr>
        <w:t>prodlení prodávajícího s</w:t>
      </w:r>
      <w:r w:rsidRPr="00184D9A" w:rsidR="005905BB">
        <w:rPr>
          <w:rFonts w:ascii="Arial" w:eastAsia="Calibri" w:hAnsi="Arial" w:cs="Arial"/>
          <w:lang w:eastAsia="cs-CZ"/>
        </w:rPr>
        <w:t> poskytováním servisní podpory a odstranění</w:t>
      </w:r>
      <w:r w:rsidRPr="00184D9A">
        <w:rPr>
          <w:rFonts w:ascii="Arial" w:eastAsia="Calibri" w:hAnsi="Arial" w:cs="Arial"/>
          <w:lang w:eastAsia="cs-CZ"/>
        </w:rPr>
        <w:t xml:space="preserve"> vad zboží dle čl. III odst. </w:t>
      </w:r>
      <w:r w:rsidRPr="00184D9A" w:rsidR="00184D9A">
        <w:rPr>
          <w:rFonts w:ascii="Arial" w:eastAsia="Calibri" w:hAnsi="Arial" w:cs="Arial"/>
          <w:lang w:eastAsia="cs-CZ"/>
        </w:rPr>
        <w:t>6</w:t>
      </w:r>
      <w:r w:rsidRPr="00184D9A" w:rsidR="001E3A2C">
        <w:rPr>
          <w:rFonts w:ascii="Arial" w:eastAsia="Calibri" w:hAnsi="Arial" w:cs="Arial"/>
          <w:lang w:eastAsia="cs-CZ"/>
        </w:rPr>
        <w:t xml:space="preserve"> </w:t>
      </w:r>
      <w:r w:rsidRPr="00184D9A">
        <w:rPr>
          <w:rFonts w:ascii="Arial" w:eastAsia="Calibri" w:hAnsi="Arial" w:cs="Arial"/>
          <w:lang w:eastAsia="cs-CZ"/>
        </w:rPr>
        <w:t>této smlouvy, delšího než 10 dnů,</w:t>
      </w:r>
    </w:p>
    <w:p w:rsidR="00BB2E82" w:rsidRPr="002D4E99" w:rsidP="00BB2E82" w14:paraId="2D242579" w14:textId="69E77FF1">
      <w:pPr>
        <w:numPr>
          <w:ilvl w:val="0"/>
          <w:numId w:val="11"/>
        </w:numPr>
        <w:tabs>
          <w:tab w:val="clear" w:pos="720"/>
          <w:tab w:val="num" w:pos="851"/>
          <w:tab w:val="num" w:pos="993"/>
        </w:tabs>
        <w:spacing w:after="60" w:line="20" w:lineRule="atLeast"/>
        <w:ind w:left="850" w:hanging="425"/>
        <w:jc w:val="both"/>
        <w:rPr>
          <w:rFonts w:ascii="Arial" w:eastAsia="Calibri" w:hAnsi="Arial" w:cs="Arial"/>
          <w:lang w:eastAsia="cs-CZ"/>
        </w:rPr>
      </w:pPr>
      <w:r w:rsidRPr="002D4E99">
        <w:rPr>
          <w:rFonts w:ascii="Arial" w:eastAsia="Calibri" w:hAnsi="Arial" w:cs="Arial"/>
          <w:lang w:eastAsia="cs-CZ"/>
        </w:rPr>
        <w:t>uplatní-li řádně a včas u prodávajícího své požadavky nebo připomínky související s plnění</w:t>
      </w:r>
      <w:r w:rsidR="005905BB">
        <w:rPr>
          <w:rFonts w:ascii="Arial" w:eastAsia="Calibri" w:hAnsi="Arial" w:cs="Arial"/>
          <w:lang w:eastAsia="cs-CZ"/>
        </w:rPr>
        <w:t>m</w:t>
      </w:r>
      <w:r w:rsidRPr="002D4E99">
        <w:rPr>
          <w:rFonts w:ascii="Arial" w:eastAsia="Calibri" w:hAnsi="Arial" w:cs="Arial"/>
          <w:lang w:eastAsia="cs-CZ"/>
        </w:rPr>
        <w:t xml:space="preserve"> předmětu smlouvy a prodávající je bez vážného důvodu neakceptuje nebo podle nich nepostupuje,</w:t>
      </w:r>
    </w:p>
    <w:p w:rsidR="00BB2E82" w:rsidRPr="002D4E99" w:rsidP="00BB2E82" w14:paraId="5EBE5B09" w14:textId="03C1A5FE">
      <w:pPr>
        <w:numPr>
          <w:ilvl w:val="0"/>
          <w:numId w:val="11"/>
        </w:numPr>
        <w:tabs>
          <w:tab w:val="clear" w:pos="720"/>
          <w:tab w:val="num" w:pos="851"/>
          <w:tab w:val="num" w:pos="993"/>
        </w:tabs>
        <w:spacing w:after="120" w:line="20" w:lineRule="atLeast"/>
        <w:ind w:left="850" w:hanging="425"/>
        <w:jc w:val="both"/>
        <w:rPr>
          <w:rFonts w:ascii="Arial" w:eastAsia="Calibri" w:hAnsi="Arial" w:cs="Arial"/>
          <w:lang w:eastAsia="cs-CZ"/>
        </w:rPr>
      </w:pPr>
      <w:r w:rsidRPr="002D4E99">
        <w:rPr>
          <w:rFonts w:ascii="Arial" w:eastAsia="Calibri" w:hAnsi="Arial" w:cs="Arial"/>
          <w:lang w:eastAsia="cs-CZ"/>
        </w:rPr>
        <w:t xml:space="preserve">zjistí-li po předání zboží, že nemá vlastnosti uvedené v nabídce prodávajícího podané </w:t>
      </w:r>
      <w:r w:rsidRPr="002D4E99" w:rsidR="005905BB">
        <w:rPr>
          <w:rFonts w:ascii="Arial" w:eastAsia="Calibri" w:hAnsi="Arial" w:cs="Arial"/>
          <w:lang w:eastAsia="cs-CZ"/>
        </w:rPr>
        <w:t>v</w:t>
      </w:r>
      <w:r w:rsidR="005905BB">
        <w:rPr>
          <w:rFonts w:ascii="Arial" w:eastAsia="Calibri" w:hAnsi="Arial" w:cs="Arial"/>
          <w:lang w:eastAsia="cs-CZ"/>
        </w:rPr>
        <w:t xml:space="preserve"> zadávacím</w:t>
      </w:r>
      <w:r w:rsidRPr="002D4E99">
        <w:rPr>
          <w:rFonts w:ascii="Arial" w:eastAsia="Calibri" w:hAnsi="Arial" w:cs="Arial"/>
          <w:lang w:eastAsia="cs-CZ"/>
        </w:rPr>
        <w:t xml:space="preserve"> řízení, v němž byla jeho nabídka vybrána jako </w:t>
      </w:r>
      <w:r w:rsidR="00C30DC0">
        <w:rPr>
          <w:rFonts w:ascii="Arial" w:eastAsia="Calibri" w:hAnsi="Arial" w:cs="Arial"/>
          <w:lang w:eastAsia="cs-CZ"/>
        </w:rPr>
        <w:t xml:space="preserve">ekonomicky </w:t>
      </w:r>
      <w:r w:rsidRPr="002D4E99">
        <w:rPr>
          <w:rFonts w:ascii="Arial" w:eastAsia="Calibri" w:hAnsi="Arial" w:cs="Arial"/>
          <w:lang w:eastAsia="cs-CZ"/>
        </w:rPr>
        <w:t>nejvýhodnější, nebo že nemá vlastnosti požadované dle této smlouvy a její přílohy č. 1.</w:t>
      </w:r>
    </w:p>
    <w:p w:rsidR="00BB2E82" w:rsidRPr="002D4E99" w:rsidP="00BB2E82" w14:paraId="47B75E6E" w14:textId="77777777">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Prodávající je oprávněn od smlouvy odstoupit v případě prodlení kupujícího se zaplacením kupní ceny delšího 15 dnů po splatnosti. </w:t>
      </w:r>
    </w:p>
    <w:p w:rsidR="00BB2E82" w:rsidRPr="002D4E99" w:rsidP="00BB2E82" w14:paraId="60AE8CF5" w14:textId="499B419D">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 xml:space="preserve">Účinky odstoupení od smlouvy nastávají okamžikem doručení písemného projevu vůle odstoupit od této smlouvy druhé smluvní straně. </w:t>
      </w:r>
    </w:p>
    <w:p w:rsidR="00BB2E82" w:rsidRPr="002D4E99" w:rsidP="00BB2E82" w14:paraId="23627B88" w14:textId="77777777">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Odstoupením od smlouvy není dotčen nárok na zaplacení sjednaných smluvních pokut nebo úroku z prodlení ani případný nárok na náhradu škody.</w:t>
      </w:r>
    </w:p>
    <w:p w:rsidR="00BB2E82" w:rsidRPr="002D4E99" w:rsidP="00BB2E82" w14:paraId="1429D2CC" w14:textId="77777777">
      <w:pPr>
        <w:numPr>
          <w:ilvl w:val="0"/>
          <w:numId w:val="10"/>
        </w:numPr>
        <w:tabs>
          <w:tab w:val="num" w:pos="426"/>
        </w:tabs>
        <w:spacing w:after="120" w:line="20" w:lineRule="atLeast"/>
        <w:ind w:left="425" w:hanging="425"/>
        <w:jc w:val="both"/>
        <w:rPr>
          <w:rFonts w:ascii="Arial" w:eastAsia="Calibri" w:hAnsi="Arial" w:cs="Arial"/>
          <w:lang w:eastAsia="cs-CZ"/>
        </w:rPr>
      </w:pPr>
      <w:r w:rsidRPr="002D4E99">
        <w:rPr>
          <w:rFonts w:ascii="Arial" w:eastAsia="Calibri" w:hAnsi="Arial" w:cs="Arial"/>
          <w:lang w:eastAsia="cs-CZ"/>
        </w:rPr>
        <w:t>Práva a povinnosti smluvních stran, z jejichž povahy je zřejmé, že mají být zachována i po splnění závazků z této smlouvy vyplývajících, zůstávají zachována i po zániku těchto závazků.</w:t>
      </w:r>
    </w:p>
    <w:p w:rsidR="00FE1B2E" w:rsidRPr="00967EAD" w:rsidP="006E2A62" w14:paraId="25239450" w14:textId="69050CB3">
      <w:pPr>
        <w:jc w:val="center"/>
        <w:outlineLvl w:val="3"/>
        <w:rPr>
          <w:rFonts w:ascii="Arial" w:eastAsia="Times New Roman" w:hAnsi="Arial" w:cs="Arial"/>
        </w:rPr>
      </w:pPr>
      <w:r w:rsidRPr="006E2A62">
        <w:rPr>
          <w:rFonts w:ascii="Arial" w:hAnsi="Arial" w:cs="Arial"/>
          <w:b/>
          <w:bCs/>
        </w:rPr>
        <w:t>Článek IX.</w:t>
      </w:r>
      <w:r w:rsidRPr="006E2A62">
        <w:rPr>
          <w:rFonts w:ascii="Arial" w:hAnsi="Arial" w:cs="Arial"/>
          <w:b/>
          <w:bCs/>
        </w:rPr>
        <w:br/>
      </w:r>
      <w:r w:rsidRPr="00FE1B2E">
        <w:rPr>
          <w:rFonts w:ascii="Arial" w:eastAsia="Times New Roman" w:hAnsi="Arial" w:cs="Arial"/>
          <w:b/>
        </w:rPr>
        <w:t>Změna kvalifikačního poddodavatele</w:t>
      </w:r>
      <w:r w:rsidRPr="00967EAD">
        <w:rPr>
          <w:rFonts w:ascii="Arial" w:eastAsia="Times New Roman" w:hAnsi="Arial" w:cs="Arial"/>
          <w:b/>
        </w:rPr>
        <w:t xml:space="preserve"> </w:t>
      </w:r>
    </w:p>
    <w:p w:rsidR="00FE1B2E" w:rsidRPr="006E2A62" w:rsidP="006E2A62" w14:paraId="60FD90C9" w14:textId="04B8F023">
      <w:pPr>
        <w:numPr>
          <w:ilvl w:val="0"/>
          <w:numId w:val="35"/>
        </w:numPr>
        <w:tabs>
          <w:tab w:val="clear" w:pos="720"/>
        </w:tabs>
        <w:spacing w:after="120" w:line="20" w:lineRule="atLeast"/>
        <w:ind w:left="426" w:hanging="426"/>
        <w:jc w:val="both"/>
        <w:rPr>
          <w:rFonts w:eastAsia="Calibri" w:cs="Arial"/>
        </w:rPr>
      </w:pPr>
      <w:r w:rsidRPr="006E2A62">
        <w:rPr>
          <w:rFonts w:ascii="Arial" w:eastAsia="Calibri" w:hAnsi="Arial" w:cs="Arial"/>
          <w:lang w:eastAsia="cs-CZ"/>
        </w:rPr>
        <w:t xml:space="preserve">V případě, že z objektivních důvodů nebude možné použit </w:t>
      </w:r>
      <w:r w:rsidRPr="006E2A62" w:rsidR="006E2A62">
        <w:rPr>
          <w:rFonts w:ascii="Arial" w:eastAsia="Calibri" w:hAnsi="Arial" w:cs="Arial"/>
          <w:lang w:eastAsia="cs-CZ"/>
        </w:rPr>
        <w:t>poddodavatele</w:t>
      </w:r>
      <w:r w:rsidRPr="006E2A62">
        <w:rPr>
          <w:rFonts w:ascii="Arial" w:eastAsia="Calibri" w:hAnsi="Arial" w:cs="Arial"/>
          <w:lang w:eastAsia="cs-CZ"/>
        </w:rPr>
        <w:t xml:space="preserve">, kterým byla prokazována kvalifikace, je </w:t>
      </w:r>
      <w:r>
        <w:rPr>
          <w:rFonts w:ascii="Arial" w:eastAsia="Calibri" w:hAnsi="Arial" w:cs="Arial"/>
          <w:lang w:eastAsia="cs-CZ"/>
        </w:rPr>
        <w:t>p</w:t>
      </w:r>
      <w:r w:rsidRPr="006E2A62">
        <w:rPr>
          <w:rFonts w:ascii="Arial" w:eastAsia="Calibri" w:hAnsi="Arial" w:cs="Arial"/>
          <w:lang w:eastAsia="cs-CZ"/>
        </w:rPr>
        <w:t xml:space="preserve">rodávající povinen vyžádat si předem písemně souhlas </w:t>
      </w:r>
      <w:r>
        <w:rPr>
          <w:rFonts w:ascii="Arial" w:eastAsia="Calibri" w:hAnsi="Arial" w:cs="Arial"/>
          <w:lang w:eastAsia="cs-CZ"/>
        </w:rPr>
        <w:t>k</w:t>
      </w:r>
      <w:r w:rsidRPr="006E2A62">
        <w:rPr>
          <w:rFonts w:ascii="Arial" w:eastAsia="Calibri" w:hAnsi="Arial" w:cs="Arial"/>
          <w:lang w:eastAsia="cs-CZ"/>
        </w:rPr>
        <w:t>upujícího s nahrazením takového poddodavatele. Součástí žádosti o souhlas se změnou poddodavatele musí být doklady prokazující splnění kvalifikace nahrazovaného poddodavatele, a to v rozsahu, v jakém prostřednictvím něho prokazoval</w:t>
      </w:r>
      <w:r>
        <w:rPr>
          <w:rFonts w:ascii="Arial" w:eastAsia="Calibri" w:hAnsi="Arial" w:cs="Arial"/>
          <w:lang w:eastAsia="cs-CZ"/>
        </w:rPr>
        <w:t xml:space="preserve"> prodávající</w:t>
      </w:r>
      <w:r w:rsidRPr="006E2A62">
        <w:rPr>
          <w:rFonts w:ascii="Arial" w:eastAsia="Calibri" w:hAnsi="Arial" w:cs="Arial"/>
          <w:lang w:eastAsia="cs-CZ"/>
        </w:rPr>
        <w:t xml:space="preserve"> splnění kvalifikace. Kupující není povinen souhlas udělit v případě, kdy se nebude dle jeho názoru jednat o objektivní důvody nemožnosti použití původního poddodavatele. </w:t>
      </w:r>
    </w:p>
    <w:p w:rsidR="00FE1B2E" w:rsidP="00FE1B2E" w14:paraId="7AA8530C" w14:textId="25CDF333">
      <w:pPr>
        <w:numPr>
          <w:ilvl w:val="0"/>
          <w:numId w:val="35"/>
        </w:numPr>
        <w:spacing w:after="120" w:line="20" w:lineRule="atLeast"/>
        <w:ind w:left="425" w:hanging="425"/>
        <w:jc w:val="both"/>
        <w:rPr>
          <w:rFonts w:ascii="Arial" w:eastAsia="Calibri" w:hAnsi="Arial" w:cs="Arial"/>
          <w:lang w:eastAsia="cs-CZ"/>
        </w:rPr>
      </w:pPr>
      <w:r w:rsidRPr="006E2A62">
        <w:rPr>
          <w:rFonts w:ascii="Arial" w:eastAsia="Calibri" w:hAnsi="Arial" w:cs="Arial"/>
          <w:lang w:eastAsia="cs-CZ"/>
        </w:rPr>
        <w:t xml:space="preserve">Změna poddodavatele dle odst. 1 tohoto článku bez souhlasu </w:t>
      </w:r>
      <w:r>
        <w:rPr>
          <w:rFonts w:ascii="Arial" w:eastAsia="Calibri" w:hAnsi="Arial" w:cs="Arial"/>
          <w:lang w:eastAsia="cs-CZ"/>
        </w:rPr>
        <w:t>k</w:t>
      </w:r>
      <w:r w:rsidRPr="006E2A62">
        <w:rPr>
          <w:rFonts w:ascii="Arial" w:eastAsia="Calibri" w:hAnsi="Arial" w:cs="Arial"/>
          <w:lang w:eastAsia="cs-CZ"/>
        </w:rPr>
        <w:t>upujícího se považuje za podstatné porušení této smlouvy, a to bez ohledu na to, zda se jedná o poddodavatele vyhovujícího požadavkům dle zadávacích podmínek a této smlouvy či nikoliv.</w:t>
      </w:r>
    </w:p>
    <w:p w:rsidR="00BB2E82" w:rsidRPr="00014394" w:rsidP="00BB2E82" w14:paraId="23888D0A" w14:textId="7336F99B">
      <w:pPr>
        <w:tabs>
          <w:tab w:val="left" w:pos="426"/>
        </w:tabs>
        <w:spacing w:before="360" w:after="120" w:line="20" w:lineRule="atLeast"/>
        <w:jc w:val="center"/>
        <w:outlineLvl w:val="3"/>
        <w:rPr>
          <w:rFonts w:ascii="Arial" w:hAnsi="Arial" w:cs="Arial"/>
          <w:b/>
        </w:rPr>
      </w:pPr>
      <w:r w:rsidRPr="002D4E99">
        <w:rPr>
          <w:rFonts w:ascii="Arial" w:hAnsi="Arial" w:cs="Arial"/>
          <w:b/>
        </w:rPr>
        <w:t xml:space="preserve">Článek </w:t>
      </w:r>
      <w:r w:rsidR="00D81F1B">
        <w:rPr>
          <w:rFonts w:ascii="Arial" w:hAnsi="Arial" w:cs="Arial"/>
          <w:b/>
        </w:rPr>
        <w:t>X</w:t>
      </w:r>
      <w:r w:rsidRPr="002D4E99">
        <w:rPr>
          <w:rFonts w:ascii="Arial" w:hAnsi="Arial" w:cs="Arial"/>
          <w:b/>
        </w:rPr>
        <w:t>.</w:t>
      </w:r>
      <w:r w:rsidRPr="002D4E99">
        <w:rPr>
          <w:rFonts w:ascii="Arial" w:hAnsi="Arial" w:cs="Arial"/>
          <w:b/>
        </w:rPr>
        <w:br/>
      </w:r>
      <w:r w:rsidRPr="00014394">
        <w:rPr>
          <w:rFonts w:ascii="Arial" w:hAnsi="Arial" w:cs="Arial"/>
          <w:b/>
        </w:rPr>
        <w:t>Vyšší moc</w:t>
      </w:r>
    </w:p>
    <w:p w:rsidR="00BB2E82" w:rsidRPr="00EB6205" w:rsidP="00BB2E82" w14:paraId="48978390" w14:textId="77777777">
      <w:pPr>
        <w:numPr>
          <w:ilvl w:val="0"/>
          <w:numId w:val="15"/>
        </w:numPr>
        <w:tabs>
          <w:tab w:val="clear" w:pos="720"/>
        </w:tabs>
        <w:spacing w:after="120" w:line="20" w:lineRule="atLeast"/>
        <w:ind w:left="426" w:hanging="426"/>
        <w:jc w:val="both"/>
        <w:rPr>
          <w:rFonts w:ascii="Arial" w:eastAsia="Calibri" w:hAnsi="Arial" w:cs="Arial"/>
          <w:lang w:eastAsia="cs-CZ"/>
        </w:rPr>
      </w:pPr>
      <w:r w:rsidRPr="00EB6205">
        <w:rPr>
          <w:rFonts w:ascii="Arial" w:eastAsia="Calibri" w:hAnsi="Arial" w:cs="Arial"/>
          <w:lang w:eastAsia="cs-CZ"/>
        </w:rPr>
        <w:t>Smluvní strany jsou zproštěny odpovědnosti za částečné nebo úplné neplnění smluvních závazků, jestliže k němu došlo v důsledku vyšší moci. Za vyšší moc se pro účely této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w:t>
      </w:r>
    </w:p>
    <w:p w:rsidR="00BB2E82" w:rsidRPr="00EB6205" w:rsidP="00BB2E82" w14:paraId="779EF75D" w14:textId="77777777">
      <w:pPr>
        <w:numPr>
          <w:ilvl w:val="0"/>
          <w:numId w:val="15"/>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BB2E82" w:rsidP="00BB2E82" w14:paraId="288492A3" w14:textId="77777777">
      <w:pPr>
        <w:numPr>
          <w:ilvl w:val="0"/>
          <w:numId w:val="15"/>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Výslovně se stanovuje, že vyšší mocí není stávka zaměstnanců prodávajícího nebo jeho poddodavatelů, nebo zaměstnanců kupujícího ani hospodářské poměry smluvních stran.  </w:t>
      </w:r>
    </w:p>
    <w:p w:rsidR="00BB2E82" w:rsidRPr="00EB6205" w:rsidP="00BB2E82" w14:paraId="00FA47C4" w14:textId="77777777">
      <w:pPr>
        <w:numPr>
          <w:ilvl w:val="0"/>
          <w:numId w:val="15"/>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V případě, že nastane vyšší moc, neuplatní se sankce dle čl. VI</w:t>
      </w:r>
      <w:r>
        <w:rPr>
          <w:rFonts w:ascii="Arial" w:eastAsia="Calibri" w:hAnsi="Arial" w:cs="Arial"/>
          <w:lang w:eastAsia="cs-CZ"/>
        </w:rPr>
        <w:t>I</w:t>
      </w:r>
      <w:r w:rsidRPr="00EB6205">
        <w:rPr>
          <w:rFonts w:ascii="Arial" w:eastAsia="Calibri" w:hAnsi="Arial" w:cs="Arial"/>
          <w:lang w:eastAsia="cs-CZ"/>
        </w:rPr>
        <w:t xml:space="preserve"> odst. 1 a 2 této smlouvy. </w:t>
      </w:r>
    </w:p>
    <w:p w:rsidR="00BB2E82" w:rsidRPr="00EB6205" w:rsidP="00BB2E82" w14:paraId="1C9FE7CC" w14:textId="77777777">
      <w:pPr>
        <w:numPr>
          <w:ilvl w:val="0"/>
          <w:numId w:val="15"/>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V případě, že některá smluvní strana nebude schopna plnit své závazky z této smlouvy v důsledku vyšší moci, bude povinna neprodleně a písemně o této skutečnosti vyrozumět druhou smluvní stranu. Obdobně poté, co účinky vyšší moci pominou, bude smluvní strana, jež </w:t>
      </w:r>
      <w:r w:rsidRPr="00EB6205">
        <w:rPr>
          <w:rFonts w:ascii="Arial" w:eastAsia="Calibri" w:hAnsi="Arial" w:cs="Arial"/>
          <w:lang w:eastAsia="cs-CZ"/>
        </w:rPr>
        <w:t>byla vyšší mocí dotčena, povinna neprodleně a písemně vyrozumět druhou smluvní stranu o této skutečnosti.</w:t>
      </w:r>
    </w:p>
    <w:p w:rsidR="00BB2E82" w:rsidRPr="00014394" w:rsidP="00BB2E82" w14:paraId="3D8C3C6D" w14:textId="25E7E741">
      <w:pPr>
        <w:keepNext/>
        <w:spacing w:before="360" w:after="120" w:line="20" w:lineRule="atLeast"/>
        <w:jc w:val="center"/>
        <w:outlineLvl w:val="3"/>
        <w:rPr>
          <w:rFonts w:ascii="Arial" w:hAnsi="Arial" w:cs="Arial"/>
          <w:b/>
        </w:rPr>
      </w:pPr>
      <w:r w:rsidRPr="00014394">
        <w:rPr>
          <w:rFonts w:ascii="Arial" w:hAnsi="Arial" w:cs="Arial"/>
          <w:b/>
        </w:rPr>
        <w:t>Článek X</w:t>
      </w:r>
      <w:r w:rsidR="00D81F1B">
        <w:rPr>
          <w:rFonts w:ascii="Arial" w:hAnsi="Arial" w:cs="Arial"/>
          <w:b/>
        </w:rPr>
        <w:t>I</w:t>
      </w:r>
      <w:r w:rsidRPr="00014394">
        <w:rPr>
          <w:rFonts w:ascii="Arial" w:hAnsi="Arial" w:cs="Arial"/>
          <w:b/>
        </w:rPr>
        <w:t>.</w:t>
      </w:r>
      <w:r w:rsidRPr="00014394">
        <w:rPr>
          <w:rFonts w:ascii="Arial" w:hAnsi="Arial" w:cs="Arial"/>
          <w:b/>
        </w:rPr>
        <w:br/>
        <w:t>Závěrečná ustanovení</w:t>
      </w:r>
    </w:p>
    <w:p w:rsidR="00BB2E82" w:rsidRPr="00EB6205" w:rsidP="00BB2E82" w14:paraId="47F6F33B" w14:textId="77777777">
      <w:pPr>
        <w:numPr>
          <w:ilvl w:val="0"/>
          <w:numId w:val="16"/>
        </w:numPr>
        <w:tabs>
          <w:tab w:val="clear" w:pos="720"/>
        </w:tabs>
        <w:spacing w:after="120" w:line="20" w:lineRule="atLeast"/>
        <w:ind w:left="426" w:hanging="426"/>
        <w:jc w:val="both"/>
        <w:rPr>
          <w:rFonts w:ascii="Arial" w:eastAsia="Calibri" w:hAnsi="Arial" w:cs="Arial"/>
          <w:lang w:eastAsia="cs-CZ"/>
        </w:rPr>
      </w:pPr>
      <w:r w:rsidRPr="00EB6205">
        <w:rPr>
          <w:rFonts w:ascii="Arial" w:eastAsia="Calibri" w:hAnsi="Arial" w:cs="Arial"/>
          <w:lang w:eastAsia="cs-CZ"/>
        </w:rPr>
        <w:t>Vztahy mezi smluvními stranami se řídí českým právním řádem. Práva a povinnosti smluvních stran vyplývající z této smlouvy a jí výslovně neupravené se řídí obecně závaznými právními předpisy, zejména občanským zákoníkem.</w:t>
      </w:r>
    </w:p>
    <w:p w:rsidR="00BB2E82" w:rsidRPr="00EB6205" w:rsidP="00BB2E82" w14:paraId="67DE077B"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w:t>
      </w:r>
      <w:r w:rsidRPr="00EB6205">
        <w:rPr>
          <w:rFonts w:ascii="Arial" w:eastAsia="Calibri" w:hAnsi="Arial" w:cs="Arial"/>
          <w:lang w:eastAsia="cs-CZ"/>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BB2E82" w:rsidRPr="00EB6205" w:rsidP="00BB2E82" w14:paraId="4BD1ECD9"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Pokud by se v důsledku změny právní úpravy některé ustanovení smlouvy dostalo do rozporu</w:t>
      </w:r>
      <w:r w:rsidRPr="00EB6205">
        <w:rPr>
          <w:rFonts w:ascii="Arial" w:eastAsia="Calibri" w:hAnsi="Arial" w:cs="Arial"/>
          <w:lang w:eastAsia="cs-CZ"/>
        </w:rPr>
        <w:br/>
        <w:t>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rsidR="00BB2E82" w:rsidRPr="00EB6205" w:rsidP="00BB2E82" w14:paraId="4F7821A4"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Prodávající převzal na sebe nebezpečí změny okolností po uzavření této smlouvy, a proto mu nepřísluší domáhat se práv uvedených v § 1765 odst. 1 občanského zákoníku.</w:t>
      </w:r>
    </w:p>
    <w:p w:rsidR="00BB2E82" w:rsidRPr="00EB6205" w:rsidP="00BB2E82" w14:paraId="4EAF5E21"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BB2E82" w:rsidRPr="00EB6205" w:rsidP="00BB2E82" w14:paraId="38BAF1C1" w14:textId="3DD43894">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Tato smlouva v případě jejího listinného sepsání je vyhotovena ve </w:t>
      </w:r>
      <w:r w:rsidR="004218B5">
        <w:rPr>
          <w:rFonts w:ascii="Arial" w:eastAsia="Calibri" w:hAnsi="Arial" w:cs="Arial"/>
          <w:lang w:eastAsia="cs-CZ"/>
        </w:rPr>
        <w:t>3</w:t>
      </w:r>
      <w:r w:rsidRPr="00EB6205">
        <w:rPr>
          <w:rFonts w:ascii="Arial" w:eastAsia="Calibri" w:hAnsi="Arial" w:cs="Arial"/>
          <w:lang w:eastAsia="cs-CZ"/>
        </w:rPr>
        <w:t xml:space="preserve"> vyhotoveních s platností originálu, z nichž </w:t>
      </w:r>
      <w:r w:rsidR="004218B5">
        <w:rPr>
          <w:rFonts w:ascii="Arial" w:eastAsia="Calibri" w:hAnsi="Arial" w:cs="Arial"/>
          <w:lang w:eastAsia="cs-CZ"/>
        </w:rPr>
        <w:t>2</w:t>
      </w:r>
      <w:r w:rsidRPr="00EB6205">
        <w:rPr>
          <w:rFonts w:ascii="Arial" w:eastAsia="Calibri" w:hAnsi="Arial" w:cs="Arial"/>
          <w:lang w:eastAsia="cs-CZ"/>
        </w:rPr>
        <w:t xml:space="preserve"> vyhotovení obdrží kupující a 1 vyhotovení obdrží prodávající.</w:t>
      </w:r>
    </w:p>
    <w:p w:rsidR="00BB2E82" w:rsidRPr="00EB6205" w:rsidP="00BB2E82" w14:paraId="76D943D0"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Uzavřenou smlouvu lze měnit nebo zrušit pouze po dohodě smluvních stran, která musí mít formu písemných, číslovaných a datovaných dodatků, které musí být podepsány oběma smluvními stranami.</w:t>
      </w:r>
    </w:p>
    <w:p w:rsidR="00BB2E82" w:rsidRPr="00EB6205" w:rsidP="00BB2E82" w14:paraId="080B8671"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Obě smluvní strany podpisem této smlouvy vylučují, aby nad rámec jejích výslovných ustanovení a ustanovení jejích příloh byla jakákoliv jejich práva či povinnosti dovozovány</w:t>
      </w:r>
      <w:r w:rsidRPr="00EB6205">
        <w:rPr>
          <w:rFonts w:ascii="Arial" w:eastAsia="Calibri" w:hAnsi="Arial" w:cs="Arial"/>
          <w:lang w:eastAsia="cs-CZ"/>
        </w:rPr>
        <w:br/>
        <w:t>z dosavadní či budoucí praxe zavedené mezi smluvními stranami, resp. ze zvyklostí zachovávaných obecně či v odvětví týkajícím se předmětu této smlouvy.</w:t>
      </w:r>
    </w:p>
    <w:p w:rsidR="00BB2E82" w:rsidRPr="00EB6205" w:rsidP="00BB2E82" w14:paraId="3D31448A"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V případě, že je ke správnému použití a funkčnosti zboží potřeba při jeho instalaci</w:t>
      </w:r>
      <w:r w:rsidRPr="00EB6205">
        <w:rPr>
          <w:rFonts w:ascii="Arial" w:eastAsia="Calibri" w:hAnsi="Arial" w:cs="Arial"/>
          <w:lang w:eastAsia="cs-CZ"/>
        </w:rPr>
        <w:br/>
        <w:t>a zprovoznění přijetí licenčních podmínek, bez ohledu na to, zda takové přijetí licenčních podmínek provede prodávající nebo kupující, má vždy v případě jakéhokoliv rozporu přednost znění smlouvy před zněním takto přijatých licenčních podmínek.</w:t>
      </w:r>
    </w:p>
    <w:p w:rsidR="00BB2E82" w:rsidRPr="00EB6205" w:rsidP="00BB2E82" w14:paraId="261F3169"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Prodávající je povinným subjektem ve smyslu zákona o registru smluv. Prodávající bere na vědomí, že tato smlouva bude uveřejněna, včetně všech jejích případných dodatků, na profilu zadavatele a v Registru smluv. Splnění této zákonné povinnosti není porušením důvěrnosti informací. Prodávající bere na vědomí, že uveřejněno bude úplné znění této smlouvy, včetně všech identifikačních a kontaktních údajů osob, které prodávající uvedl v textu této smlouvy. Je-li podle obecného nařízení k uveřejnění těchto údajů potřebný souhlas dotčených osob, prodávající výslovně prohlašuje, že takový souhlas všech dotčených osob zajistil. Smluvní strany se dohodly, že smlouvu zašle správci Registru smluv k uveřejnění kupující a bude prodávajícího písemně informovat o uveřejnění smlouvy v Registru smluv. Prodávající je povinen zkontrolovat, že smlouva byla v Registru smluv řádně uveřejněna. V případě, že prodávající zjistí jakékoliv nepřesnosti či nedostatky, je povinen bez zbytečného odkladu </w:t>
      </w:r>
      <w:r w:rsidRPr="00EB6205">
        <w:rPr>
          <w:rFonts w:ascii="Arial" w:eastAsia="Calibri" w:hAnsi="Arial" w:cs="Arial"/>
          <w:lang w:eastAsia="cs-CZ"/>
        </w:rPr>
        <w:t>o nich kupujícího informovat. Kupující je dále v souladu se ZZVZ povinen na profilu zadavatele uveřejnit skutečně uhrazenou cenu.</w:t>
      </w:r>
    </w:p>
    <w:p w:rsidR="00BB2E82" w:rsidRPr="00EB6205" w:rsidP="00BB2E82" w14:paraId="15B7435E" w14:textId="77777777">
      <w:pPr>
        <w:numPr>
          <w:ilvl w:val="0"/>
          <w:numId w:val="16"/>
        </w:numPr>
        <w:tabs>
          <w:tab w:val="num" w:pos="426"/>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Tato smlouva nabývá platnosti dnem podpisu poslední ze smluvních stran a účinnosti dnem uveřejnění v Registru smluv.</w:t>
      </w:r>
    </w:p>
    <w:p w:rsidR="00BB2E82" w:rsidRPr="00EB6205" w:rsidP="00BB2E82" w14:paraId="32A025CC" w14:textId="77777777">
      <w:pPr>
        <w:numPr>
          <w:ilvl w:val="0"/>
          <w:numId w:val="16"/>
        </w:numPr>
        <w:tabs>
          <w:tab w:val="num" w:pos="426"/>
          <w:tab w:val="clear" w:pos="720"/>
        </w:tabs>
        <w:spacing w:after="120" w:line="20" w:lineRule="atLeast"/>
        <w:ind w:left="425" w:hanging="425"/>
        <w:jc w:val="both"/>
        <w:rPr>
          <w:rFonts w:ascii="Arial" w:eastAsia="Calibri" w:hAnsi="Arial" w:cs="Arial"/>
          <w:lang w:eastAsia="cs-CZ"/>
        </w:rPr>
      </w:pPr>
      <w:r w:rsidRPr="00EB6205">
        <w:rPr>
          <w:rFonts w:ascii="Arial" w:eastAsia="Calibri" w:hAnsi="Arial" w:cs="Arial"/>
          <w:lang w:eastAsia="cs-CZ"/>
        </w:rPr>
        <w:t xml:space="preserve">Každá ze smluvních stran prohlašuje, že tuto smlouvu uzavírá svobodně a vážně, že považuje obsah této smlouvy za určitý, srozumitelný, a že jsou jí známy veškeré skutečnosti, jež jsou pro uzavření této smlouvy rozhodující, na důkaz čehož připojují smluvní strany k této smlouvě své podpisy.   </w:t>
      </w:r>
    </w:p>
    <w:p w:rsidR="00BB2E82" w:rsidRPr="00014394" w:rsidP="00BB2E82" w14:paraId="44D6C2E0" w14:textId="77777777">
      <w:pPr>
        <w:numPr>
          <w:ilvl w:val="0"/>
          <w:numId w:val="16"/>
        </w:numPr>
        <w:tabs>
          <w:tab w:val="num" w:pos="426"/>
        </w:tabs>
        <w:spacing w:after="120" w:line="20" w:lineRule="atLeast"/>
        <w:ind w:left="425" w:hanging="425"/>
        <w:jc w:val="both"/>
        <w:rPr>
          <w:rFonts w:ascii="Arial" w:hAnsi="Arial" w:cs="Arial"/>
        </w:rPr>
      </w:pPr>
      <w:r w:rsidRPr="00EB6205">
        <w:rPr>
          <w:rFonts w:ascii="Arial" w:eastAsia="Calibri" w:hAnsi="Arial" w:cs="Arial"/>
          <w:lang w:eastAsia="cs-CZ"/>
        </w:rPr>
        <w:t>Nedílnou součástí této smlouvy</w:t>
      </w:r>
      <w:r w:rsidRPr="00014394">
        <w:rPr>
          <w:rFonts w:ascii="Arial" w:hAnsi="Arial" w:cs="Arial"/>
        </w:rPr>
        <w:t xml:space="preserve"> je příloha č. 1 – Technická specifikace zboží.</w:t>
      </w:r>
    </w:p>
    <w:p w:rsidR="00BB2E82" w:rsidRPr="002D4E99" w:rsidP="00BB2E82" w14:paraId="7DFED4F3" w14:textId="1ABEF9BB">
      <w:pPr>
        <w:tabs>
          <w:tab w:val="left" w:pos="0"/>
          <w:tab w:val="left" w:pos="5103"/>
        </w:tabs>
        <w:spacing w:before="360" w:after="240" w:line="240" w:lineRule="auto"/>
        <w:jc w:val="both"/>
        <w:rPr>
          <w:rFonts w:ascii="Arial" w:hAnsi="Arial" w:cs="Arial"/>
          <w:lang w:eastAsia="cs-CZ"/>
        </w:rPr>
      </w:pPr>
      <w:r w:rsidRPr="002D4E99">
        <w:rPr>
          <w:rFonts w:ascii="Arial" w:hAnsi="Arial" w:cs="Arial"/>
          <w:lang w:eastAsia="cs-CZ"/>
        </w:rPr>
        <w:t>V </w:t>
      </w:r>
      <w:r w:rsidRPr="009934F8" w:rsidR="009934F8">
        <w:rPr>
          <w:rFonts w:ascii="Arial" w:hAnsi="Arial" w:cs="Arial"/>
          <w:lang w:eastAsia="cs-CZ"/>
        </w:rPr>
        <w:t xml:space="preserve">Praze dne </w:t>
      </w:r>
      <w:r w:rsidR="003D66B1">
        <w:rPr>
          <w:rFonts w:ascii="Arial" w:hAnsi="Arial" w:cs="Arial"/>
          <w:lang w:eastAsia="cs-CZ"/>
        </w:rPr>
        <w:t>26.06.2025</w:t>
      </w:r>
      <w:r w:rsidRPr="002D4E99">
        <w:rPr>
          <w:rFonts w:ascii="Arial" w:hAnsi="Arial" w:cs="Arial"/>
          <w:lang w:eastAsia="cs-CZ"/>
        </w:rPr>
        <w:tab/>
        <w:t>V Praze dne</w:t>
      </w:r>
      <w:r w:rsidR="003D66B1">
        <w:rPr>
          <w:rFonts w:ascii="Arial" w:hAnsi="Arial" w:cs="Arial"/>
          <w:lang w:eastAsia="cs-CZ"/>
        </w:rPr>
        <w:t xml:space="preserve"> 27.06.2025</w:t>
      </w:r>
    </w:p>
    <w:p w:rsidR="00BB2E82" w:rsidRPr="002D4E99" w:rsidP="00BB2E82" w14:paraId="343C7CB8" w14:textId="77777777">
      <w:pPr>
        <w:tabs>
          <w:tab w:val="left" w:pos="0"/>
          <w:tab w:val="left" w:pos="5103"/>
        </w:tabs>
        <w:spacing w:after="240" w:line="240" w:lineRule="auto"/>
        <w:jc w:val="both"/>
        <w:rPr>
          <w:rFonts w:ascii="Arial" w:hAnsi="Arial" w:cs="Arial"/>
          <w:lang w:eastAsia="cs-CZ"/>
        </w:rPr>
      </w:pPr>
      <w:r w:rsidRPr="002D4E99">
        <w:rPr>
          <w:rFonts w:ascii="Arial" w:hAnsi="Arial" w:cs="Arial"/>
          <w:lang w:eastAsia="cs-CZ"/>
        </w:rPr>
        <w:t>za prodávajícího</w:t>
      </w:r>
      <w:r w:rsidRPr="002D4E99">
        <w:rPr>
          <w:rFonts w:ascii="Arial" w:hAnsi="Arial" w:cs="Arial"/>
          <w:lang w:eastAsia="cs-CZ"/>
        </w:rPr>
        <w:tab/>
        <w:t>za kupujícího</w:t>
      </w:r>
    </w:p>
    <w:p w:rsidR="00BB2E82" w:rsidRPr="002D4E99" w:rsidP="00BB2E82" w14:paraId="0F895DDD" w14:textId="77777777">
      <w:pPr>
        <w:tabs>
          <w:tab w:val="left" w:pos="0"/>
          <w:tab w:val="left" w:leader="underscore" w:pos="3686"/>
          <w:tab w:val="left" w:pos="5103"/>
          <w:tab w:val="left" w:leader="underscore" w:pos="9072"/>
        </w:tabs>
        <w:spacing w:before="480" w:after="240" w:line="240" w:lineRule="auto"/>
        <w:jc w:val="both"/>
        <w:rPr>
          <w:rFonts w:ascii="Arial" w:hAnsi="Arial" w:cs="Arial"/>
          <w:lang w:eastAsia="cs-CZ"/>
        </w:rPr>
      </w:pPr>
      <w:r w:rsidRPr="002D4E99">
        <w:rPr>
          <w:rFonts w:ascii="Arial" w:hAnsi="Arial" w:cs="Arial"/>
          <w:lang w:eastAsia="cs-CZ"/>
        </w:rPr>
        <w:tab/>
      </w:r>
      <w:r w:rsidRPr="002D4E99">
        <w:rPr>
          <w:rFonts w:ascii="Arial" w:hAnsi="Arial" w:cs="Arial"/>
          <w:lang w:eastAsia="cs-CZ"/>
        </w:rPr>
        <w:tab/>
      </w:r>
      <w:r w:rsidRPr="002D4E99">
        <w:rPr>
          <w:rFonts w:ascii="Arial" w:hAnsi="Arial" w:cs="Arial"/>
          <w:lang w:eastAsia="cs-CZ"/>
        </w:rPr>
        <w:tab/>
      </w:r>
    </w:p>
    <w:p w:rsidR="00BB2E82" w:rsidRPr="002D4E99" w:rsidP="00BB2E82" w14:paraId="23E2918C" w14:textId="2EF9D5E7">
      <w:pPr>
        <w:tabs>
          <w:tab w:val="left" w:pos="0"/>
          <w:tab w:val="left" w:pos="5103"/>
        </w:tabs>
        <w:spacing w:after="0" w:line="240" w:lineRule="auto"/>
        <w:jc w:val="both"/>
        <w:rPr>
          <w:rFonts w:ascii="Arial" w:hAnsi="Arial" w:cs="Arial"/>
          <w:lang w:eastAsia="cs-CZ"/>
        </w:rPr>
      </w:pPr>
      <w:r w:rsidRPr="009934F8">
        <w:rPr>
          <w:rFonts w:ascii="Arial" w:hAnsi="Arial" w:cs="Arial"/>
          <w:lang w:eastAsia="cs-CZ"/>
        </w:rPr>
        <w:t>Jiří Turčányi</w:t>
      </w:r>
      <w:r w:rsidR="003D66B1">
        <w:rPr>
          <w:rFonts w:ascii="Arial" w:hAnsi="Arial" w:cs="Arial"/>
          <w:lang w:eastAsia="cs-CZ"/>
        </w:rPr>
        <w:t xml:space="preserve"> v. r.</w:t>
      </w:r>
      <w:r w:rsidRPr="002D4E99">
        <w:rPr>
          <w:rFonts w:ascii="Arial" w:hAnsi="Arial" w:cs="Arial"/>
          <w:lang w:eastAsia="cs-CZ"/>
        </w:rPr>
        <w:tab/>
        <w:t xml:space="preserve">Ing. </w:t>
      </w:r>
      <w:r w:rsidR="00A85A8D">
        <w:rPr>
          <w:rFonts w:ascii="Arial" w:hAnsi="Arial" w:cs="Arial"/>
          <w:lang w:eastAsia="cs-CZ"/>
        </w:rPr>
        <w:t>Jitka Křupková</w:t>
      </w:r>
      <w:r w:rsidR="003D66B1">
        <w:rPr>
          <w:rFonts w:ascii="Arial" w:hAnsi="Arial" w:cs="Arial"/>
          <w:lang w:eastAsia="cs-CZ"/>
        </w:rPr>
        <w:t xml:space="preserve"> v. r.</w:t>
      </w:r>
    </w:p>
    <w:p w:rsidR="00BB2E82" w:rsidRPr="002D4E99" w:rsidP="00BB2E82" w14:paraId="45F66C6B" w14:textId="7C5E3EC4">
      <w:pPr>
        <w:tabs>
          <w:tab w:val="left" w:pos="5103"/>
        </w:tabs>
        <w:spacing w:after="120" w:line="240" w:lineRule="auto"/>
        <w:ind w:left="5103" w:hanging="5103"/>
        <w:jc w:val="both"/>
        <w:rPr>
          <w:rFonts w:ascii="Arial" w:hAnsi="Arial" w:cs="Arial"/>
          <w:lang w:eastAsia="cs-CZ"/>
        </w:rPr>
      </w:pPr>
      <w:r>
        <w:rPr>
          <w:rFonts w:ascii="Arial" w:hAnsi="Arial" w:cs="Arial"/>
          <w:lang w:eastAsia="cs-CZ"/>
        </w:rPr>
        <w:t>j</w:t>
      </w:r>
      <w:r w:rsidRPr="000A5557">
        <w:rPr>
          <w:rFonts w:ascii="Arial" w:hAnsi="Arial" w:cs="Arial"/>
          <w:lang w:eastAsia="cs-CZ"/>
        </w:rPr>
        <w:t>ednatel, Data Force, s.r.o.</w:t>
      </w:r>
      <w:r w:rsidR="00A85A8D">
        <w:rPr>
          <w:rFonts w:ascii="Arial" w:hAnsi="Arial" w:cs="Arial"/>
          <w:lang w:eastAsia="cs-CZ"/>
        </w:rPr>
        <w:tab/>
        <w:t xml:space="preserve">ředitelka </w:t>
      </w:r>
      <w:r w:rsidRPr="002D4E99">
        <w:rPr>
          <w:rFonts w:ascii="Arial" w:hAnsi="Arial" w:cs="Arial"/>
          <w:lang w:eastAsia="cs-CZ"/>
        </w:rPr>
        <w:t xml:space="preserve">Odboru </w:t>
      </w:r>
      <w:r>
        <w:rPr>
          <w:rFonts w:ascii="Arial" w:hAnsi="Arial" w:cs="Arial"/>
          <w:lang w:eastAsia="cs-CZ"/>
        </w:rPr>
        <w:t>informatiky</w:t>
      </w:r>
    </w:p>
    <w:p w:rsidR="00BB2E82" w:rsidRPr="002D4E99" w:rsidP="00BB2E82" w14:paraId="19AA266E" w14:textId="77777777">
      <w:pPr>
        <w:spacing w:after="240" w:line="240" w:lineRule="auto"/>
        <w:jc w:val="both"/>
        <w:rPr>
          <w:rFonts w:ascii="Arial" w:hAnsi="Arial" w:cs="Arial"/>
          <w:lang w:eastAsia="cs-CZ"/>
        </w:rPr>
        <w:sectPr w:rsidSect="00932064">
          <w:headerReference w:type="even" r:id="rId5"/>
          <w:headerReference w:type="default" r:id="rId6"/>
          <w:footerReference w:type="even" r:id="rId7"/>
          <w:footerReference w:type="default" r:id="rId8"/>
          <w:headerReference w:type="first" r:id="rId9"/>
          <w:footnotePr>
            <w:numFmt w:val="chicago"/>
          </w:footnotePr>
          <w:pgSz w:w="11920" w:h="16860"/>
          <w:pgMar w:top="1134" w:right="1134" w:bottom="1134" w:left="1134" w:header="709" w:footer="425" w:gutter="0"/>
          <w:pgNumType w:start="1"/>
          <w:cols w:space="708"/>
          <w:titlePg/>
          <w:docGrid w:linePitch="299"/>
        </w:sectPr>
      </w:pPr>
    </w:p>
    <w:p w:rsidR="00BB2E82" w:rsidP="00BB2E82" w14:paraId="2F911078" w14:textId="2B127188">
      <w:pPr>
        <w:keepNext/>
        <w:spacing w:before="120" w:after="120" w:line="240" w:lineRule="auto"/>
        <w:jc w:val="center"/>
        <w:outlineLvl w:val="0"/>
        <w:rPr>
          <w:rFonts w:ascii="Arial" w:eastAsia="Calibri" w:hAnsi="Arial" w:cs="Arial"/>
          <w:b/>
          <w:bCs/>
          <w:kern w:val="32"/>
          <w:sz w:val="28"/>
          <w:szCs w:val="28"/>
          <w:lang w:eastAsia="cs-CZ"/>
        </w:rPr>
      </w:pPr>
      <w:r w:rsidRPr="002D4E99">
        <w:rPr>
          <w:rFonts w:ascii="Arial" w:eastAsia="Calibri" w:hAnsi="Arial" w:cs="Arial"/>
          <w:b/>
          <w:bCs/>
          <w:kern w:val="32"/>
          <w:sz w:val="28"/>
          <w:szCs w:val="28"/>
          <w:lang w:eastAsia="cs-CZ"/>
        </w:rPr>
        <w:t>Technická specifikace</w:t>
      </w:r>
      <w:r>
        <w:rPr>
          <w:rFonts w:ascii="Arial" w:eastAsia="Calibri" w:hAnsi="Arial" w:cs="Arial"/>
          <w:b/>
          <w:bCs/>
          <w:kern w:val="32"/>
          <w:sz w:val="28"/>
          <w:szCs w:val="28"/>
          <w:lang w:eastAsia="cs-CZ"/>
        </w:rPr>
        <w:t xml:space="preserve"> zboží</w:t>
      </w:r>
    </w:p>
    <w:tbl>
      <w:tblPr>
        <w:tblStyle w:val="TableGrid"/>
        <w:tblW w:w="9357" w:type="dxa"/>
        <w:tblInd w:w="1" w:type="dxa"/>
        <w:tblCellMar>
          <w:top w:w="45" w:type="dxa"/>
          <w:left w:w="106" w:type="dxa"/>
          <w:right w:w="44" w:type="dxa"/>
        </w:tblCellMar>
        <w:tblLook w:val="04A0"/>
      </w:tblPr>
      <w:tblGrid>
        <w:gridCol w:w="4385"/>
        <w:gridCol w:w="1153"/>
        <w:gridCol w:w="3819"/>
      </w:tblGrid>
      <w:tr w14:paraId="122A4933" w14:textId="77777777" w:rsidTr="00620706">
        <w:tblPrEx>
          <w:tblW w:w="9357" w:type="dxa"/>
          <w:tblInd w:w="1" w:type="dxa"/>
          <w:tblCellMar>
            <w:top w:w="45" w:type="dxa"/>
            <w:left w:w="106" w:type="dxa"/>
            <w:right w:w="44" w:type="dxa"/>
          </w:tblCellMar>
          <w:tblLook w:val="04A0"/>
        </w:tblPrEx>
        <w:trPr>
          <w:trHeight w:val="862"/>
        </w:trPr>
        <w:tc>
          <w:tcPr>
            <w:tcW w:w="9357"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877251" w:rsidRPr="00DD51B9" w:rsidP="00620706" w14:paraId="24EF7A0F" w14:textId="77777777">
            <w:pPr>
              <w:spacing w:after="0" w:line="259" w:lineRule="auto"/>
              <w:ind w:right="60"/>
              <w:jc w:val="center"/>
              <w:rPr>
                <w:rFonts w:ascii="Arial" w:hAnsi="Arial" w:cs="Arial"/>
                <w:sz w:val="22"/>
                <w:szCs w:val="22"/>
              </w:rPr>
            </w:pPr>
            <w:r w:rsidRPr="00DD51B9">
              <w:rPr>
                <w:rFonts w:ascii="Arial" w:hAnsi="Arial" w:cs="Arial"/>
                <w:b/>
                <w:sz w:val="22"/>
                <w:szCs w:val="22"/>
              </w:rPr>
              <w:t xml:space="preserve">Specifikace deduplikačního diskového úložiště </w:t>
            </w:r>
          </w:p>
        </w:tc>
      </w:tr>
      <w:tr w14:paraId="5E2E97EF" w14:textId="77777777" w:rsidTr="00620706">
        <w:tblPrEx>
          <w:tblW w:w="9357" w:type="dxa"/>
          <w:tblInd w:w="1" w:type="dxa"/>
          <w:tblCellMar>
            <w:top w:w="45" w:type="dxa"/>
            <w:left w:w="106" w:type="dxa"/>
            <w:right w:w="44" w:type="dxa"/>
          </w:tblCellMar>
          <w:tblLook w:val="04A0"/>
        </w:tblPrEx>
        <w:trPr>
          <w:trHeight w:val="861"/>
        </w:trPr>
        <w:tc>
          <w:tcPr>
            <w:tcW w:w="4398"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B46E265" w14:textId="77777777">
            <w:pPr>
              <w:spacing w:after="0" w:line="259" w:lineRule="auto"/>
              <w:ind w:left="4"/>
              <w:rPr>
                <w:rFonts w:ascii="Arial" w:hAnsi="Arial" w:cs="Arial"/>
                <w:sz w:val="22"/>
                <w:szCs w:val="22"/>
              </w:rPr>
            </w:pPr>
            <w:r w:rsidRPr="00DD51B9">
              <w:rPr>
                <w:rFonts w:ascii="Arial" w:hAnsi="Arial" w:cs="Arial"/>
                <w:sz w:val="22"/>
                <w:szCs w:val="22"/>
              </w:rPr>
              <w:t xml:space="preserve">Model (označení) </w:t>
            </w:r>
            <w:r w:rsidRPr="00DD51B9">
              <w:rPr>
                <w:rFonts w:ascii="Arial" w:hAnsi="Arial" w:cs="Arial"/>
                <w:b/>
                <w:sz w:val="22"/>
                <w:szCs w:val="22"/>
              </w:rPr>
              <w:t xml:space="preserve"> </w:t>
            </w:r>
          </w:p>
        </w:tc>
        <w:tc>
          <w:tcPr>
            <w:tcW w:w="4959" w:type="dxa"/>
            <w:gridSpan w:val="2"/>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96837B9" w14:textId="77777777">
            <w:pPr>
              <w:spacing w:after="0" w:line="259" w:lineRule="auto"/>
              <w:rPr>
                <w:rFonts w:ascii="Arial" w:hAnsi="Arial" w:cs="Arial"/>
                <w:sz w:val="22"/>
                <w:szCs w:val="22"/>
              </w:rPr>
            </w:pPr>
            <w:r w:rsidRPr="00DD51B9">
              <w:rPr>
                <w:rFonts w:ascii="Arial" w:hAnsi="Arial" w:cs="Arial"/>
                <w:b/>
                <w:sz w:val="22"/>
                <w:szCs w:val="22"/>
              </w:rPr>
              <w:t xml:space="preserve">Dell PowerProtect DD6410 </w:t>
            </w:r>
          </w:p>
        </w:tc>
      </w:tr>
      <w:tr w14:paraId="634CBC99" w14:textId="77777777" w:rsidTr="00620706">
        <w:tblPrEx>
          <w:tblW w:w="9357" w:type="dxa"/>
          <w:tblInd w:w="1" w:type="dxa"/>
          <w:tblCellMar>
            <w:top w:w="45" w:type="dxa"/>
            <w:left w:w="106" w:type="dxa"/>
            <w:right w:w="44" w:type="dxa"/>
          </w:tblCellMar>
          <w:tblLook w:val="04A0"/>
        </w:tblPrEx>
        <w:trPr>
          <w:trHeight w:val="932"/>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3C87A2F6" w14:textId="77777777">
            <w:pPr>
              <w:spacing w:after="0" w:line="259" w:lineRule="auto"/>
              <w:ind w:left="4" w:right="60"/>
              <w:rPr>
                <w:rFonts w:ascii="Arial" w:hAnsi="Arial" w:cs="Arial"/>
                <w:sz w:val="22"/>
                <w:szCs w:val="22"/>
              </w:rPr>
            </w:pPr>
            <w:r w:rsidRPr="00DD51B9">
              <w:rPr>
                <w:rFonts w:ascii="Arial" w:hAnsi="Arial" w:cs="Arial"/>
                <w:sz w:val="22"/>
                <w:szCs w:val="22"/>
              </w:rPr>
              <w:t xml:space="preserve">Uvedení odkazu na www stránky výrobce zařízení, kde je k dispozici detailní technická specifikace (DataSheet) v českém nebo anglickém jazyce </w:t>
            </w:r>
            <w:r w:rsidRPr="00DD51B9">
              <w:rPr>
                <w:rFonts w:ascii="Arial" w:hAnsi="Arial" w:cs="Arial"/>
                <w:b/>
                <w:sz w:val="22"/>
                <w:szCs w:val="22"/>
              </w:rPr>
              <w:t xml:space="preserve"> </w:t>
            </w:r>
          </w:p>
        </w:tc>
        <w:tc>
          <w:tcPr>
            <w:tcW w:w="4959" w:type="dxa"/>
            <w:gridSpan w:val="2"/>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A8389DD" w14:textId="77777777">
            <w:pPr>
              <w:spacing w:after="0" w:line="259" w:lineRule="auto"/>
              <w:jc w:val="center"/>
              <w:rPr>
                <w:rFonts w:ascii="Arial" w:hAnsi="Arial" w:cs="Arial"/>
                <w:sz w:val="22"/>
                <w:szCs w:val="22"/>
              </w:rPr>
            </w:pPr>
            <w:hyperlink r:id="rId10" w:history="1">
              <w:r w:rsidRPr="00DD51B9">
                <w:rPr>
                  <w:rFonts w:ascii="Arial" w:hAnsi="Arial" w:cs="Arial"/>
                  <w:color w:val="0563C1"/>
                  <w:sz w:val="22"/>
                  <w:szCs w:val="22"/>
                  <w:u w:val="single" w:color="0563C1"/>
                </w:rPr>
                <w:t>https://infohub.delltechnologies.com/en</w:t>
              </w:r>
            </w:hyperlink>
            <w:hyperlink r:id="rId10" w:history="1">
              <w:r w:rsidRPr="00DD51B9">
                <w:rPr>
                  <w:rFonts w:ascii="Arial" w:hAnsi="Arial" w:cs="Arial"/>
                  <w:color w:val="0563C1"/>
                  <w:sz w:val="22"/>
                  <w:szCs w:val="22"/>
                  <w:u w:val="single" w:color="0563C1"/>
                </w:rPr>
                <w:t>-</w:t>
              </w:r>
            </w:hyperlink>
            <w:hyperlink r:id="rId10" w:history="1">
              <w:r w:rsidRPr="00DD51B9">
                <w:rPr>
                  <w:rFonts w:ascii="Arial" w:hAnsi="Arial" w:cs="Arial"/>
                  <w:color w:val="0563C1"/>
                  <w:sz w:val="22"/>
                  <w:szCs w:val="22"/>
                  <w:u w:val="single" w:color="0563C1"/>
                </w:rPr>
                <w:t>us/l/dell</w:t>
              </w:r>
            </w:hyperlink>
            <w:hyperlink r:id="rId10" w:history="1">
              <w:r>
                <w:rPr>
                  <w:rStyle w:val="Hyperlink"/>
                </w:rPr>
                <w:t>https://infohub.delltechnologies.com/en-us/l/dell-powerprotect-data-domain-dd6410/overview-7121/</w:t>
              </w:r>
            </w:hyperlink>
            <w:hyperlink r:id="rId10" w:history="1">
              <w:r w:rsidRPr="00DD51B9">
                <w:rPr>
                  <w:rFonts w:ascii="Arial" w:hAnsi="Arial" w:cs="Arial"/>
                  <w:color w:val="0563C1"/>
                  <w:sz w:val="22"/>
                  <w:szCs w:val="22"/>
                  <w:u w:val="single" w:color="0563C1"/>
                </w:rPr>
                <w:t>powerprotect</w:t>
              </w:r>
            </w:hyperlink>
            <w:hyperlink r:id="rId10" w:history="1">
              <w:r w:rsidRPr="00DD51B9">
                <w:rPr>
                  <w:rFonts w:ascii="Arial" w:hAnsi="Arial" w:cs="Arial"/>
                  <w:color w:val="0563C1"/>
                  <w:sz w:val="22"/>
                  <w:szCs w:val="22"/>
                  <w:u w:val="single" w:color="0563C1"/>
                </w:rPr>
                <w:t>-</w:t>
              </w:r>
            </w:hyperlink>
            <w:hyperlink r:id="rId10" w:history="1">
              <w:r w:rsidRPr="00DD51B9">
                <w:rPr>
                  <w:rFonts w:ascii="Arial" w:hAnsi="Arial" w:cs="Arial"/>
                  <w:color w:val="0563C1"/>
                  <w:sz w:val="22"/>
                  <w:szCs w:val="22"/>
                  <w:u w:val="single" w:color="0563C1"/>
                </w:rPr>
                <w:t>data</w:t>
              </w:r>
            </w:hyperlink>
            <w:hyperlink r:id="rId10" w:history="1">
              <w:r w:rsidRPr="00DD51B9">
                <w:rPr>
                  <w:rFonts w:ascii="Arial" w:hAnsi="Arial" w:cs="Arial"/>
                  <w:color w:val="0563C1"/>
                  <w:sz w:val="22"/>
                  <w:szCs w:val="22"/>
                  <w:u w:val="single" w:color="0563C1"/>
                </w:rPr>
                <w:t>-</w:t>
              </w:r>
            </w:hyperlink>
            <w:hyperlink r:id="rId10" w:history="1">
              <w:r w:rsidRPr="00DD51B9">
                <w:rPr>
                  <w:rFonts w:ascii="Arial" w:hAnsi="Arial" w:cs="Arial"/>
                  <w:color w:val="0563C1"/>
                  <w:sz w:val="22"/>
                  <w:szCs w:val="22"/>
                  <w:u w:val="single" w:color="0563C1"/>
                </w:rPr>
                <w:t>domain</w:t>
              </w:r>
            </w:hyperlink>
            <w:hyperlink r:id="rId10" w:history="1">
              <w:r w:rsidRPr="00DD51B9">
                <w:rPr>
                  <w:rFonts w:ascii="Arial" w:hAnsi="Arial" w:cs="Arial"/>
                  <w:color w:val="0563C1"/>
                  <w:sz w:val="22"/>
                  <w:szCs w:val="22"/>
                  <w:u w:val="single" w:color="0563C1"/>
                </w:rPr>
                <w:t>-</w:t>
              </w:r>
            </w:hyperlink>
            <w:hyperlink r:id="rId10" w:history="1">
              <w:r w:rsidRPr="00DD51B9">
                <w:rPr>
                  <w:rFonts w:ascii="Arial" w:hAnsi="Arial" w:cs="Arial"/>
                  <w:color w:val="0563C1"/>
                  <w:sz w:val="22"/>
                  <w:szCs w:val="22"/>
                  <w:u w:val="single" w:color="0563C1"/>
                </w:rPr>
                <w:t>dd6410/overview</w:t>
              </w:r>
            </w:hyperlink>
            <w:hyperlink r:id="rId10" w:history="1">
              <w:r w:rsidRPr="00DD51B9">
                <w:rPr>
                  <w:rFonts w:ascii="Arial" w:hAnsi="Arial" w:cs="Arial"/>
                  <w:color w:val="0563C1"/>
                  <w:sz w:val="22"/>
                  <w:szCs w:val="22"/>
                  <w:u w:val="single" w:color="0563C1"/>
                </w:rPr>
                <w:t>-</w:t>
              </w:r>
            </w:hyperlink>
            <w:hyperlink r:id="rId10" w:history="1">
              <w:r w:rsidRPr="00DD51B9">
                <w:rPr>
                  <w:rFonts w:ascii="Arial" w:hAnsi="Arial" w:cs="Arial"/>
                  <w:color w:val="0563C1"/>
                  <w:sz w:val="22"/>
                  <w:szCs w:val="22"/>
                  <w:u w:val="single" w:color="0563C1"/>
                </w:rPr>
                <w:t>7121/</w:t>
              </w:r>
            </w:hyperlink>
            <w:hyperlink r:id="rId10" w:history="1">
              <w:r w:rsidRPr="00DD51B9">
                <w:rPr>
                  <w:rFonts w:ascii="Arial" w:hAnsi="Arial" w:cs="Arial"/>
                  <w:sz w:val="22"/>
                  <w:szCs w:val="22"/>
                </w:rPr>
                <w:t xml:space="preserve"> </w:t>
              </w:r>
            </w:hyperlink>
          </w:p>
        </w:tc>
      </w:tr>
      <w:tr w14:paraId="17ACB23E" w14:textId="77777777" w:rsidTr="00620706">
        <w:tblPrEx>
          <w:tblW w:w="9357" w:type="dxa"/>
          <w:tblInd w:w="1" w:type="dxa"/>
          <w:tblCellMar>
            <w:top w:w="45" w:type="dxa"/>
            <w:left w:w="106" w:type="dxa"/>
            <w:right w:w="44" w:type="dxa"/>
          </w:tblCellMar>
          <w:tblLook w:val="04A0"/>
        </w:tblPrEx>
        <w:trPr>
          <w:trHeight w:val="574"/>
        </w:trPr>
        <w:tc>
          <w:tcPr>
            <w:tcW w:w="43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7251" w:rsidRPr="00DD51B9" w:rsidP="00620706" w14:paraId="11EC2735" w14:textId="77777777">
            <w:pPr>
              <w:spacing w:after="0" w:line="259" w:lineRule="auto"/>
              <w:ind w:right="60"/>
              <w:jc w:val="center"/>
              <w:rPr>
                <w:rFonts w:ascii="Arial" w:hAnsi="Arial" w:cs="Arial"/>
                <w:sz w:val="22"/>
                <w:szCs w:val="22"/>
              </w:rPr>
            </w:pPr>
            <w:r w:rsidRPr="00DD51B9">
              <w:rPr>
                <w:rFonts w:ascii="Arial" w:hAnsi="Arial" w:cs="Arial"/>
                <w:b/>
                <w:sz w:val="22"/>
                <w:szCs w:val="22"/>
              </w:rPr>
              <w:t xml:space="preserve">Požadovaná funkcionalita/vlastnost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rsidR="00877251" w:rsidRPr="00DD51B9" w:rsidP="00620706" w14:paraId="2BA8C5C4" w14:textId="77777777">
            <w:pPr>
              <w:spacing w:after="0" w:line="259" w:lineRule="auto"/>
              <w:jc w:val="center"/>
              <w:rPr>
                <w:rFonts w:ascii="Arial" w:hAnsi="Arial" w:cs="Arial"/>
                <w:sz w:val="22"/>
                <w:szCs w:val="22"/>
              </w:rPr>
            </w:pPr>
            <w:r w:rsidRPr="00DD51B9">
              <w:rPr>
                <w:rFonts w:ascii="Arial" w:hAnsi="Arial" w:cs="Arial"/>
                <w:b/>
                <w:sz w:val="22"/>
                <w:szCs w:val="22"/>
              </w:rPr>
              <w:t xml:space="preserve">Splňuje (ANO/NE) </w:t>
            </w:r>
          </w:p>
        </w:tc>
        <w:tc>
          <w:tcPr>
            <w:tcW w:w="38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7251" w:rsidRPr="00DD51B9" w:rsidP="00620706" w14:paraId="04B7BBCF" w14:textId="77777777">
            <w:pPr>
              <w:spacing w:after="0" w:line="259" w:lineRule="auto"/>
              <w:ind w:right="55"/>
              <w:jc w:val="center"/>
              <w:rPr>
                <w:rFonts w:ascii="Arial" w:hAnsi="Arial" w:cs="Arial"/>
                <w:sz w:val="22"/>
                <w:szCs w:val="22"/>
              </w:rPr>
            </w:pPr>
            <w:r w:rsidRPr="00DD51B9">
              <w:rPr>
                <w:rFonts w:ascii="Arial" w:hAnsi="Arial" w:cs="Arial"/>
                <w:b/>
                <w:sz w:val="22"/>
                <w:szCs w:val="22"/>
              </w:rPr>
              <w:t xml:space="preserve">Hodnota daného parametru </w:t>
            </w:r>
          </w:p>
        </w:tc>
      </w:tr>
      <w:tr w14:paraId="16766CF8" w14:textId="77777777" w:rsidTr="00620706">
        <w:tblPrEx>
          <w:tblW w:w="9357" w:type="dxa"/>
          <w:tblInd w:w="1" w:type="dxa"/>
          <w:tblCellMar>
            <w:top w:w="45" w:type="dxa"/>
            <w:left w:w="106" w:type="dxa"/>
            <w:right w:w="44" w:type="dxa"/>
          </w:tblCellMar>
          <w:tblLook w:val="04A0"/>
        </w:tblPrEx>
        <w:trPr>
          <w:trHeight w:val="577"/>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573EB749" w14:textId="77777777">
            <w:pPr>
              <w:spacing w:after="0" w:line="259" w:lineRule="auto"/>
              <w:ind w:left="4"/>
              <w:rPr>
                <w:rFonts w:ascii="Arial" w:hAnsi="Arial" w:cs="Arial"/>
                <w:sz w:val="22"/>
                <w:szCs w:val="22"/>
              </w:rPr>
            </w:pPr>
            <w:r w:rsidRPr="00DD51B9">
              <w:rPr>
                <w:rFonts w:ascii="Arial" w:hAnsi="Arial" w:cs="Arial"/>
                <w:sz w:val="22"/>
                <w:szCs w:val="22"/>
              </w:rPr>
              <w:t xml:space="preserve">Maximálně alokovaný prostor v racku 6U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C0A3F4B"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02AD692" w14:textId="77777777">
            <w:pPr>
              <w:spacing w:after="0" w:line="259" w:lineRule="auto"/>
              <w:ind w:left="5"/>
              <w:rPr>
                <w:rFonts w:ascii="Arial" w:hAnsi="Arial" w:cs="Arial"/>
                <w:sz w:val="22"/>
                <w:szCs w:val="22"/>
              </w:rPr>
            </w:pPr>
            <w:r w:rsidRPr="00DD51B9">
              <w:rPr>
                <w:rFonts w:ascii="Arial" w:hAnsi="Arial" w:cs="Arial"/>
                <w:sz w:val="22"/>
                <w:szCs w:val="22"/>
              </w:rPr>
              <w:t xml:space="preserve">2U </w:t>
            </w:r>
          </w:p>
        </w:tc>
      </w:tr>
      <w:tr w14:paraId="2869C1B8" w14:textId="77777777" w:rsidTr="00620706">
        <w:tblPrEx>
          <w:tblW w:w="9357" w:type="dxa"/>
          <w:tblInd w:w="1" w:type="dxa"/>
          <w:tblCellMar>
            <w:top w:w="45" w:type="dxa"/>
            <w:left w:w="106" w:type="dxa"/>
            <w:right w:w="44" w:type="dxa"/>
          </w:tblCellMar>
          <w:tblLook w:val="04A0"/>
        </w:tblPrEx>
        <w:trPr>
          <w:trHeight w:val="576"/>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583F15F9" w14:textId="77777777">
            <w:pPr>
              <w:spacing w:after="0" w:line="259" w:lineRule="auto"/>
              <w:ind w:left="4"/>
              <w:rPr>
                <w:rFonts w:ascii="Arial" w:hAnsi="Arial" w:cs="Arial"/>
                <w:sz w:val="22"/>
                <w:szCs w:val="22"/>
              </w:rPr>
            </w:pPr>
            <w:r w:rsidRPr="00DD51B9">
              <w:rPr>
                <w:rFonts w:ascii="Arial" w:hAnsi="Arial" w:cs="Arial"/>
                <w:sz w:val="22"/>
                <w:szCs w:val="22"/>
              </w:rPr>
              <w:t xml:space="preserve">Zalicencovaná </w:t>
            </w:r>
            <w:r w:rsidRPr="00DD51B9">
              <w:rPr>
                <w:rFonts w:ascii="Arial" w:hAnsi="Arial" w:cs="Arial"/>
                <w:sz w:val="22"/>
                <w:szCs w:val="22"/>
              </w:rPr>
              <w:tab/>
              <w:t xml:space="preserve">použitelná </w:t>
            </w:r>
            <w:r w:rsidRPr="00DD51B9">
              <w:rPr>
                <w:rFonts w:ascii="Arial" w:hAnsi="Arial" w:cs="Arial"/>
                <w:sz w:val="22"/>
                <w:szCs w:val="22"/>
              </w:rPr>
              <w:tab/>
              <w:t xml:space="preserve">kapacita minimálně 79 TB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73ACDEC"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5FA8FC0" w14:textId="77777777">
            <w:pPr>
              <w:spacing w:after="0" w:line="259" w:lineRule="auto"/>
              <w:ind w:left="5"/>
              <w:rPr>
                <w:rFonts w:ascii="Arial" w:hAnsi="Arial" w:cs="Arial"/>
                <w:sz w:val="22"/>
                <w:szCs w:val="22"/>
              </w:rPr>
            </w:pPr>
            <w:r w:rsidRPr="00DD51B9">
              <w:rPr>
                <w:rFonts w:ascii="Arial" w:hAnsi="Arial" w:cs="Arial"/>
                <w:sz w:val="22"/>
                <w:szCs w:val="22"/>
              </w:rPr>
              <w:t xml:space="preserve">80TB </w:t>
            </w:r>
          </w:p>
        </w:tc>
      </w:tr>
      <w:tr w14:paraId="2816A7D1" w14:textId="77777777" w:rsidTr="00620706">
        <w:tblPrEx>
          <w:tblW w:w="9357" w:type="dxa"/>
          <w:tblInd w:w="1" w:type="dxa"/>
          <w:tblCellMar>
            <w:top w:w="45" w:type="dxa"/>
            <w:left w:w="106" w:type="dxa"/>
            <w:right w:w="44" w:type="dxa"/>
          </w:tblCellMar>
          <w:tblLook w:val="04A0"/>
        </w:tblPrEx>
        <w:trPr>
          <w:trHeight w:val="581"/>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7C398B2E" w14:textId="77777777">
            <w:pPr>
              <w:spacing w:after="0" w:line="259" w:lineRule="auto"/>
              <w:ind w:left="4"/>
              <w:rPr>
                <w:rFonts w:ascii="Arial" w:hAnsi="Arial" w:cs="Arial"/>
                <w:sz w:val="22"/>
                <w:szCs w:val="22"/>
              </w:rPr>
            </w:pPr>
            <w:r w:rsidRPr="00DD51B9">
              <w:rPr>
                <w:rFonts w:ascii="Arial" w:hAnsi="Arial" w:cs="Arial"/>
                <w:sz w:val="22"/>
                <w:szCs w:val="22"/>
              </w:rPr>
              <w:t xml:space="preserve">Úložiště musí umožnit rozšiřování minimálně do 160TB čisté kapacity.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69D4DA9"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BB9203E" w14:textId="77777777">
            <w:pPr>
              <w:spacing w:after="0" w:line="259" w:lineRule="auto"/>
              <w:ind w:left="5"/>
              <w:rPr>
                <w:rFonts w:ascii="Arial" w:hAnsi="Arial" w:cs="Arial"/>
                <w:sz w:val="22"/>
                <w:szCs w:val="22"/>
              </w:rPr>
            </w:pPr>
            <w:r w:rsidRPr="00DD51B9">
              <w:rPr>
                <w:rFonts w:ascii="Arial" w:hAnsi="Arial" w:cs="Arial"/>
                <w:sz w:val="22"/>
                <w:szCs w:val="22"/>
              </w:rPr>
              <w:t xml:space="preserve">256TB </w:t>
            </w:r>
          </w:p>
        </w:tc>
      </w:tr>
      <w:tr w14:paraId="18AB820A" w14:textId="77777777" w:rsidTr="00620706">
        <w:tblPrEx>
          <w:tblW w:w="9357" w:type="dxa"/>
          <w:tblInd w:w="1" w:type="dxa"/>
          <w:tblCellMar>
            <w:top w:w="45" w:type="dxa"/>
            <w:left w:w="106" w:type="dxa"/>
            <w:right w:w="44" w:type="dxa"/>
          </w:tblCellMar>
          <w:tblLook w:val="04A0"/>
        </w:tblPrEx>
        <w:trPr>
          <w:trHeight w:val="576"/>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0830C6BC" w14:textId="77777777">
            <w:pPr>
              <w:spacing w:after="0" w:line="259" w:lineRule="auto"/>
              <w:ind w:left="4"/>
              <w:rPr>
                <w:rFonts w:ascii="Arial" w:hAnsi="Arial" w:cs="Arial"/>
                <w:sz w:val="22"/>
                <w:szCs w:val="22"/>
              </w:rPr>
            </w:pPr>
            <w:r w:rsidRPr="00DD51B9">
              <w:rPr>
                <w:rFonts w:ascii="Arial" w:hAnsi="Arial" w:cs="Arial"/>
                <w:sz w:val="22"/>
                <w:szCs w:val="22"/>
              </w:rPr>
              <w:t xml:space="preserve">Minimální propustnost pro zápis 12 TB/h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244CA8D"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41B5C2A" w14:textId="77777777">
            <w:pPr>
              <w:spacing w:after="0" w:line="259" w:lineRule="auto"/>
              <w:ind w:left="5"/>
              <w:rPr>
                <w:rFonts w:ascii="Arial" w:hAnsi="Arial" w:cs="Arial"/>
                <w:sz w:val="22"/>
                <w:szCs w:val="22"/>
              </w:rPr>
            </w:pPr>
            <w:r w:rsidRPr="00DD51B9">
              <w:rPr>
                <w:rFonts w:ascii="Arial" w:hAnsi="Arial" w:cs="Arial"/>
                <w:sz w:val="22"/>
                <w:szCs w:val="22"/>
              </w:rPr>
              <w:t xml:space="preserve">Až 66,8TB/hod. </w:t>
            </w:r>
          </w:p>
        </w:tc>
      </w:tr>
      <w:tr w14:paraId="1F1DB9F1" w14:textId="77777777" w:rsidTr="00620706">
        <w:tblPrEx>
          <w:tblW w:w="9357" w:type="dxa"/>
          <w:tblInd w:w="1" w:type="dxa"/>
          <w:tblCellMar>
            <w:top w:w="45" w:type="dxa"/>
            <w:left w:w="106" w:type="dxa"/>
            <w:right w:w="44" w:type="dxa"/>
          </w:tblCellMar>
          <w:tblLook w:val="04A0"/>
        </w:tblPrEx>
        <w:trPr>
          <w:trHeight w:val="576"/>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06A877C1" w14:textId="77777777">
            <w:pPr>
              <w:spacing w:after="0" w:line="259" w:lineRule="auto"/>
              <w:ind w:left="4"/>
              <w:rPr>
                <w:rFonts w:ascii="Arial" w:hAnsi="Arial" w:cs="Arial"/>
                <w:sz w:val="22"/>
                <w:szCs w:val="22"/>
              </w:rPr>
            </w:pPr>
            <w:r w:rsidRPr="00DD51B9">
              <w:rPr>
                <w:rFonts w:ascii="Arial" w:hAnsi="Arial" w:cs="Arial"/>
                <w:sz w:val="22"/>
                <w:szCs w:val="22"/>
              </w:rPr>
              <w:t xml:space="preserve">Minimální propustnost pro čtení 3 TB/h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806CA7C"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792A056" w14:textId="77777777">
            <w:pPr>
              <w:spacing w:after="0" w:line="259" w:lineRule="auto"/>
              <w:ind w:left="5"/>
              <w:rPr>
                <w:rFonts w:ascii="Arial" w:hAnsi="Arial" w:cs="Arial"/>
                <w:sz w:val="22"/>
                <w:szCs w:val="22"/>
              </w:rPr>
            </w:pPr>
            <w:r w:rsidRPr="00DD51B9">
              <w:rPr>
                <w:rFonts w:ascii="Arial" w:hAnsi="Arial" w:cs="Arial"/>
                <w:sz w:val="22"/>
                <w:szCs w:val="22"/>
              </w:rPr>
              <w:t xml:space="preserve">Až 66,8TB/hod. </w:t>
            </w:r>
          </w:p>
        </w:tc>
      </w:tr>
      <w:tr w14:paraId="104A7A7A" w14:textId="77777777" w:rsidTr="00620706">
        <w:tblPrEx>
          <w:tblW w:w="9357" w:type="dxa"/>
          <w:tblInd w:w="1" w:type="dxa"/>
          <w:tblCellMar>
            <w:top w:w="45" w:type="dxa"/>
            <w:left w:w="106" w:type="dxa"/>
            <w:right w:w="44" w:type="dxa"/>
          </w:tblCellMar>
          <w:tblLook w:val="04A0"/>
        </w:tblPrEx>
        <w:trPr>
          <w:trHeight w:val="1023"/>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52731CF4" w14:textId="77777777">
            <w:pPr>
              <w:spacing w:after="3" w:line="238" w:lineRule="auto"/>
              <w:ind w:left="4" w:right="64"/>
              <w:rPr>
                <w:rFonts w:ascii="Arial" w:hAnsi="Arial" w:cs="Arial"/>
                <w:sz w:val="22"/>
                <w:szCs w:val="22"/>
              </w:rPr>
            </w:pPr>
            <w:r w:rsidRPr="00DD51B9">
              <w:rPr>
                <w:rFonts w:ascii="Arial" w:hAnsi="Arial" w:cs="Arial"/>
                <w:sz w:val="22"/>
                <w:szCs w:val="22"/>
              </w:rPr>
              <w:t xml:space="preserve">Úložiště musí mít síťovou konektivitu minimálně 4x 10GbE SFP+ (včetně 4x modul SFP+) včetně 2 x optický </w:t>
            </w:r>
          </w:p>
          <w:p w:rsidR="00877251" w:rsidRPr="00DD51B9" w:rsidP="00620706" w14:paraId="252AA4A5" w14:textId="77777777">
            <w:pPr>
              <w:spacing w:after="0" w:line="259" w:lineRule="auto"/>
              <w:ind w:left="4"/>
              <w:rPr>
                <w:rFonts w:ascii="Arial" w:hAnsi="Arial" w:cs="Arial"/>
                <w:sz w:val="22"/>
                <w:szCs w:val="22"/>
              </w:rPr>
            </w:pPr>
            <w:r w:rsidRPr="00DD51B9">
              <w:rPr>
                <w:rFonts w:ascii="Arial" w:hAnsi="Arial" w:cs="Arial"/>
                <w:sz w:val="22"/>
                <w:szCs w:val="22"/>
              </w:rPr>
              <w:t xml:space="preserve">propojovací kabel 3m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FFB05E9"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C1EAFC9" w14:textId="77777777">
            <w:pPr>
              <w:spacing w:after="0" w:line="259" w:lineRule="auto"/>
              <w:ind w:left="5"/>
              <w:rPr>
                <w:rFonts w:ascii="Arial" w:hAnsi="Arial" w:cs="Arial"/>
                <w:sz w:val="22"/>
                <w:szCs w:val="22"/>
              </w:rPr>
            </w:pPr>
            <w:r w:rsidRPr="00DD51B9">
              <w:rPr>
                <w:rFonts w:ascii="Arial" w:hAnsi="Arial" w:cs="Arial"/>
                <w:sz w:val="22"/>
                <w:szCs w:val="22"/>
              </w:rPr>
              <w:t xml:space="preserve">4x SFP 10/25Gbps včetně SFP+ modulů a kabelů, 4x 10Gbps Base-T port  </w:t>
            </w:r>
          </w:p>
        </w:tc>
      </w:tr>
      <w:tr w14:paraId="7332D3B3" w14:textId="77777777" w:rsidTr="00620706">
        <w:tblPrEx>
          <w:tblW w:w="9357" w:type="dxa"/>
          <w:tblInd w:w="1" w:type="dxa"/>
          <w:tblCellMar>
            <w:top w:w="45" w:type="dxa"/>
            <w:left w:w="106" w:type="dxa"/>
            <w:right w:w="44" w:type="dxa"/>
          </w:tblCellMar>
          <w:tblLook w:val="04A0"/>
        </w:tblPrEx>
        <w:trPr>
          <w:trHeight w:val="576"/>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1449669A" w14:textId="77777777">
            <w:pPr>
              <w:spacing w:after="0" w:line="259" w:lineRule="auto"/>
              <w:ind w:left="4"/>
              <w:rPr>
                <w:rFonts w:ascii="Arial" w:hAnsi="Arial" w:cs="Arial"/>
                <w:sz w:val="22"/>
                <w:szCs w:val="22"/>
              </w:rPr>
            </w:pPr>
            <w:r w:rsidRPr="00DD51B9">
              <w:rPr>
                <w:rFonts w:ascii="Arial" w:hAnsi="Arial" w:cs="Arial"/>
                <w:sz w:val="22"/>
                <w:szCs w:val="22"/>
              </w:rPr>
              <w:t xml:space="preserve">Úložiště musí podporovat IPv4 a IPv6 protokol.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EF1D1F9"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E1127DA" w14:textId="77777777">
            <w:pPr>
              <w:spacing w:after="0" w:line="259" w:lineRule="auto"/>
              <w:ind w:left="5"/>
              <w:rPr>
                <w:rFonts w:ascii="Arial" w:hAnsi="Arial" w:cs="Arial"/>
                <w:sz w:val="22"/>
                <w:szCs w:val="22"/>
              </w:rPr>
            </w:pPr>
            <w:r w:rsidRPr="00DD51B9">
              <w:rPr>
                <w:rFonts w:ascii="Arial" w:hAnsi="Arial" w:cs="Arial"/>
                <w:sz w:val="22"/>
                <w:szCs w:val="22"/>
              </w:rPr>
              <w:t xml:space="preserve">Podpora IPv4 a IPv6 </w:t>
            </w:r>
          </w:p>
        </w:tc>
      </w:tr>
      <w:tr w14:paraId="33CFB2A7" w14:textId="77777777" w:rsidTr="00620706">
        <w:tblPrEx>
          <w:tblW w:w="9357" w:type="dxa"/>
          <w:tblInd w:w="1" w:type="dxa"/>
          <w:tblCellMar>
            <w:top w:w="45" w:type="dxa"/>
            <w:left w:w="106" w:type="dxa"/>
            <w:right w:w="44" w:type="dxa"/>
          </w:tblCellMar>
          <w:tblLook w:val="04A0"/>
        </w:tblPrEx>
        <w:trPr>
          <w:trHeight w:val="577"/>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7FF05D74" w14:textId="77777777">
            <w:pPr>
              <w:spacing w:after="0" w:line="259" w:lineRule="auto"/>
              <w:ind w:left="4"/>
              <w:rPr>
                <w:rFonts w:ascii="Arial" w:hAnsi="Arial" w:cs="Arial"/>
                <w:sz w:val="22"/>
                <w:szCs w:val="22"/>
              </w:rPr>
            </w:pPr>
            <w:r w:rsidRPr="00DD51B9">
              <w:rPr>
                <w:rFonts w:ascii="Arial" w:hAnsi="Arial" w:cs="Arial"/>
                <w:sz w:val="22"/>
                <w:szCs w:val="22"/>
              </w:rPr>
              <w:t xml:space="preserve">Podpora minimálně 270 konkurenčních vláken pro zápis a 75 pro čtení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33E2CD7"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tcPr>
          <w:p w:rsidR="00877251" w:rsidRPr="00DD51B9" w:rsidP="00620706" w14:paraId="434B1E21" w14:textId="77777777">
            <w:pPr>
              <w:spacing w:after="0" w:line="259" w:lineRule="auto"/>
              <w:ind w:left="5"/>
              <w:rPr>
                <w:rFonts w:ascii="Arial" w:hAnsi="Arial" w:cs="Arial"/>
                <w:sz w:val="22"/>
                <w:szCs w:val="22"/>
              </w:rPr>
            </w:pPr>
            <w:r w:rsidRPr="00DD51B9">
              <w:rPr>
                <w:rFonts w:ascii="Arial" w:hAnsi="Arial" w:cs="Arial"/>
                <w:sz w:val="22"/>
                <w:szCs w:val="22"/>
              </w:rPr>
              <w:t xml:space="preserve">270 konkurenčních vláken pro zápis, 75 pro čtení </w:t>
            </w:r>
          </w:p>
        </w:tc>
      </w:tr>
      <w:tr w14:paraId="4ADA09D6" w14:textId="77777777" w:rsidTr="00620706">
        <w:tblPrEx>
          <w:tblW w:w="9357" w:type="dxa"/>
          <w:tblInd w:w="1" w:type="dxa"/>
          <w:tblCellMar>
            <w:top w:w="45" w:type="dxa"/>
            <w:left w:w="106" w:type="dxa"/>
            <w:right w:w="44" w:type="dxa"/>
          </w:tblCellMar>
          <w:tblLook w:val="04A0"/>
        </w:tblPrEx>
        <w:trPr>
          <w:trHeight w:val="773"/>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42058244" w14:textId="77777777">
            <w:pPr>
              <w:spacing w:after="0" w:line="259" w:lineRule="auto"/>
              <w:ind w:left="4" w:right="69"/>
              <w:rPr>
                <w:rFonts w:ascii="Arial" w:hAnsi="Arial" w:cs="Arial"/>
                <w:sz w:val="22"/>
                <w:szCs w:val="22"/>
              </w:rPr>
            </w:pPr>
            <w:r w:rsidRPr="00DD51B9">
              <w:rPr>
                <w:rFonts w:ascii="Arial" w:hAnsi="Arial" w:cs="Arial"/>
                <w:sz w:val="22"/>
                <w:szCs w:val="22"/>
              </w:rPr>
              <w:t xml:space="preserve">Úložiště musí při ukládání dat využívat princip in-line deduplikace na cíli na principu variabilní délky bloku.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8633D1F"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22CC6F9" w14:textId="77777777">
            <w:pPr>
              <w:spacing w:after="0" w:line="259" w:lineRule="auto"/>
              <w:ind w:left="5"/>
              <w:rPr>
                <w:rFonts w:ascii="Arial" w:hAnsi="Arial" w:cs="Arial"/>
                <w:sz w:val="22"/>
                <w:szCs w:val="22"/>
              </w:rPr>
            </w:pPr>
            <w:r w:rsidRPr="00DD51B9">
              <w:rPr>
                <w:rFonts w:ascii="Arial" w:hAnsi="Arial" w:cs="Arial"/>
                <w:sz w:val="22"/>
                <w:szCs w:val="22"/>
              </w:rPr>
              <w:t xml:space="preserve">DD6410 využívá inline deduplikaci </w:t>
            </w:r>
          </w:p>
        </w:tc>
      </w:tr>
      <w:tr w14:paraId="4C665A87" w14:textId="77777777" w:rsidTr="00620706">
        <w:tblPrEx>
          <w:tblW w:w="9357" w:type="dxa"/>
          <w:tblInd w:w="1" w:type="dxa"/>
          <w:tblCellMar>
            <w:top w:w="45" w:type="dxa"/>
            <w:left w:w="106" w:type="dxa"/>
            <w:right w:w="44" w:type="dxa"/>
          </w:tblCellMar>
          <w:tblLook w:val="04A0"/>
        </w:tblPrEx>
        <w:trPr>
          <w:trHeight w:val="1272"/>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29B8263E" w14:textId="77777777">
            <w:pPr>
              <w:spacing w:after="0" w:line="259" w:lineRule="auto"/>
              <w:ind w:left="4" w:right="63"/>
              <w:rPr>
                <w:rFonts w:ascii="Arial" w:hAnsi="Arial" w:cs="Arial"/>
                <w:sz w:val="22"/>
                <w:szCs w:val="22"/>
              </w:rPr>
            </w:pPr>
            <w:r w:rsidRPr="00DD51B9">
              <w:rPr>
                <w:rFonts w:ascii="Arial" w:hAnsi="Arial" w:cs="Arial"/>
                <w:sz w:val="22"/>
                <w:szCs w:val="22"/>
              </w:rPr>
              <w:t xml:space="preserve">Úložiště musí konsolidovat a centralizovat zálohovací prostředí (lokální i vzdálené) – všechna data budou deduplikována v rámci jednoho boxu (žádné separátní množiny deduplikovaných úložišť)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89FE7A7"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9869DF3" w14:textId="77777777">
            <w:pPr>
              <w:spacing w:after="0" w:line="259" w:lineRule="auto"/>
              <w:ind w:left="5" w:right="7"/>
              <w:rPr>
                <w:rFonts w:ascii="Arial" w:hAnsi="Arial" w:cs="Arial"/>
                <w:sz w:val="22"/>
                <w:szCs w:val="22"/>
              </w:rPr>
            </w:pPr>
            <w:r w:rsidRPr="00DD51B9">
              <w:rPr>
                <w:rFonts w:ascii="Arial" w:hAnsi="Arial" w:cs="Arial"/>
                <w:sz w:val="22"/>
                <w:szCs w:val="22"/>
              </w:rPr>
              <w:t xml:space="preserve">Data jsou deduplikována v rámci jednoho boxu </w:t>
            </w:r>
          </w:p>
        </w:tc>
      </w:tr>
      <w:tr w14:paraId="4E16ED3D" w14:textId="77777777" w:rsidTr="00620706">
        <w:tblPrEx>
          <w:tblW w:w="9357" w:type="dxa"/>
          <w:tblInd w:w="1" w:type="dxa"/>
          <w:tblCellMar>
            <w:top w:w="45" w:type="dxa"/>
            <w:left w:w="106" w:type="dxa"/>
            <w:right w:w="44" w:type="dxa"/>
          </w:tblCellMar>
          <w:tblLook w:val="04A0"/>
        </w:tblPrEx>
        <w:trPr>
          <w:trHeight w:val="768"/>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0DABD26D" w14:textId="77777777">
            <w:pPr>
              <w:spacing w:after="0" w:line="259" w:lineRule="auto"/>
              <w:ind w:left="4" w:right="70"/>
              <w:rPr>
                <w:rFonts w:ascii="Arial" w:hAnsi="Arial" w:cs="Arial"/>
                <w:sz w:val="22"/>
                <w:szCs w:val="22"/>
              </w:rPr>
            </w:pPr>
            <w:r w:rsidRPr="00DD51B9">
              <w:rPr>
                <w:rFonts w:ascii="Arial" w:hAnsi="Arial" w:cs="Arial"/>
                <w:sz w:val="22"/>
                <w:szCs w:val="22"/>
              </w:rPr>
              <w:t xml:space="preserve">Ochrana dat úrovně RAID 6 s duální paritou, a SSD akcelerací pro deduplikační metadata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3B449DC"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tcPr>
          <w:p w:rsidR="00877251" w:rsidRPr="00DD51B9" w:rsidP="00620706" w14:paraId="0682417C" w14:textId="77777777">
            <w:pPr>
              <w:spacing w:after="0" w:line="259" w:lineRule="auto"/>
              <w:ind w:left="5" w:right="41"/>
              <w:rPr>
                <w:rFonts w:ascii="Arial" w:hAnsi="Arial" w:cs="Arial"/>
                <w:sz w:val="22"/>
                <w:szCs w:val="22"/>
              </w:rPr>
            </w:pPr>
            <w:r w:rsidRPr="00DD51B9">
              <w:rPr>
                <w:rFonts w:ascii="Arial" w:hAnsi="Arial" w:cs="Arial"/>
                <w:sz w:val="22"/>
                <w:szCs w:val="22"/>
              </w:rPr>
              <w:t xml:space="preserve">DD6410 využívá pro ochranu dat RAID6, nebo RAID10 a SSD disky jako cache pro akceleraci </w:t>
            </w:r>
          </w:p>
        </w:tc>
      </w:tr>
      <w:tr w14:paraId="45D5421A" w14:textId="77777777" w:rsidTr="00620706">
        <w:tblPrEx>
          <w:tblW w:w="9357" w:type="dxa"/>
          <w:tblInd w:w="1" w:type="dxa"/>
          <w:tblCellMar>
            <w:top w:w="45" w:type="dxa"/>
            <w:left w:w="106" w:type="dxa"/>
            <w:right w:w="44" w:type="dxa"/>
          </w:tblCellMar>
          <w:tblLook w:val="04A0"/>
        </w:tblPrEx>
        <w:trPr>
          <w:trHeight w:val="773"/>
        </w:trPr>
        <w:tc>
          <w:tcPr>
            <w:tcW w:w="4398" w:type="dxa"/>
            <w:tcBorders>
              <w:top w:val="single" w:sz="4" w:space="0" w:color="000000"/>
              <w:left w:val="single" w:sz="4" w:space="0" w:color="000000"/>
              <w:bottom w:val="single" w:sz="4" w:space="0" w:color="000000"/>
              <w:right w:val="single" w:sz="4" w:space="0" w:color="000000"/>
            </w:tcBorders>
          </w:tcPr>
          <w:p w:rsidR="00877251" w:rsidRPr="00DD51B9" w:rsidP="00620706" w14:paraId="60982A08" w14:textId="77777777">
            <w:pPr>
              <w:spacing w:after="0" w:line="259" w:lineRule="auto"/>
              <w:ind w:left="4" w:right="69"/>
              <w:rPr>
                <w:rFonts w:ascii="Arial" w:hAnsi="Arial" w:cs="Arial"/>
                <w:sz w:val="22"/>
                <w:szCs w:val="22"/>
              </w:rPr>
            </w:pPr>
            <w:r w:rsidRPr="00DD51B9">
              <w:rPr>
                <w:rFonts w:ascii="Arial" w:hAnsi="Arial" w:cs="Arial"/>
                <w:sz w:val="22"/>
                <w:szCs w:val="22"/>
              </w:rPr>
              <w:t xml:space="preserve">Úložiště musí podporovat minimálně následující protokoly: CIFS, NFS, VTL, FC; a musí umožnit jejich současné použití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8914BD3" w14:textId="77777777">
            <w:pPr>
              <w:spacing w:after="0" w:line="259" w:lineRule="auto"/>
              <w:ind w:right="68"/>
              <w:jc w:val="center"/>
              <w:rPr>
                <w:rFonts w:ascii="Arial" w:hAnsi="Arial" w:cs="Arial"/>
                <w:sz w:val="22"/>
                <w:szCs w:val="22"/>
              </w:rPr>
            </w:pPr>
            <w:r w:rsidRPr="00DD51B9">
              <w:rPr>
                <w:rFonts w:ascii="Arial" w:hAnsi="Arial" w:cs="Arial"/>
                <w:sz w:val="22"/>
                <w:szCs w:val="22"/>
              </w:rPr>
              <w:t xml:space="preserve">ANO </w:t>
            </w:r>
          </w:p>
        </w:tc>
        <w:tc>
          <w:tcPr>
            <w:tcW w:w="3826"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916AC1B" w14:textId="77777777">
            <w:pPr>
              <w:spacing w:after="0" w:line="259" w:lineRule="auto"/>
              <w:ind w:left="5"/>
              <w:rPr>
                <w:rFonts w:ascii="Arial" w:hAnsi="Arial" w:cs="Arial"/>
                <w:sz w:val="22"/>
                <w:szCs w:val="22"/>
              </w:rPr>
            </w:pPr>
            <w:r w:rsidRPr="00DD51B9">
              <w:rPr>
                <w:rFonts w:ascii="Arial" w:hAnsi="Arial" w:cs="Arial"/>
                <w:sz w:val="22"/>
                <w:szCs w:val="22"/>
              </w:rPr>
              <w:t xml:space="preserve">Podporované jsou všechny zmíněné protokoly </w:t>
            </w:r>
          </w:p>
        </w:tc>
      </w:tr>
    </w:tbl>
    <w:p w:rsidR="00877251" w:rsidRPr="00DD51B9" w:rsidP="00877251" w14:paraId="2155C56D" w14:textId="77777777">
      <w:pPr>
        <w:spacing w:after="0" w:line="259" w:lineRule="auto"/>
        <w:ind w:left="-1416" w:right="10772"/>
        <w:rPr>
          <w:rFonts w:ascii="Arial" w:hAnsi="Arial" w:cs="Arial"/>
        </w:rPr>
      </w:pPr>
    </w:p>
    <w:tbl>
      <w:tblPr>
        <w:tblStyle w:val="TableGrid"/>
        <w:tblW w:w="9359" w:type="dxa"/>
        <w:tblInd w:w="0" w:type="dxa"/>
        <w:tblCellMar>
          <w:top w:w="45" w:type="dxa"/>
          <w:left w:w="110" w:type="dxa"/>
          <w:right w:w="44" w:type="dxa"/>
        </w:tblCellMar>
        <w:tblLook w:val="04A0"/>
      </w:tblPr>
      <w:tblGrid>
        <w:gridCol w:w="4399"/>
        <w:gridCol w:w="1133"/>
        <w:gridCol w:w="3827"/>
      </w:tblGrid>
      <w:tr w14:paraId="69185999" w14:textId="77777777" w:rsidTr="00620706">
        <w:tblPrEx>
          <w:tblW w:w="9359" w:type="dxa"/>
          <w:tblInd w:w="0" w:type="dxa"/>
          <w:tblCellMar>
            <w:top w:w="45" w:type="dxa"/>
            <w:left w:w="110" w:type="dxa"/>
            <w:right w:w="44" w:type="dxa"/>
          </w:tblCellMar>
          <w:tblLook w:val="04A0"/>
        </w:tblPrEx>
        <w:trPr>
          <w:trHeight w:val="1532"/>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283A23D" w14:textId="77777777">
            <w:pPr>
              <w:spacing w:after="22" w:line="239" w:lineRule="auto"/>
              <w:ind w:right="64"/>
              <w:rPr>
                <w:rFonts w:ascii="Arial" w:hAnsi="Arial" w:cs="Arial"/>
                <w:sz w:val="22"/>
                <w:szCs w:val="22"/>
              </w:rPr>
            </w:pPr>
            <w:r w:rsidRPr="00DD51B9">
              <w:rPr>
                <w:rFonts w:ascii="Arial" w:hAnsi="Arial" w:cs="Arial"/>
                <w:sz w:val="22"/>
                <w:szCs w:val="22"/>
              </w:rPr>
              <w:t xml:space="preserve">Úložiště musí být umožňovat přímou integraci s různými typy zálohovacích SW (minimálně Microfocus Data Protector, IBM TSM, Veeam, Veritas NetBackup, Dell </w:t>
            </w:r>
          </w:p>
          <w:p w:rsidR="00877251" w:rsidRPr="00DD51B9" w:rsidP="00620706" w14:paraId="3EF3EE7A" w14:textId="77777777">
            <w:pPr>
              <w:tabs>
                <w:tab w:val="center" w:pos="245"/>
                <w:tab w:val="center" w:pos="980"/>
                <w:tab w:val="center" w:pos="1963"/>
                <w:tab w:val="center" w:pos="2994"/>
                <w:tab w:val="center" w:pos="3853"/>
              </w:tabs>
              <w:spacing w:after="0" w:line="259" w:lineRule="auto"/>
              <w:rPr>
                <w:rFonts w:ascii="Arial" w:hAnsi="Arial" w:cs="Arial"/>
                <w:sz w:val="22"/>
                <w:szCs w:val="22"/>
              </w:rPr>
            </w:pPr>
            <w:r w:rsidRPr="00DD51B9">
              <w:rPr>
                <w:rFonts w:ascii="Arial" w:eastAsia="Calibri" w:hAnsi="Arial" w:cs="Arial"/>
                <w:sz w:val="22"/>
                <w:szCs w:val="22"/>
              </w:rPr>
              <w:tab/>
            </w:r>
            <w:r w:rsidRPr="00DD51B9">
              <w:rPr>
                <w:rFonts w:ascii="Arial" w:hAnsi="Arial" w:cs="Arial"/>
                <w:sz w:val="22"/>
                <w:szCs w:val="22"/>
              </w:rPr>
              <w:t xml:space="preserve">EMC </w:t>
            </w:r>
            <w:r w:rsidRPr="00DD51B9">
              <w:rPr>
                <w:rFonts w:ascii="Arial" w:hAnsi="Arial" w:cs="Arial"/>
                <w:sz w:val="22"/>
                <w:szCs w:val="22"/>
              </w:rPr>
              <w:tab/>
              <w:t xml:space="preserve">Data </w:t>
            </w:r>
            <w:r w:rsidRPr="00DD51B9">
              <w:rPr>
                <w:rFonts w:ascii="Arial" w:hAnsi="Arial" w:cs="Arial"/>
                <w:sz w:val="22"/>
                <w:szCs w:val="22"/>
              </w:rPr>
              <w:tab/>
              <w:t xml:space="preserve">Protection </w:t>
            </w:r>
            <w:r w:rsidRPr="00DD51B9">
              <w:rPr>
                <w:rFonts w:ascii="Arial" w:hAnsi="Arial" w:cs="Arial"/>
                <w:sz w:val="22"/>
                <w:szCs w:val="22"/>
              </w:rPr>
              <w:tab/>
              <w:t xml:space="preserve">Suite, </w:t>
            </w:r>
            <w:r w:rsidRPr="00DD51B9">
              <w:rPr>
                <w:rFonts w:ascii="Arial" w:hAnsi="Arial" w:cs="Arial"/>
                <w:sz w:val="22"/>
                <w:szCs w:val="22"/>
              </w:rPr>
              <w:tab/>
              <w:t xml:space="preserve">Quest, </w:t>
            </w:r>
          </w:p>
          <w:p w:rsidR="00877251" w:rsidRPr="00DD51B9" w:rsidP="00620706" w14:paraId="2F10A2F3" w14:textId="77777777">
            <w:pPr>
              <w:spacing w:after="0" w:line="259" w:lineRule="auto"/>
              <w:rPr>
                <w:rFonts w:ascii="Arial" w:hAnsi="Arial" w:cs="Arial"/>
                <w:sz w:val="22"/>
                <w:szCs w:val="22"/>
              </w:rPr>
            </w:pPr>
            <w:r w:rsidRPr="00DD51B9">
              <w:rPr>
                <w:rFonts w:ascii="Arial" w:hAnsi="Arial" w:cs="Arial"/>
                <w:sz w:val="22"/>
                <w:szCs w:val="22"/>
              </w:rPr>
              <w:t xml:space="preserve">Microsoft DPM, MS SQL Studio,)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2C481BF2"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564DA52" w14:textId="77777777">
            <w:pPr>
              <w:spacing w:after="0" w:line="259" w:lineRule="auto"/>
              <w:rPr>
                <w:rFonts w:ascii="Arial" w:hAnsi="Arial" w:cs="Arial"/>
                <w:sz w:val="22"/>
                <w:szCs w:val="22"/>
              </w:rPr>
            </w:pPr>
            <w:r w:rsidRPr="00DD51B9">
              <w:rPr>
                <w:rFonts w:ascii="Arial" w:hAnsi="Arial" w:cs="Arial"/>
                <w:sz w:val="22"/>
                <w:szCs w:val="22"/>
              </w:rPr>
              <w:t xml:space="preserve">DD6410 umožňuje přímou integraci se všemi zmiňovanými SW produkty </w:t>
            </w:r>
          </w:p>
        </w:tc>
      </w:tr>
      <w:tr w14:paraId="339294B2" w14:textId="77777777" w:rsidTr="00620706">
        <w:tblPrEx>
          <w:tblW w:w="9359" w:type="dxa"/>
          <w:tblInd w:w="0" w:type="dxa"/>
          <w:tblCellMar>
            <w:top w:w="45" w:type="dxa"/>
            <w:left w:w="110" w:type="dxa"/>
            <w:right w:w="44" w:type="dxa"/>
          </w:tblCellMar>
          <w:tblLook w:val="04A0"/>
        </w:tblPrEx>
        <w:trPr>
          <w:trHeight w:val="69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66322C4E" w14:textId="77777777">
            <w:pPr>
              <w:spacing w:after="0" w:line="259" w:lineRule="auto"/>
              <w:rPr>
                <w:rFonts w:ascii="Arial" w:hAnsi="Arial" w:cs="Arial"/>
                <w:sz w:val="22"/>
                <w:szCs w:val="22"/>
              </w:rPr>
            </w:pPr>
            <w:r w:rsidRPr="00DD51B9">
              <w:rPr>
                <w:rFonts w:ascii="Arial" w:hAnsi="Arial" w:cs="Arial"/>
                <w:sz w:val="22"/>
                <w:szCs w:val="22"/>
              </w:rPr>
              <w:t xml:space="preserve">Úložiště musí být použitelné jako NAS systém (file server).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2DDA917E"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350C4A7E" w14:textId="77777777">
            <w:pPr>
              <w:spacing w:after="0" w:line="259" w:lineRule="auto"/>
              <w:rPr>
                <w:rFonts w:ascii="Arial" w:hAnsi="Arial" w:cs="Arial"/>
                <w:sz w:val="22"/>
                <w:szCs w:val="22"/>
              </w:rPr>
            </w:pPr>
            <w:r w:rsidRPr="00DD51B9">
              <w:rPr>
                <w:rFonts w:ascii="Arial" w:hAnsi="Arial" w:cs="Arial"/>
                <w:sz w:val="22"/>
                <w:szCs w:val="22"/>
              </w:rPr>
              <w:t xml:space="preserve">Díky protokolům NFS/CIFS je možné použít DD jako NAS systém, nicméně není k tomu primárně určen </w:t>
            </w:r>
          </w:p>
        </w:tc>
      </w:tr>
      <w:tr w14:paraId="5DCD0A09" w14:textId="77777777" w:rsidTr="00620706">
        <w:tblPrEx>
          <w:tblW w:w="9359" w:type="dxa"/>
          <w:tblInd w:w="0" w:type="dxa"/>
          <w:tblCellMar>
            <w:top w:w="45" w:type="dxa"/>
            <w:left w:w="110" w:type="dxa"/>
            <w:right w:w="44" w:type="dxa"/>
          </w:tblCellMar>
          <w:tblLook w:val="04A0"/>
        </w:tblPrEx>
        <w:trPr>
          <w:trHeight w:val="58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195F5119" w14:textId="77777777">
            <w:pPr>
              <w:spacing w:after="0" w:line="259" w:lineRule="auto"/>
              <w:rPr>
                <w:rFonts w:ascii="Arial" w:hAnsi="Arial" w:cs="Arial"/>
                <w:sz w:val="22"/>
                <w:szCs w:val="22"/>
              </w:rPr>
            </w:pPr>
            <w:r w:rsidRPr="00DD51B9">
              <w:rPr>
                <w:rFonts w:ascii="Arial" w:hAnsi="Arial" w:cs="Arial"/>
                <w:sz w:val="22"/>
                <w:szCs w:val="22"/>
              </w:rPr>
              <w:t xml:space="preserve">Úložiště nesmí vynutit změnu stávajícího zálohovacího schématu.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8B6FD2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1F1AAF8A" w14:textId="77777777">
            <w:pPr>
              <w:spacing w:after="0" w:line="259" w:lineRule="auto"/>
              <w:rPr>
                <w:rFonts w:ascii="Arial" w:hAnsi="Arial" w:cs="Arial"/>
                <w:sz w:val="22"/>
                <w:szCs w:val="22"/>
              </w:rPr>
            </w:pPr>
            <w:r w:rsidRPr="00DD51B9">
              <w:rPr>
                <w:rFonts w:ascii="Arial" w:hAnsi="Arial" w:cs="Arial"/>
                <w:sz w:val="22"/>
                <w:szCs w:val="22"/>
              </w:rPr>
              <w:t xml:space="preserve">Uložiště nevynucuje změnu zálohovacího schématu. </w:t>
            </w:r>
          </w:p>
        </w:tc>
      </w:tr>
      <w:tr w14:paraId="14436198"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1E06F15C" w14:textId="77777777">
            <w:pPr>
              <w:spacing w:after="0" w:line="259" w:lineRule="auto"/>
              <w:rPr>
                <w:rFonts w:ascii="Arial" w:hAnsi="Arial" w:cs="Arial"/>
                <w:sz w:val="22"/>
                <w:szCs w:val="22"/>
              </w:rPr>
            </w:pPr>
            <w:r w:rsidRPr="00DD51B9">
              <w:rPr>
                <w:rFonts w:ascii="Arial" w:hAnsi="Arial" w:cs="Arial"/>
                <w:sz w:val="22"/>
                <w:szCs w:val="22"/>
              </w:rPr>
              <w:t xml:space="preserve">Úložiště musí umožnit komprimaci ukládaných deduplikovaných dat.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B66141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661D7CA3" w14:textId="77777777">
            <w:pPr>
              <w:spacing w:after="0" w:line="259" w:lineRule="auto"/>
              <w:rPr>
                <w:rFonts w:ascii="Arial" w:hAnsi="Arial" w:cs="Arial"/>
                <w:sz w:val="22"/>
                <w:szCs w:val="22"/>
              </w:rPr>
            </w:pPr>
            <w:r w:rsidRPr="00DD51B9">
              <w:rPr>
                <w:rFonts w:ascii="Arial" w:hAnsi="Arial" w:cs="Arial"/>
                <w:sz w:val="22"/>
                <w:szCs w:val="22"/>
              </w:rPr>
              <w:t xml:space="preserve">Komprimace ukládaných deduplikovaných dat je využívána </w:t>
            </w:r>
          </w:p>
        </w:tc>
      </w:tr>
      <w:tr w14:paraId="005BD496"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803B8AA" w14:textId="77777777">
            <w:pPr>
              <w:spacing w:after="0" w:line="259" w:lineRule="auto"/>
              <w:rPr>
                <w:rFonts w:ascii="Arial" w:hAnsi="Arial" w:cs="Arial"/>
                <w:sz w:val="22"/>
                <w:szCs w:val="22"/>
              </w:rPr>
            </w:pPr>
            <w:r w:rsidRPr="00DD51B9">
              <w:rPr>
                <w:rFonts w:ascii="Arial" w:hAnsi="Arial" w:cs="Arial"/>
                <w:sz w:val="22"/>
                <w:szCs w:val="22"/>
              </w:rPr>
              <w:t xml:space="preserve">Úložiště musí být kompatibilní se standardem OpenStorage.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1D057A8"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0BF9248" w14:textId="77777777">
            <w:pPr>
              <w:spacing w:after="0" w:line="259" w:lineRule="auto"/>
              <w:rPr>
                <w:rFonts w:ascii="Arial" w:hAnsi="Arial" w:cs="Arial"/>
                <w:sz w:val="22"/>
                <w:szCs w:val="22"/>
              </w:rPr>
            </w:pPr>
            <w:r w:rsidRPr="00DD51B9">
              <w:rPr>
                <w:rFonts w:ascii="Arial" w:hAnsi="Arial" w:cs="Arial"/>
                <w:sz w:val="22"/>
                <w:szCs w:val="22"/>
              </w:rPr>
              <w:t xml:space="preserve">Je kompatibilní s OpenStorage/DDBoost </w:t>
            </w:r>
          </w:p>
        </w:tc>
      </w:tr>
      <w:tr w14:paraId="7021E082" w14:textId="77777777" w:rsidTr="00620706">
        <w:tblPrEx>
          <w:tblW w:w="9359" w:type="dxa"/>
          <w:tblInd w:w="0" w:type="dxa"/>
          <w:tblCellMar>
            <w:top w:w="45" w:type="dxa"/>
            <w:left w:w="110" w:type="dxa"/>
            <w:right w:w="44" w:type="dxa"/>
          </w:tblCellMar>
          <w:tblLook w:val="04A0"/>
        </w:tblPrEx>
        <w:trPr>
          <w:trHeight w:val="178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DF73EDB" w14:textId="77777777">
            <w:pPr>
              <w:spacing w:after="0" w:line="259" w:lineRule="auto"/>
              <w:ind w:right="67"/>
              <w:rPr>
                <w:rFonts w:ascii="Arial" w:hAnsi="Arial" w:cs="Arial"/>
                <w:sz w:val="22"/>
                <w:szCs w:val="22"/>
              </w:rPr>
            </w:pPr>
            <w:r w:rsidRPr="00DD51B9">
              <w:rPr>
                <w:rFonts w:ascii="Arial" w:hAnsi="Arial" w:cs="Arial"/>
                <w:sz w:val="22"/>
                <w:szCs w:val="22"/>
              </w:rPr>
              <w:t xml:space="preserve">Úložiště musí umožnit případnou distribuci deduplikačního algoritmu z cílového (deduplikačního úložiště) na zdrojové zařízení (backup klienta nebo backup server) z důvodu výkonu a škálovatelnosti prostředí a z důvodu úspor na slabých datových linkách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1333285"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426142C" w14:textId="77777777">
            <w:pPr>
              <w:spacing w:after="5" w:line="234" w:lineRule="auto"/>
              <w:ind w:right="20"/>
              <w:rPr>
                <w:rFonts w:ascii="Arial" w:hAnsi="Arial" w:cs="Arial"/>
                <w:sz w:val="22"/>
                <w:szCs w:val="22"/>
              </w:rPr>
            </w:pPr>
            <w:r w:rsidRPr="00DD51B9">
              <w:rPr>
                <w:rFonts w:ascii="Arial" w:hAnsi="Arial" w:cs="Arial"/>
                <w:sz w:val="22"/>
                <w:szCs w:val="22"/>
              </w:rPr>
              <w:t xml:space="preserve">DD6410 umožňuje deduplikaci na úložišti i na zdroji díky protokolu </w:t>
            </w:r>
          </w:p>
          <w:p w:rsidR="00877251" w:rsidRPr="00DD51B9" w:rsidP="00620706" w14:paraId="53E0BF90" w14:textId="77777777">
            <w:pPr>
              <w:spacing w:after="0" w:line="259" w:lineRule="auto"/>
              <w:rPr>
                <w:rFonts w:ascii="Arial" w:hAnsi="Arial" w:cs="Arial"/>
                <w:sz w:val="22"/>
                <w:szCs w:val="22"/>
              </w:rPr>
            </w:pPr>
            <w:r w:rsidRPr="00DD51B9">
              <w:rPr>
                <w:rFonts w:ascii="Arial" w:hAnsi="Arial" w:cs="Arial"/>
                <w:sz w:val="22"/>
                <w:szCs w:val="22"/>
              </w:rPr>
              <w:t xml:space="preserve">DDBoost </w:t>
            </w:r>
          </w:p>
        </w:tc>
      </w:tr>
      <w:tr w14:paraId="0EFADDE1" w14:textId="77777777" w:rsidTr="00620706">
        <w:tblPrEx>
          <w:tblW w:w="9359" w:type="dxa"/>
          <w:tblInd w:w="0" w:type="dxa"/>
          <w:tblCellMar>
            <w:top w:w="45" w:type="dxa"/>
            <w:left w:w="110" w:type="dxa"/>
            <w:right w:w="44" w:type="dxa"/>
          </w:tblCellMar>
          <w:tblLook w:val="04A0"/>
        </w:tblPrEx>
        <w:trPr>
          <w:trHeight w:val="1527"/>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EAEDC54" w14:textId="77777777">
            <w:pPr>
              <w:spacing w:after="0" w:line="239" w:lineRule="auto"/>
              <w:ind w:right="63"/>
              <w:rPr>
                <w:rFonts w:ascii="Arial" w:hAnsi="Arial" w:cs="Arial"/>
                <w:sz w:val="22"/>
                <w:szCs w:val="22"/>
              </w:rPr>
            </w:pPr>
            <w:r w:rsidRPr="00DD51B9">
              <w:rPr>
                <w:rFonts w:ascii="Arial" w:hAnsi="Arial" w:cs="Arial"/>
                <w:sz w:val="22"/>
                <w:szCs w:val="22"/>
              </w:rPr>
              <w:t xml:space="preserve">Úložiště musí být univerzální z hlediska podpory datových typů zálohovaných dat, musí podporovat všechny datové typy, používané v produkčním prostředí – soubor, databáze, emaily, VMware,  MS </w:t>
            </w:r>
          </w:p>
          <w:p w:rsidR="00877251" w:rsidRPr="00DD51B9" w:rsidP="00620706" w14:paraId="75475B27" w14:textId="77777777">
            <w:pPr>
              <w:spacing w:after="0" w:line="259" w:lineRule="auto"/>
              <w:rPr>
                <w:rFonts w:ascii="Arial" w:hAnsi="Arial" w:cs="Arial"/>
                <w:sz w:val="22"/>
                <w:szCs w:val="22"/>
              </w:rPr>
            </w:pPr>
            <w:r w:rsidRPr="00DD51B9">
              <w:rPr>
                <w:rFonts w:ascii="Arial" w:hAnsi="Arial" w:cs="Arial"/>
                <w:sz w:val="22"/>
                <w:szCs w:val="22"/>
              </w:rPr>
              <w:t xml:space="preserve">Exchange, HCL Notes / HCL Domino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D80E2CD"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489A138" w14:textId="77777777">
            <w:pPr>
              <w:spacing w:after="0" w:line="259" w:lineRule="auto"/>
              <w:rPr>
                <w:rFonts w:ascii="Arial" w:hAnsi="Arial" w:cs="Arial"/>
                <w:sz w:val="22"/>
                <w:szCs w:val="22"/>
              </w:rPr>
            </w:pPr>
            <w:r w:rsidRPr="00DD51B9">
              <w:rPr>
                <w:rFonts w:ascii="Arial" w:hAnsi="Arial" w:cs="Arial"/>
                <w:sz w:val="22"/>
                <w:szCs w:val="22"/>
              </w:rPr>
              <w:t xml:space="preserve">DD6410 podporuje všechny vyjmenované typ zálohovaných dat </w:t>
            </w:r>
          </w:p>
        </w:tc>
      </w:tr>
      <w:tr w14:paraId="1E9C8CEB" w14:textId="77777777" w:rsidTr="00620706">
        <w:tblPrEx>
          <w:tblW w:w="9359" w:type="dxa"/>
          <w:tblInd w:w="0" w:type="dxa"/>
          <w:tblCellMar>
            <w:top w:w="45" w:type="dxa"/>
            <w:left w:w="110" w:type="dxa"/>
            <w:right w:w="44" w:type="dxa"/>
          </w:tblCellMar>
          <w:tblLook w:val="04A0"/>
        </w:tblPrEx>
        <w:trPr>
          <w:trHeight w:val="1277"/>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491EAFDE" w14:textId="77777777">
            <w:pPr>
              <w:spacing w:after="0" w:line="259" w:lineRule="auto"/>
              <w:ind w:right="69"/>
              <w:rPr>
                <w:rFonts w:ascii="Arial" w:hAnsi="Arial" w:cs="Arial"/>
                <w:sz w:val="22"/>
                <w:szCs w:val="22"/>
              </w:rPr>
            </w:pPr>
            <w:r w:rsidRPr="00DD51B9">
              <w:rPr>
                <w:rFonts w:ascii="Arial" w:hAnsi="Arial" w:cs="Arial"/>
                <w:sz w:val="22"/>
                <w:szCs w:val="22"/>
              </w:rPr>
              <w:t xml:space="preserve">Úložiště musí disponovat funkcí multitenancy (logické dělení diskového prostoru pro různé skupiny uživatelů s právy pouze na tyto logické jednotky s možností definice tenant administrator).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94DBB2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611A965" w14:textId="77777777">
            <w:pPr>
              <w:spacing w:after="0" w:line="259" w:lineRule="auto"/>
              <w:rPr>
                <w:rFonts w:ascii="Arial" w:hAnsi="Arial" w:cs="Arial"/>
                <w:sz w:val="22"/>
                <w:szCs w:val="22"/>
              </w:rPr>
            </w:pPr>
            <w:r w:rsidRPr="00DD51B9">
              <w:rPr>
                <w:rFonts w:ascii="Arial" w:hAnsi="Arial" w:cs="Arial"/>
                <w:sz w:val="22"/>
                <w:szCs w:val="22"/>
              </w:rPr>
              <w:t xml:space="preserve">Funkce SMT (Secure Multi Tenancy) je podporována včetně Tenant administrátora </w:t>
            </w:r>
          </w:p>
        </w:tc>
      </w:tr>
      <w:tr w14:paraId="42A32186" w14:textId="77777777" w:rsidTr="00620706">
        <w:tblPrEx>
          <w:tblW w:w="9359" w:type="dxa"/>
          <w:tblInd w:w="0" w:type="dxa"/>
          <w:tblCellMar>
            <w:top w:w="45" w:type="dxa"/>
            <w:left w:w="110" w:type="dxa"/>
            <w:right w:w="44" w:type="dxa"/>
          </w:tblCellMar>
          <w:tblLook w:val="04A0"/>
        </w:tblPrEx>
        <w:trPr>
          <w:trHeight w:val="1023"/>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6D6C558" w14:textId="77777777">
            <w:pPr>
              <w:spacing w:after="0" w:line="259" w:lineRule="auto"/>
              <w:ind w:right="66"/>
              <w:rPr>
                <w:rFonts w:ascii="Arial" w:hAnsi="Arial" w:cs="Arial"/>
                <w:sz w:val="22"/>
                <w:szCs w:val="22"/>
              </w:rPr>
            </w:pPr>
            <w:r w:rsidRPr="00DD51B9">
              <w:rPr>
                <w:rFonts w:ascii="Arial" w:hAnsi="Arial" w:cs="Arial"/>
                <w:sz w:val="22"/>
                <w:szCs w:val="22"/>
              </w:rPr>
              <w:t xml:space="preserve">Úložiště musí umožnit rychlou a snadnou tvorbu R/W snapů zálohovaných dat pro potřeby testování scénářů Disaster Recovery.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285DC718"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0AB9C97" w14:textId="77777777">
            <w:pPr>
              <w:spacing w:after="0" w:line="259" w:lineRule="auto"/>
              <w:rPr>
                <w:rFonts w:ascii="Arial" w:hAnsi="Arial" w:cs="Arial"/>
                <w:sz w:val="22"/>
                <w:szCs w:val="22"/>
              </w:rPr>
            </w:pPr>
            <w:r w:rsidRPr="00DD51B9">
              <w:rPr>
                <w:rFonts w:ascii="Arial" w:hAnsi="Arial" w:cs="Arial"/>
                <w:sz w:val="22"/>
                <w:szCs w:val="22"/>
              </w:rPr>
              <w:t xml:space="preserve">Vytvářní R/W snapů je nativně podporováno </w:t>
            </w:r>
          </w:p>
        </w:tc>
      </w:tr>
      <w:tr w14:paraId="41FE778F" w14:textId="77777777" w:rsidTr="00620706">
        <w:tblPrEx>
          <w:tblW w:w="9359" w:type="dxa"/>
          <w:tblInd w:w="0" w:type="dxa"/>
          <w:tblCellMar>
            <w:top w:w="45" w:type="dxa"/>
            <w:left w:w="110" w:type="dxa"/>
            <w:right w:w="44" w:type="dxa"/>
          </w:tblCellMar>
          <w:tblLook w:val="04A0"/>
        </w:tblPrEx>
        <w:trPr>
          <w:trHeight w:val="1022"/>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0749F543" w14:textId="77777777">
            <w:pPr>
              <w:spacing w:after="0" w:line="259" w:lineRule="auto"/>
              <w:ind w:right="70"/>
              <w:rPr>
                <w:rFonts w:ascii="Arial" w:hAnsi="Arial" w:cs="Arial"/>
                <w:sz w:val="22"/>
                <w:szCs w:val="22"/>
              </w:rPr>
            </w:pPr>
            <w:r w:rsidRPr="00DD51B9">
              <w:rPr>
                <w:rFonts w:ascii="Arial" w:hAnsi="Arial" w:cs="Arial"/>
                <w:sz w:val="22"/>
                <w:szCs w:val="22"/>
              </w:rPr>
              <w:t xml:space="preserve">Úložiště musí mít licencované replikace do záložní lokality (pokud je licence vyžadována). Požadavkem je replikace na stávající DataDomain6300.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B52CE2D"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2BC6F15" w14:textId="77777777">
            <w:pPr>
              <w:spacing w:after="0" w:line="259" w:lineRule="auto"/>
              <w:ind w:right="44"/>
              <w:rPr>
                <w:rFonts w:ascii="Arial" w:hAnsi="Arial" w:cs="Arial"/>
                <w:sz w:val="22"/>
                <w:szCs w:val="22"/>
              </w:rPr>
            </w:pPr>
            <w:r w:rsidRPr="00DD51B9">
              <w:rPr>
                <w:rFonts w:ascii="Arial" w:hAnsi="Arial" w:cs="Arial"/>
                <w:sz w:val="22"/>
                <w:szCs w:val="22"/>
              </w:rPr>
              <w:t xml:space="preserve">Replikace je součástí licence, DD6300 je podporována </w:t>
            </w:r>
          </w:p>
        </w:tc>
      </w:tr>
      <w:tr w14:paraId="76BCFAB9"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A3D7766" w14:textId="77777777">
            <w:pPr>
              <w:spacing w:after="0" w:line="259" w:lineRule="auto"/>
              <w:rPr>
                <w:rFonts w:ascii="Arial" w:hAnsi="Arial" w:cs="Arial"/>
                <w:sz w:val="22"/>
                <w:szCs w:val="22"/>
              </w:rPr>
            </w:pPr>
            <w:r w:rsidRPr="00DD51B9">
              <w:rPr>
                <w:rFonts w:ascii="Arial" w:hAnsi="Arial" w:cs="Arial"/>
                <w:sz w:val="22"/>
                <w:szCs w:val="22"/>
              </w:rPr>
              <w:t xml:space="preserve">Úložiště musí replikovat pouze deduplikovaná zkomprimovaná data.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31A64B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26968019" w14:textId="77777777">
            <w:pPr>
              <w:spacing w:after="0" w:line="259" w:lineRule="auto"/>
              <w:rPr>
                <w:rFonts w:ascii="Arial" w:hAnsi="Arial" w:cs="Arial"/>
                <w:sz w:val="22"/>
                <w:szCs w:val="22"/>
              </w:rPr>
            </w:pPr>
            <w:r w:rsidRPr="00DD51B9">
              <w:rPr>
                <w:rFonts w:ascii="Arial" w:hAnsi="Arial" w:cs="Arial"/>
                <w:sz w:val="22"/>
                <w:szCs w:val="22"/>
              </w:rPr>
              <w:t xml:space="preserve">Replikují se deduplikovaná data, pro replikaci je navíc využívána komprese </w:t>
            </w:r>
          </w:p>
        </w:tc>
      </w:tr>
      <w:tr w14:paraId="3B1A93B2" w14:textId="77777777" w:rsidTr="00620706">
        <w:tblPrEx>
          <w:tblW w:w="9359" w:type="dxa"/>
          <w:tblInd w:w="0" w:type="dxa"/>
          <w:tblCellMar>
            <w:top w:w="45" w:type="dxa"/>
            <w:left w:w="110" w:type="dxa"/>
            <w:right w:w="44" w:type="dxa"/>
          </w:tblCellMar>
          <w:tblLook w:val="04A0"/>
        </w:tblPrEx>
        <w:trPr>
          <w:trHeight w:val="76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4AEB9287" w14:textId="77777777">
            <w:pPr>
              <w:spacing w:after="0" w:line="259" w:lineRule="auto"/>
              <w:ind w:right="69"/>
              <w:rPr>
                <w:rFonts w:ascii="Arial" w:hAnsi="Arial" w:cs="Arial"/>
                <w:sz w:val="22"/>
                <w:szCs w:val="22"/>
              </w:rPr>
            </w:pPr>
            <w:r w:rsidRPr="00DD51B9">
              <w:rPr>
                <w:rFonts w:ascii="Arial" w:hAnsi="Arial" w:cs="Arial"/>
                <w:sz w:val="22"/>
                <w:szCs w:val="22"/>
              </w:rPr>
              <w:t xml:space="preserve">Úložiště musí podporovat následující scénáře pro replikaci: 1:1, N:1 a kaskádovou replikaci.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A6120AE"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B2F92AC" w14:textId="77777777">
            <w:pPr>
              <w:spacing w:after="0" w:line="259" w:lineRule="auto"/>
              <w:rPr>
                <w:rFonts w:ascii="Arial" w:hAnsi="Arial" w:cs="Arial"/>
                <w:sz w:val="22"/>
                <w:szCs w:val="22"/>
              </w:rPr>
            </w:pPr>
            <w:r w:rsidRPr="00DD51B9">
              <w:rPr>
                <w:rFonts w:ascii="Arial" w:hAnsi="Arial" w:cs="Arial"/>
                <w:sz w:val="22"/>
                <w:szCs w:val="22"/>
              </w:rPr>
              <w:t xml:space="preserve">DD6410 podporuje replikace 1:1, N:1 i kaskádovou replikaci </w:t>
            </w:r>
          </w:p>
        </w:tc>
      </w:tr>
      <w:tr w14:paraId="18E7AA1A"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05A0EAE2" w14:textId="77777777">
            <w:pPr>
              <w:tabs>
                <w:tab w:val="center" w:pos="392"/>
                <w:tab w:val="center" w:pos="1330"/>
                <w:tab w:val="center" w:pos="2260"/>
                <w:tab w:val="center" w:pos="3569"/>
              </w:tabs>
              <w:spacing w:after="0" w:line="259" w:lineRule="auto"/>
              <w:rPr>
                <w:rFonts w:ascii="Arial" w:hAnsi="Arial" w:cs="Arial"/>
                <w:sz w:val="22"/>
                <w:szCs w:val="22"/>
              </w:rPr>
            </w:pPr>
            <w:r w:rsidRPr="00DD51B9">
              <w:rPr>
                <w:rFonts w:ascii="Arial" w:eastAsia="Calibri" w:hAnsi="Arial" w:cs="Arial"/>
                <w:sz w:val="22"/>
                <w:szCs w:val="22"/>
              </w:rPr>
              <w:tab/>
            </w:r>
            <w:r w:rsidRPr="00DD51B9">
              <w:rPr>
                <w:rFonts w:ascii="Arial" w:hAnsi="Arial" w:cs="Arial"/>
                <w:sz w:val="22"/>
                <w:szCs w:val="22"/>
              </w:rPr>
              <w:t xml:space="preserve">Úložiště </w:t>
            </w:r>
            <w:r w:rsidRPr="00DD51B9">
              <w:rPr>
                <w:rFonts w:ascii="Arial" w:hAnsi="Arial" w:cs="Arial"/>
                <w:sz w:val="22"/>
                <w:szCs w:val="22"/>
              </w:rPr>
              <w:tab/>
              <w:t xml:space="preserve">musí </w:t>
            </w:r>
            <w:r w:rsidRPr="00DD51B9">
              <w:rPr>
                <w:rFonts w:ascii="Arial" w:hAnsi="Arial" w:cs="Arial"/>
                <w:sz w:val="22"/>
                <w:szCs w:val="22"/>
              </w:rPr>
              <w:tab/>
              <w:t xml:space="preserve">umožnit </w:t>
            </w:r>
            <w:r w:rsidRPr="00DD51B9">
              <w:rPr>
                <w:rFonts w:ascii="Arial" w:hAnsi="Arial" w:cs="Arial"/>
                <w:sz w:val="22"/>
                <w:szCs w:val="22"/>
              </w:rPr>
              <w:tab/>
              <w:t xml:space="preserve">funkcionalitu </w:t>
            </w:r>
          </w:p>
          <w:p w:rsidR="00877251" w:rsidRPr="00DD51B9" w:rsidP="00620706" w14:paraId="095FA411" w14:textId="77777777">
            <w:pPr>
              <w:spacing w:after="0" w:line="259" w:lineRule="auto"/>
              <w:rPr>
                <w:rFonts w:ascii="Arial" w:hAnsi="Arial" w:cs="Arial"/>
                <w:sz w:val="22"/>
                <w:szCs w:val="22"/>
              </w:rPr>
            </w:pPr>
            <w:r w:rsidRPr="00DD51B9">
              <w:rPr>
                <w:rFonts w:ascii="Arial" w:hAnsi="Arial" w:cs="Arial"/>
                <w:sz w:val="22"/>
                <w:szCs w:val="22"/>
              </w:rPr>
              <w:t xml:space="preserve">šifrování replikačního toku data-in-flight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525C9FD"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05C2B007" w14:textId="77777777">
            <w:pPr>
              <w:spacing w:after="0" w:line="259" w:lineRule="auto"/>
              <w:ind w:right="38"/>
              <w:rPr>
                <w:rFonts w:ascii="Arial" w:hAnsi="Arial" w:cs="Arial"/>
                <w:sz w:val="22"/>
                <w:szCs w:val="22"/>
              </w:rPr>
            </w:pPr>
            <w:r w:rsidRPr="00DD51B9">
              <w:rPr>
                <w:rFonts w:ascii="Arial" w:hAnsi="Arial" w:cs="Arial"/>
                <w:sz w:val="22"/>
                <w:szCs w:val="22"/>
              </w:rPr>
              <w:t xml:space="preserve">DD6410 podporuje šifrování data-in-line i data-in-flight </w:t>
            </w:r>
          </w:p>
        </w:tc>
      </w:tr>
      <w:tr w14:paraId="1CCA8FA2" w14:textId="77777777" w:rsidTr="00620706">
        <w:tblPrEx>
          <w:tblW w:w="9359" w:type="dxa"/>
          <w:tblInd w:w="0" w:type="dxa"/>
          <w:tblCellMar>
            <w:top w:w="45" w:type="dxa"/>
            <w:left w:w="110" w:type="dxa"/>
            <w:right w:w="44" w:type="dxa"/>
          </w:tblCellMar>
          <w:tblLook w:val="04A0"/>
        </w:tblPrEx>
        <w:trPr>
          <w:trHeight w:val="769"/>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0A756BB5" w14:textId="77777777">
            <w:pPr>
              <w:spacing w:after="0" w:line="259" w:lineRule="auto"/>
              <w:ind w:right="70"/>
              <w:rPr>
                <w:rFonts w:ascii="Arial" w:hAnsi="Arial" w:cs="Arial"/>
                <w:sz w:val="22"/>
                <w:szCs w:val="22"/>
              </w:rPr>
            </w:pPr>
            <w:r w:rsidRPr="00DD51B9">
              <w:rPr>
                <w:rFonts w:ascii="Arial" w:hAnsi="Arial" w:cs="Arial"/>
                <w:sz w:val="22"/>
                <w:szCs w:val="22"/>
              </w:rPr>
              <w:t xml:space="preserve">Replikaci musí být možno spustit ve stejném čase jako zálohu bez dopadu na výkon zálohy.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5B1C470"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FC9D3AE" w14:textId="77777777">
            <w:pPr>
              <w:spacing w:after="0" w:line="259" w:lineRule="auto"/>
              <w:rPr>
                <w:rFonts w:ascii="Arial" w:hAnsi="Arial" w:cs="Arial"/>
                <w:sz w:val="22"/>
                <w:szCs w:val="22"/>
              </w:rPr>
            </w:pPr>
            <w:r w:rsidRPr="00DD51B9">
              <w:rPr>
                <w:rFonts w:ascii="Arial" w:hAnsi="Arial" w:cs="Arial"/>
                <w:sz w:val="22"/>
                <w:szCs w:val="22"/>
              </w:rPr>
              <w:t xml:space="preserve">Umožňuje spustit replikaci ve stejný čas jako zálohu bez dopadu na výkon </w:t>
            </w:r>
          </w:p>
        </w:tc>
      </w:tr>
      <w:tr w14:paraId="7CDEC466" w14:textId="77777777" w:rsidTr="00620706">
        <w:tblPrEx>
          <w:tblW w:w="9359" w:type="dxa"/>
          <w:tblInd w:w="0" w:type="dxa"/>
          <w:tblCellMar>
            <w:top w:w="45" w:type="dxa"/>
            <w:left w:w="110" w:type="dxa"/>
            <w:right w:w="44" w:type="dxa"/>
          </w:tblCellMar>
          <w:tblLook w:val="04A0"/>
        </w:tblPrEx>
        <w:trPr>
          <w:trHeight w:val="70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21F4F007" w14:textId="77777777">
            <w:pPr>
              <w:spacing w:after="0" w:line="259" w:lineRule="auto"/>
              <w:rPr>
                <w:rFonts w:ascii="Arial" w:hAnsi="Arial" w:cs="Arial"/>
                <w:sz w:val="22"/>
                <w:szCs w:val="22"/>
              </w:rPr>
            </w:pPr>
            <w:r w:rsidRPr="00DD51B9">
              <w:rPr>
                <w:rFonts w:ascii="Arial" w:hAnsi="Arial" w:cs="Arial"/>
                <w:sz w:val="22"/>
                <w:szCs w:val="22"/>
              </w:rPr>
              <w:t xml:space="preserve">Úložiště musí umožnit řízení replikace v prostředí zálohovacího SW.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CA8FC88"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09ECCBE5" w14:textId="77777777">
            <w:pPr>
              <w:spacing w:after="0" w:line="259" w:lineRule="auto"/>
              <w:rPr>
                <w:rFonts w:ascii="Arial" w:hAnsi="Arial" w:cs="Arial"/>
                <w:sz w:val="22"/>
                <w:szCs w:val="22"/>
              </w:rPr>
            </w:pPr>
            <w:r w:rsidRPr="00DD51B9">
              <w:rPr>
                <w:rFonts w:ascii="Arial" w:hAnsi="Arial" w:cs="Arial"/>
                <w:sz w:val="22"/>
                <w:szCs w:val="22"/>
              </w:rPr>
              <w:t xml:space="preserve">Řízení replikace pomocí zálohovacího </w:t>
            </w:r>
          </w:p>
          <w:p w:rsidR="00877251" w:rsidRPr="00DD51B9" w:rsidP="00620706" w14:paraId="5C56C58A" w14:textId="77777777">
            <w:pPr>
              <w:spacing w:after="0" w:line="259" w:lineRule="auto"/>
              <w:rPr>
                <w:rFonts w:ascii="Arial" w:hAnsi="Arial" w:cs="Arial"/>
                <w:sz w:val="22"/>
                <w:szCs w:val="22"/>
              </w:rPr>
            </w:pPr>
            <w:r w:rsidRPr="00DD51B9">
              <w:rPr>
                <w:rFonts w:ascii="Arial" w:hAnsi="Arial" w:cs="Arial"/>
                <w:sz w:val="22"/>
                <w:szCs w:val="22"/>
              </w:rPr>
              <w:t xml:space="preserve">SW je umožněno nativně funkcí Clone </w:t>
            </w:r>
          </w:p>
          <w:p w:rsidR="00877251" w:rsidRPr="00DD51B9" w:rsidP="00620706" w14:paraId="07E52590" w14:textId="77777777">
            <w:pPr>
              <w:spacing w:after="0" w:line="259" w:lineRule="auto"/>
              <w:rPr>
                <w:rFonts w:ascii="Arial" w:hAnsi="Arial" w:cs="Arial"/>
                <w:sz w:val="22"/>
                <w:szCs w:val="22"/>
              </w:rPr>
            </w:pPr>
            <w:r w:rsidRPr="00DD51B9">
              <w:rPr>
                <w:rFonts w:ascii="Arial" w:hAnsi="Arial" w:cs="Arial"/>
                <w:sz w:val="22"/>
                <w:szCs w:val="22"/>
              </w:rPr>
              <w:t xml:space="preserve">Controlled Replica </w:t>
            </w:r>
          </w:p>
        </w:tc>
      </w:tr>
    </w:tbl>
    <w:p w:rsidR="00877251" w:rsidRPr="00DD51B9" w:rsidP="00877251" w14:paraId="09217B03" w14:textId="77777777">
      <w:pPr>
        <w:spacing w:after="0" w:line="259" w:lineRule="auto"/>
        <w:ind w:left="-1416" w:right="10772"/>
        <w:rPr>
          <w:rFonts w:ascii="Arial" w:hAnsi="Arial" w:cs="Arial"/>
        </w:rPr>
      </w:pPr>
    </w:p>
    <w:tbl>
      <w:tblPr>
        <w:tblStyle w:val="TableGrid"/>
        <w:tblW w:w="9359" w:type="dxa"/>
        <w:tblInd w:w="0" w:type="dxa"/>
        <w:tblCellMar>
          <w:top w:w="45" w:type="dxa"/>
          <w:left w:w="110" w:type="dxa"/>
          <w:right w:w="44" w:type="dxa"/>
        </w:tblCellMar>
        <w:tblLook w:val="04A0"/>
      </w:tblPr>
      <w:tblGrid>
        <w:gridCol w:w="4399"/>
        <w:gridCol w:w="1133"/>
        <w:gridCol w:w="3827"/>
      </w:tblGrid>
      <w:tr w14:paraId="43C432B7"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6478E29A" w14:textId="77777777">
            <w:pPr>
              <w:spacing w:after="0" w:line="259" w:lineRule="auto"/>
              <w:rPr>
                <w:rFonts w:ascii="Arial" w:hAnsi="Arial" w:cs="Arial"/>
                <w:sz w:val="22"/>
                <w:szCs w:val="22"/>
              </w:rPr>
            </w:pPr>
            <w:r w:rsidRPr="00DD51B9">
              <w:rPr>
                <w:rFonts w:ascii="Arial" w:hAnsi="Arial" w:cs="Arial"/>
                <w:sz w:val="22"/>
                <w:szCs w:val="22"/>
              </w:rPr>
              <w:t xml:space="preserve">Úložiště musí umožnit funkcionalitu šifrování replikačního toku.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C9A16D9"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0E6B41B3" w14:textId="77777777">
            <w:pPr>
              <w:spacing w:after="0" w:line="259" w:lineRule="auto"/>
              <w:rPr>
                <w:rFonts w:ascii="Arial" w:hAnsi="Arial" w:cs="Arial"/>
                <w:sz w:val="22"/>
                <w:szCs w:val="22"/>
              </w:rPr>
            </w:pPr>
            <w:r w:rsidRPr="00DD51B9">
              <w:rPr>
                <w:rFonts w:ascii="Arial" w:hAnsi="Arial" w:cs="Arial"/>
                <w:sz w:val="22"/>
                <w:szCs w:val="22"/>
              </w:rPr>
              <w:t xml:space="preserve">Funkce šifrování replikačního toku je podporována </w:t>
            </w:r>
          </w:p>
        </w:tc>
      </w:tr>
      <w:tr w14:paraId="67E8F9EB" w14:textId="77777777" w:rsidTr="00620706">
        <w:tblPrEx>
          <w:tblW w:w="9359" w:type="dxa"/>
          <w:tblInd w:w="0" w:type="dxa"/>
          <w:tblCellMar>
            <w:top w:w="45" w:type="dxa"/>
            <w:left w:w="110" w:type="dxa"/>
            <w:right w:w="44" w:type="dxa"/>
          </w:tblCellMar>
          <w:tblLook w:val="04A0"/>
        </w:tblPrEx>
        <w:trPr>
          <w:trHeight w:val="58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8DA6348" w14:textId="77777777">
            <w:pPr>
              <w:spacing w:after="0" w:line="259" w:lineRule="auto"/>
              <w:rPr>
                <w:rFonts w:ascii="Arial" w:hAnsi="Arial" w:cs="Arial"/>
                <w:sz w:val="22"/>
                <w:szCs w:val="22"/>
              </w:rPr>
            </w:pPr>
            <w:r w:rsidRPr="00DD51B9">
              <w:rPr>
                <w:rFonts w:ascii="Arial" w:hAnsi="Arial" w:cs="Arial"/>
                <w:sz w:val="22"/>
                <w:szCs w:val="22"/>
              </w:rPr>
              <w:t xml:space="preserve">Úložiště musí umožnit kontrolu a správu využití pásma pro replikace dat.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D1FA1F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51954E48" w14:textId="77777777">
            <w:pPr>
              <w:spacing w:after="0" w:line="259" w:lineRule="auto"/>
              <w:rPr>
                <w:rFonts w:ascii="Arial" w:hAnsi="Arial" w:cs="Arial"/>
                <w:sz w:val="22"/>
                <w:szCs w:val="22"/>
              </w:rPr>
            </w:pPr>
            <w:r w:rsidRPr="00DD51B9">
              <w:rPr>
                <w:rFonts w:ascii="Arial" w:hAnsi="Arial" w:cs="Arial"/>
                <w:sz w:val="22"/>
                <w:szCs w:val="22"/>
              </w:rPr>
              <w:t xml:space="preserve">Kontrola a správa pásma pro replikace dat je dostupná pod názvem Throttling </w:t>
            </w:r>
          </w:p>
        </w:tc>
      </w:tr>
      <w:tr w14:paraId="0991470C" w14:textId="77777777" w:rsidTr="00620706">
        <w:tblPrEx>
          <w:tblW w:w="9359" w:type="dxa"/>
          <w:tblInd w:w="0" w:type="dxa"/>
          <w:tblCellMar>
            <w:top w:w="45" w:type="dxa"/>
            <w:left w:w="110" w:type="dxa"/>
            <w:right w:w="44" w:type="dxa"/>
          </w:tblCellMar>
          <w:tblLook w:val="04A0"/>
        </w:tblPrEx>
        <w:trPr>
          <w:trHeight w:val="1157"/>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6FC89D6F" w14:textId="77777777">
            <w:pPr>
              <w:spacing w:after="0" w:line="259" w:lineRule="auto"/>
              <w:ind w:right="70"/>
              <w:rPr>
                <w:rFonts w:ascii="Arial" w:hAnsi="Arial" w:cs="Arial"/>
                <w:sz w:val="22"/>
                <w:szCs w:val="22"/>
              </w:rPr>
            </w:pPr>
            <w:r w:rsidRPr="00DD51B9">
              <w:rPr>
                <w:rFonts w:ascii="Arial" w:hAnsi="Arial" w:cs="Arial"/>
                <w:sz w:val="22"/>
                <w:szCs w:val="22"/>
              </w:rPr>
              <w:t xml:space="preserve">Úložiště musí disponovat interním algoritmem pro neustálou kontrolu zdraví uložených dat a v případě poškození provést jejich automatickou obnovu.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E4CAF32"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5EEA0560" w14:textId="77777777">
            <w:pPr>
              <w:spacing w:after="2" w:line="236" w:lineRule="auto"/>
              <w:rPr>
                <w:rFonts w:ascii="Arial" w:hAnsi="Arial" w:cs="Arial"/>
                <w:sz w:val="22"/>
                <w:szCs w:val="22"/>
              </w:rPr>
            </w:pPr>
            <w:r w:rsidRPr="00DD51B9">
              <w:rPr>
                <w:rFonts w:ascii="Arial" w:hAnsi="Arial" w:cs="Arial"/>
                <w:sz w:val="22"/>
                <w:szCs w:val="22"/>
              </w:rPr>
              <w:t xml:space="preserve">Kontrola zdraví uložených dat a v případě poškození jejich automatická obnova je nativní vlastnost nabízeného </w:t>
            </w:r>
          </w:p>
          <w:p w:rsidR="00877251" w:rsidRPr="00DD51B9" w:rsidP="00620706" w14:paraId="52DD2996" w14:textId="77777777">
            <w:pPr>
              <w:spacing w:after="0" w:line="259" w:lineRule="auto"/>
              <w:rPr>
                <w:rFonts w:ascii="Arial" w:hAnsi="Arial" w:cs="Arial"/>
                <w:sz w:val="22"/>
                <w:szCs w:val="22"/>
              </w:rPr>
            </w:pPr>
            <w:r w:rsidRPr="00DD51B9">
              <w:rPr>
                <w:rFonts w:ascii="Arial" w:hAnsi="Arial" w:cs="Arial"/>
                <w:sz w:val="22"/>
                <w:szCs w:val="22"/>
              </w:rPr>
              <w:t xml:space="preserve">systému. Tzv. „DIA“ = Data Invulnerability Architecture. </w:t>
            </w:r>
          </w:p>
        </w:tc>
      </w:tr>
      <w:tr w14:paraId="680F449E" w14:textId="77777777" w:rsidTr="00620706">
        <w:tblPrEx>
          <w:tblW w:w="9359" w:type="dxa"/>
          <w:tblInd w:w="0" w:type="dxa"/>
          <w:tblCellMar>
            <w:top w:w="45" w:type="dxa"/>
            <w:left w:w="110" w:type="dxa"/>
            <w:right w:w="44" w:type="dxa"/>
          </w:tblCellMar>
          <w:tblLook w:val="04A0"/>
        </w:tblPrEx>
        <w:trPr>
          <w:trHeight w:val="76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255F4BE3" w14:textId="77777777">
            <w:pPr>
              <w:spacing w:after="0" w:line="259" w:lineRule="auto"/>
              <w:rPr>
                <w:rFonts w:ascii="Arial" w:hAnsi="Arial" w:cs="Arial"/>
                <w:sz w:val="22"/>
                <w:szCs w:val="22"/>
              </w:rPr>
            </w:pPr>
            <w:r w:rsidRPr="00DD51B9">
              <w:rPr>
                <w:rFonts w:ascii="Arial" w:hAnsi="Arial" w:cs="Arial"/>
                <w:sz w:val="22"/>
                <w:szCs w:val="22"/>
              </w:rPr>
              <w:t>Úložiště musí disponovat funkcionalitou pro šifrování ukládaných data metodou data-atrest</w:t>
            </w:r>
            <w:r w:rsidRPr="00DD51B9">
              <w:rPr>
                <w:rFonts w:ascii="Arial" w:hAnsi="Arial" w:cs="Arial"/>
                <w:b/>
                <w:sz w:val="22"/>
                <w:szCs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3EF039A"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36A175F" w14:textId="77777777">
            <w:pPr>
              <w:spacing w:after="0" w:line="259" w:lineRule="auto"/>
              <w:rPr>
                <w:rFonts w:ascii="Arial" w:hAnsi="Arial" w:cs="Arial"/>
                <w:sz w:val="22"/>
                <w:szCs w:val="22"/>
              </w:rPr>
            </w:pPr>
            <w:r w:rsidRPr="00DD51B9">
              <w:rPr>
                <w:rFonts w:ascii="Arial" w:hAnsi="Arial" w:cs="Arial"/>
                <w:sz w:val="22"/>
                <w:szCs w:val="22"/>
              </w:rPr>
              <w:t xml:space="preserve">Uložiště disponuje funkcionalitou dataat-rest. </w:t>
            </w:r>
          </w:p>
        </w:tc>
      </w:tr>
      <w:tr w14:paraId="1EB4CFE3" w14:textId="77777777" w:rsidTr="00620706">
        <w:tblPrEx>
          <w:tblW w:w="9359" w:type="dxa"/>
          <w:tblInd w:w="0" w:type="dxa"/>
          <w:tblCellMar>
            <w:top w:w="45" w:type="dxa"/>
            <w:left w:w="110" w:type="dxa"/>
            <w:right w:w="44" w:type="dxa"/>
          </w:tblCellMar>
          <w:tblLook w:val="04A0"/>
        </w:tblPrEx>
        <w:trPr>
          <w:trHeight w:val="58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2CC84894" w14:textId="77777777">
            <w:pPr>
              <w:spacing w:after="0" w:line="259" w:lineRule="auto"/>
              <w:rPr>
                <w:rFonts w:ascii="Arial" w:hAnsi="Arial" w:cs="Arial"/>
                <w:sz w:val="22"/>
                <w:szCs w:val="22"/>
              </w:rPr>
            </w:pPr>
            <w:r w:rsidRPr="00DD51B9">
              <w:rPr>
                <w:rFonts w:ascii="Arial" w:hAnsi="Arial" w:cs="Arial"/>
                <w:sz w:val="22"/>
                <w:szCs w:val="22"/>
              </w:rPr>
              <w:t xml:space="preserve">Úložiště je možné osadit HotSpare diskem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A950DD1"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33FB94E" w14:textId="77777777">
            <w:pPr>
              <w:spacing w:after="0" w:line="259" w:lineRule="auto"/>
              <w:rPr>
                <w:rFonts w:ascii="Arial" w:hAnsi="Arial" w:cs="Arial"/>
                <w:sz w:val="22"/>
                <w:szCs w:val="22"/>
              </w:rPr>
            </w:pPr>
            <w:r w:rsidRPr="00DD51B9">
              <w:rPr>
                <w:rFonts w:ascii="Arial" w:hAnsi="Arial" w:cs="Arial"/>
                <w:sz w:val="22"/>
                <w:szCs w:val="22"/>
              </w:rPr>
              <w:t xml:space="preserve">Hot-spare disky jsou využívány. </w:t>
            </w:r>
          </w:p>
        </w:tc>
      </w:tr>
      <w:tr w14:paraId="650B18CC" w14:textId="77777777" w:rsidTr="00620706">
        <w:tblPrEx>
          <w:tblW w:w="9359" w:type="dxa"/>
          <w:tblInd w:w="0" w:type="dxa"/>
          <w:tblCellMar>
            <w:top w:w="45" w:type="dxa"/>
            <w:left w:w="110" w:type="dxa"/>
            <w:right w:w="44" w:type="dxa"/>
          </w:tblCellMar>
          <w:tblLook w:val="04A0"/>
        </w:tblPrEx>
        <w:trPr>
          <w:trHeight w:val="57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1997F62F" w14:textId="77777777">
            <w:pPr>
              <w:spacing w:after="0" w:line="259" w:lineRule="auto"/>
              <w:rPr>
                <w:rFonts w:ascii="Arial" w:hAnsi="Arial" w:cs="Arial"/>
                <w:sz w:val="22"/>
                <w:szCs w:val="22"/>
              </w:rPr>
            </w:pPr>
            <w:r w:rsidRPr="00DD51B9">
              <w:rPr>
                <w:rFonts w:ascii="Arial" w:hAnsi="Arial" w:cs="Arial"/>
                <w:sz w:val="22"/>
                <w:szCs w:val="22"/>
              </w:rPr>
              <w:t xml:space="preserve">Úložiště musí umožňovat šifrovat data a musí disponovat i nástroji pro správu klíčů.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5CC1DD2"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32A0FCB2" w14:textId="77777777">
            <w:pPr>
              <w:spacing w:after="0" w:line="259" w:lineRule="auto"/>
              <w:rPr>
                <w:rFonts w:ascii="Arial" w:hAnsi="Arial" w:cs="Arial"/>
                <w:sz w:val="22"/>
                <w:szCs w:val="22"/>
              </w:rPr>
            </w:pPr>
            <w:r w:rsidRPr="00DD51B9">
              <w:rPr>
                <w:rFonts w:ascii="Arial" w:hAnsi="Arial" w:cs="Arial"/>
                <w:sz w:val="22"/>
                <w:szCs w:val="22"/>
              </w:rPr>
              <w:t xml:space="preserve">Úložiště podporuje šifrování i správu klíčů </w:t>
            </w:r>
          </w:p>
        </w:tc>
      </w:tr>
      <w:tr w14:paraId="6839DBE1" w14:textId="77777777" w:rsidTr="00620706">
        <w:tblPrEx>
          <w:tblW w:w="9359" w:type="dxa"/>
          <w:tblInd w:w="0" w:type="dxa"/>
          <w:tblCellMar>
            <w:top w:w="45" w:type="dxa"/>
            <w:left w:w="110" w:type="dxa"/>
            <w:right w:w="44" w:type="dxa"/>
          </w:tblCellMar>
          <w:tblLook w:val="04A0"/>
        </w:tblPrEx>
        <w:trPr>
          <w:trHeight w:val="1023"/>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5C325AB" w14:textId="77777777">
            <w:pPr>
              <w:spacing w:after="0" w:line="259" w:lineRule="auto"/>
              <w:ind w:right="69"/>
              <w:rPr>
                <w:rFonts w:ascii="Arial" w:hAnsi="Arial" w:cs="Arial"/>
                <w:sz w:val="22"/>
                <w:szCs w:val="22"/>
              </w:rPr>
            </w:pPr>
            <w:r w:rsidRPr="00DD51B9">
              <w:rPr>
                <w:rFonts w:ascii="Arial" w:hAnsi="Arial" w:cs="Arial"/>
                <w:sz w:val="22"/>
                <w:szCs w:val="22"/>
              </w:rPr>
              <w:t xml:space="preserve">Úložiště musí umožňovat nastavit retenční lhůty uložených data, granulárně podle definovaných politik řízených zálohovacím SW.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A890FF9"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736B13A" w14:textId="77777777">
            <w:pPr>
              <w:spacing w:after="0" w:line="259" w:lineRule="auto"/>
              <w:ind w:right="446"/>
              <w:rPr>
                <w:rFonts w:ascii="Arial" w:hAnsi="Arial" w:cs="Arial"/>
                <w:sz w:val="22"/>
                <w:szCs w:val="22"/>
              </w:rPr>
            </w:pPr>
            <w:r w:rsidRPr="00DD51B9">
              <w:rPr>
                <w:rFonts w:ascii="Arial" w:hAnsi="Arial" w:cs="Arial"/>
                <w:sz w:val="22"/>
                <w:szCs w:val="22"/>
              </w:rPr>
              <w:t xml:space="preserve">Ochranné skartační lhůty funkcí Retention Lock, řízení granulárně ze zálohovacího SW. </w:t>
            </w:r>
          </w:p>
        </w:tc>
      </w:tr>
      <w:tr w14:paraId="2658E97B" w14:textId="77777777" w:rsidTr="00620706">
        <w:tblPrEx>
          <w:tblW w:w="9359" w:type="dxa"/>
          <w:tblInd w:w="0" w:type="dxa"/>
          <w:tblCellMar>
            <w:top w:w="45" w:type="dxa"/>
            <w:left w:w="110" w:type="dxa"/>
            <w:right w:w="44" w:type="dxa"/>
          </w:tblCellMar>
          <w:tblLook w:val="04A0"/>
        </w:tblPrEx>
        <w:trPr>
          <w:trHeight w:val="76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0EB53077" w14:textId="77777777">
            <w:pPr>
              <w:spacing w:after="0" w:line="259" w:lineRule="auto"/>
              <w:ind w:right="69"/>
              <w:rPr>
                <w:rFonts w:ascii="Arial" w:hAnsi="Arial" w:cs="Arial"/>
                <w:sz w:val="22"/>
                <w:szCs w:val="22"/>
              </w:rPr>
            </w:pPr>
            <w:r w:rsidRPr="00DD51B9">
              <w:rPr>
                <w:rFonts w:ascii="Arial" w:hAnsi="Arial" w:cs="Arial"/>
                <w:sz w:val="22"/>
                <w:szCs w:val="22"/>
              </w:rPr>
              <w:t xml:space="preserve">Retenční zámek úložiště musí ochránit data před změnou, nebo smazáním před vypršením retenční lhůty.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8110405"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1FD415E6" w14:textId="77777777">
            <w:pPr>
              <w:spacing w:after="0" w:line="259" w:lineRule="auto"/>
              <w:ind w:right="4"/>
              <w:rPr>
                <w:rFonts w:ascii="Arial" w:hAnsi="Arial" w:cs="Arial"/>
                <w:sz w:val="22"/>
                <w:szCs w:val="22"/>
              </w:rPr>
            </w:pPr>
            <w:r w:rsidRPr="00DD51B9">
              <w:rPr>
                <w:rFonts w:ascii="Arial" w:hAnsi="Arial" w:cs="Arial"/>
                <w:sz w:val="22"/>
                <w:szCs w:val="22"/>
              </w:rPr>
              <w:t xml:space="preserve">Retention Lock chrání data před změnou, nebo smazáním před vypršením skartační lhůty. </w:t>
            </w:r>
          </w:p>
        </w:tc>
      </w:tr>
      <w:tr w14:paraId="1AD4B93F" w14:textId="77777777" w:rsidTr="00620706">
        <w:tblPrEx>
          <w:tblW w:w="9359" w:type="dxa"/>
          <w:tblInd w:w="0" w:type="dxa"/>
          <w:tblCellMar>
            <w:top w:w="45" w:type="dxa"/>
            <w:left w:w="110" w:type="dxa"/>
            <w:right w:w="44" w:type="dxa"/>
          </w:tblCellMar>
          <w:tblLook w:val="04A0"/>
        </w:tblPrEx>
        <w:trPr>
          <w:trHeight w:val="161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3C01CDC1" w14:textId="77777777">
            <w:pPr>
              <w:spacing w:after="0" w:line="259" w:lineRule="auto"/>
              <w:ind w:right="64"/>
              <w:rPr>
                <w:rFonts w:ascii="Arial" w:hAnsi="Arial" w:cs="Arial"/>
                <w:sz w:val="22"/>
                <w:szCs w:val="22"/>
              </w:rPr>
            </w:pPr>
            <w:r w:rsidRPr="00DD51B9">
              <w:rPr>
                <w:rFonts w:ascii="Arial" w:hAnsi="Arial" w:cs="Arial"/>
                <w:sz w:val="22"/>
                <w:szCs w:val="22"/>
              </w:rPr>
              <w:t xml:space="preserve">Úložiště musí disponovat mechanismem ochrany dat a samotného úložiště před napadením útočníkem z prostředí zadavatele i mimo toto prostředí (např. hackerský útok, ransomware, apod.).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2C3F3630"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100E9772" w14:textId="77777777">
            <w:pPr>
              <w:spacing w:after="0" w:line="259" w:lineRule="auto"/>
              <w:rPr>
                <w:rFonts w:ascii="Arial" w:hAnsi="Arial" w:cs="Arial"/>
                <w:sz w:val="22"/>
                <w:szCs w:val="22"/>
              </w:rPr>
            </w:pPr>
            <w:r w:rsidRPr="00DD51B9">
              <w:rPr>
                <w:rFonts w:ascii="Arial" w:hAnsi="Arial" w:cs="Arial"/>
                <w:sz w:val="22"/>
                <w:szCs w:val="22"/>
              </w:rPr>
              <w:t xml:space="preserve">Na několika úrovních – architektura DIA, zabezpečený operační systém DDOS oddělený od zálohovaných dat, administrace oddělená od přístupu k zálohovaným datům, Cyber Recovery Vault, spolupodpis role Security Officer pro potenciálně destruktivní operace </w:t>
            </w:r>
          </w:p>
        </w:tc>
      </w:tr>
      <w:tr w14:paraId="1BF06F5A" w14:textId="77777777" w:rsidTr="00620706">
        <w:tblPrEx>
          <w:tblW w:w="9359" w:type="dxa"/>
          <w:tblInd w:w="0" w:type="dxa"/>
          <w:tblCellMar>
            <w:top w:w="45" w:type="dxa"/>
            <w:left w:w="110" w:type="dxa"/>
            <w:right w:w="44" w:type="dxa"/>
          </w:tblCellMar>
          <w:tblLook w:val="04A0"/>
        </w:tblPrEx>
        <w:trPr>
          <w:trHeight w:val="1854"/>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6DD36EA4" w14:textId="77777777">
            <w:pPr>
              <w:spacing w:after="0" w:line="259" w:lineRule="auto"/>
              <w:ind w:right="63"/>
              <w:rPr>
                <w:rFonts w:ascii="Arial" w:hAnsi="Arial" w:cs="Arial"/>
                <w:sz w:val="22"/>
                <w:szCs w:val="22"/>
              </w:rPr>
            </w:pPr>
            <w:r w:rsidRPr="00DD51B9">
              <w:rPr>
                <w:rFonts w:ascii="Arial" w:hAnsi="Arial" w:cs="Arial"/>
                <w:sz w:val="22"/>
                <w:szCs w:val="22"/>
              </w:rPr>
              <w:t xml:space="preserve">Úložiště musí umožnit tzv. HW hardening – tedy takové nastavení, aby nebylo možno jedním uživatelem s dostatečnými právy manipulovat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34871BA"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6D3FD8FD" w14:textId="77777777">
            <w:pPr>
              <w:spacing w:after="0" w:line="239" w:lineRule="auto"/>
              <w:ind w:right="22"/>
              <w:rPr>
                <w:rFonts w:ascii="Arial" w:hAnsi="Arial" w:cs="Arial"/>
                <w:sz w:val="22"/>
                <w:szCs w:val="22"/>
              </w:rPr>
            </w:pPr>
            <w:r w:rsidRPr="00DD51B9">
              <w:rPr>
                <w:rFonts w:ascii="Arial" w:hAnsi="Arial" w:cs="Arial"/>
                <w:sz w:val="22"/>
                <w:szCs w:val="22"/>
              </w:rPr>
              <w:t xml:space="preserve">Pro potenciálně destruktivní operace je nutná spoluautorizace účtem typu „security officer“, odlišného od účtu, který operaci provádí </w:t>
            </w:r>
          </w:p>
          <w:p w:rsidR="00877251" w:rsidRPr="00DD51B9" w:rsidP="00620706" w14:paraId="45745BBE" w14:textId="77777777">
            <w:pPr>
              <w:spacing w:after="0" w:line="259" w:lineRule="auto"/>
              <w:rPr>
                <w:rFonts w:ascii="Arial" w:hAnsi="Arial" w:cs="Arial"/>
                <w:sz w:val="22"/>
                <w:szCs w:val="22"/>
              </w:rPr>
            </w:pPr>
            <w:r w:rsidRPr="00DD51B9">
              <w:rPr>
                <w:rFonts w:ascii="Arial" w:hAnsi="Arial" w:cs="Arial"/>
                <w:sz w:val="22"/>
                <w:szCs w:val="22"/>
              </w:rPr>
              <w:t xml:space="preserve">Účty „security officer“ nemají samy o sobě administrátorská práva, je tedy vždy zapotřebí součinnosti dvou osob (účtů). </w:t>
            </w:r>
          </w:p>
        </w:tc>
      </w:tr>
      <w:tr w14:paraId="3A284FA7" w14:textId="77777777" w:rsidTr="00620706">
        <w:tblPrEx>
          <w:tblW w:w="9359" w:type="dxa"/>
          <w:tblInd w:w="0" w:type="dxa"/>
          <w:tblCellMar>
            <w:top w:w="45" w:type="dxa"/>
            <w:left w:w="110" w:type="dxa"/>
            <w:right w:w="44" w:type="dxa"/>
          </w:tblCellMar>
          <w:tblLook w:val="04A0"/>
        </w:tblPrEx>
        <w:trPr>
          <w:trHeight w:val="203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1EC95AD" w14:textId="77777777">
            <w:pPr>
              <w:spacing w:after="0" w:line="259" w:lineRule="auto"/>
              <w:ind w:right="64"/>
              <w:rPr>
                <w:rFonts w:ascii="Arial" w:hAnsi="Arial" w:cs="Arial"/>
                <w:sz w:val="22"/>
                <w:szCs w:val="22"/>
              </w:rPr>
            </w:pPr>
            <w:r w:rsidRPr="00DD51B9">
              <w:rPr>
                <w:rFonts w:ascii="Arial" w:hAnsi="Arial" w:cs="Arial"/>
                <w:sz w:val="22"/>
                <w:szCs w:val="22"/>
              </w:rPr>
              <w:t xml:space="preserve">Řešení musí podporovat automatickou kontrolu zdraví ukládaných dat (zda neobsahují např. škodlivý ransomware, zda nejsou šifrována útočníkem, apod.) a musí být schopno automatizovat kontrolu obnovitelnosti těchto dat ve fyzicky odděleném prostředí od produkčního prostředí zadavatele (kupujícího).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C3700B7"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523317E" w14:textId="77777777">
            <w:pPr>
              <w:spacing w:after="0" w:line="259" w:lineRule="auto"/>
              <w:rPr>
                <w:rFonts w:ascii="Arial" w:hAnsi="Arial" w:cs="Arial"/>
                <w:sz w:val="22"/>
                <w:szCs w:val="22"/>
              </w:rPr>
            </w:pPr>
            <w:r w:rsidRPr="00DD51B9">
              <w:rPr>
                <w:rFonts w:ascii="Arial" w:hAnsi="Arial" w:cs="Arial"/>
                <w:sz w:val="22"/>
                <w:szCs w:val="22"/>
              </w:rPr>
              <w:t xml:space="preserve">Pomocí funkce Cyber Recovery, Cyber </w:t>
            </w:r>
          </w:p>
          <w:p w:rsidR="00877251" w:rsidRPr="00DD51B9" w:rsidP="00620706" w14:paraId="322E6D6A" w14:textId="77777777">
            <w:pPr>
              <w:spacing w:after="0" w:line="259" w:lineRule="auto"/>
              <w:rPr>
                <w:rFonts w:ascii="Arial" w:hAnsi="Arial" w:cs="Arial"/>
                <w:sz w:val="22"/>
                <w:szCs w:val="22"/>
              </w:rPr>
            </w:pPr>
            <w:r w:rsidRPr="00DD51B9">
              <w:rPr>
                <w:rFonts w:ascii="Arial" w:hAnsi="Arial" w:cs="Arial"/>
                <w:sz w:val="22"/>
                <w:szCs w:val="22"/>
              </w:rPr>
              <w:t xml:space="preserve">Recovery Vault a Cyber Recovery Cyber Sense </w:t>
            </w:r>
          </w:p>
        </w:tc>
      </w:tr>
      <w:tr w14:paraId="0D78DB51" w14:textId="77777777" w:rsidTr="00620706">
        <w:tblPrEx>
          <w:tblW w:w="9359" w:type="dxa"/>
          <w:tblInd w:w="0" w:type="dxa"/>
          <w:tblCellMar>
            <w:top w:w="45" w:type="dxa"/>
            <w:left w:w="110" w:type="dxa"/>
            <w:right w:w="44" w:type="dxa"/>
          </w:tblCellMar>
          <w:tblLook w:val="04A0"/>
        </w:tblPrEx>
        <w:trPr>
          <w:trHeight w:val="2031"/>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378492D5" w14:textId="77777777">
            <w:pPr>
              <w:spacing w:after="0" w:line="259" w:lineRule="auto"/>
              <w:ind w:right="65"/>
              <w:rPr>
                <w:rFonts w:ascii="Arial" w:hAnsi="Arial" w:cs="Arial"/>
                <w:sz w:val="22"/>
                <w:szCs w:val="22"/>
              </w:rPr>
            </w:pPr>
            <w:r w:rsidRPr="00DD51B9">
              <w:rPr>
                <w:rFonts w:ascii="Arial" w:hAnsi="Arial" w:cs="Arial"/>
                <w:sz w:val="22"/>
                <w:szCs w:val="22"/>
              </w:rPr>
              <w:t xml:space="preserve">Řešení musí být schopno zajistit sadu dat k obnově tak, aby v případě úspěšného hackerského útoku na prostředí zadavatele (kupujícího), nebyla data uložená v tomto zařízení kompromitována a mohla být použita – řešení musí disponovat centrální konzolí (rozhraním) pro tuto obnovu, které je nezávislé na SW pro zálohování.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401D50F" w14:textId="77777777">
            <w:pPr>
              <w:spacing w:after="0" w:line="259" w:lineRule="auto"/>
              <w:ind w:right="73"/>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5579EEF" w14:textId="77777777">
            <w:pPr>
              <w:spacing w:after="0" w:line="259" w:lineRule="auto"/>
              <w:ind w:right="64"/>
              <w:rPr>
                <w:rFonts w:ascii="Arial" w:hAnsi="Arial" w:cs="Arial"/>
                <w:sz w:val="22"/>
                <w:szCs w:val="22"/>
              </w:rPr>
            </w:pPr>
            <w:r w:rsidRPr="00DD51B9">
              <w:rPr>
                <w:rFonts w:ascii="Arial" w:hAnsi="Arial" w:cs="Arial"/>
                <w:sz w:val="22"/>
                <w:szCs w:val="22"/>
              </w:rPr>
              <w:t xml:space="preserve">Cyber Recovery Vault + Cyber Recovery Golden Copy, zcela izolované prostředí bez možnosti aktivního přístupu z provozního prostředí a oddělenou, na zálohování nezávislou správou </w:t>
            </w:r>
          </w:p>
        </w:tc>
      </w:tr>
    </w:tbl>
    <w:p w:rsidR="00877251" w:rsidRPr="00DD51B9" w:rsidP="00877251" w14:paraId="70827782" w14:textId="77777777">
      <w:pPr>
        <w:spacing w:after="0" w:line="259" w:lineRule="auto"/>
        <w:ind w:left="-1416" w:right="10772"/>
        <w:rPr>
          <w:rFonts w:ascii="Arial" w:hAnsi="Arial" w:cs="Arial"/>
        </w:rPr>
      </w:pPr>
    </w:p>
    <w:tbl>
      <w:tblPr>
        <w:tblStyle w:val="TableGrid"/>
        <w:tblW w:w="9359" w:type="dxa"/>
        <w:tblInd w:w="0" w:type="dxa"/>
        <w:tblCellMar>
          <w:top w:w="45" w:type="dxa"/>
          <w:left w:w="48" w:type="dxa"/>
          <w:right w:w="45" w:type="dxa"/>
        </w:tblCellMar>
        <w:tblLook w:val="04A0"/>
      </w:tblPr>
      <w:tblGrid>
        <w:gridCol w:w="4399"/>
        <w:gridCol w:w="1133"/>
        <w:gridCol w:w="3827"/>
      </w:tblGrid>
      <w:tr w14:paraId="2C17AB14" w14:textId="77777777" w:rsidTr="00620706">
        <w:tblPrEx>
          <w:tblW w:w="9359" w:type="dxa"/>
          <w:tblInd w:w="0" w:type="dxa"/>
          <w:tblCellMar>
            <w:top w:w="45" w:type="dxa"/>
            <w:left w:w="48" w:type="dxa"/>
            <w:right w:w="45" w:type="dxa"/>
          </w:tblCellMar>
          <w:tblLook w:val="04A0"/>
        </w:tblPrEx>
        <w:trPr>
          <w:trHeight w:val="4383"/>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82FA232" w14:textId="77777777">
            <w:pPr>
              <w:spacing w:after="0" w:line="259" w:lineRule="auto"/>
              <w:ind w:left="62" w:right="66"/>
              <w:rPr>
                <w:rFonts w:ascii="Arial" w:hAnsi="Arial" w:cs="Arial"/>
                <w:sz w:val="22"/>
                <w:szCs w:val="22"/>
              </w:rPr>
            </w:pPr>
            <w:r w:rsidRPr="00DD51B9">
              <w:rPr>
                <w:rFonts w:ascii="Arial" w:hAnsi="Arial" w:cs="Arial"/>
                <w:sz w:val="22"/>
                <w:szCs w:val="22"/>
              </w:rPr>
              <w:t xml:space="preserve">Úložiště musí být možno instalovat na separátním segmentu sítě, který je určen pouze pro replikaci dat pro ochranu proti ransomware. Tento segment musí být možno automaticky zpřístupnit pouze pro potřeby replikace dat a řízení tohoto přístupu bude probíhat nezávisle na zbytku běžné infrastruktury pro zálohování a obnovu z bezpečného místa prostřednictvím speciální management konzole.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66E4EA0"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40CB30A2" w14:textId="77777777">
            <w:pPr>
              <w:spacing w:after="0" w:line="238" w:lineRule="auto"/>
              <w:ind w:left="62" w:right="10"/>
              <w:rPr>
                <w:rFonts w:ascii="Arial" w:hAnsi="Arial" w:cs="Arial"/>
                <w:sz w:val="22"/>
                <w:szCs w:val="22"/>
              </w:rPr>
            </w:pPr>
            <w:r w:rsidRPr="00DD51B9">
              <w:rPr>
                <w:rFonts w:ascii="Arial" w:hAnsi="Arial" w:cs="Arial"/>
                <w:sz w:val="22"/>
                <w:szCs w:val="22"/>
              </w:rPr>
              <w:t xml:space="preserve">Cyber Recovery Vault, zcela izolované prostředí bez možnosti aktivního přístupu z provozního prostředí a oddělenou, na zálohování nezávislou správou. Přístup do provozní sítě lze otevřít pouze z prostředí Vaultu, pouze pro deduplikovanou replikaci nových záloh (replikační komunikace je oddělená od ukládání dat či managementu zařízení), a pouze po dobu replikace, pak je opět uzavřen. Data v Cyber Recovery Vault jsou před každou replikací chráněna deduplikovanými snapshoty jako ochranou proti přepsání starších verzí záloh zašifrovanými daty. </w:t>
            </w:r>
          </w:p>
          <w:p w:rsidR="00877251" w:rsidRPr="00DD51B9" w:rsidP="00620706" w14:paraId="4E158EE4" w14:textId="77777777">
            <w:pPr>
              <w:spacing w:after="0" w:line="259" w:lineRule="auto"/>
              <w:ind w:left="62" w:right="567"/>
              <w:rPr>
                <w:rFonts w:ascii="Arial" w:hAnsi="Arial" w:cs="Arial"/>
                <w:sz w:val="22"/>
                <w:szCs w:val="22"/>
              </w:rPr>
            </w:pPr>
            <w:r w:rsidRPr="00DD51B9">
              <w:rPr>
                <w:rFonts w:ascii="Arial" w:hAnsi="Arial" w:cs="Arial"/>
                <w:sz w:val="22"/>
                <w:szCs w:val="22"/>
              </w:rPr>
              <w:t xml:space="preserve">Správa je možná pouze z prostředí Cyber Recovery Vault pomocí na zálohování nezávislé konzole. </w:t>
            </w:r>
          </w:p>
        </w:tc>
      </w:tr>
      <w:tr w14:paraId="5C9D571A" w14:textId="77777777" w:rsidTr="00620706">
        <w:tblPrEx>
          <w:tblW w:w="9359" w:type="dxa"/>
          <w:tblInd w:w="0" w:type="dxa"/>
          <w:tblCellMar>
            <w:top w:w="45" w:type="dxa"/>
            <w:left w:w="48" w:type="dxa"/>
            <w:right w:w="45" w:type="dxa"/>
          </w:tblCellMar>
          <w:tblLook w:val="04A0"/>
        </w:tblPrEx>
        <w:trPr>
          <w:trHeight w:val="1945"/>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230AE779" w14:textId="77777777">
            <w:pPr>
              <w:spacing w:after="0" w:line="259" w:lineRule="auto"/>
              <w:ind w:left="62" w:right="66"/>
              <w:rPr>
                <w:rFonts w:ascii="Arial" w:hAnsi="Arial" w:cs="Arial"/>
                <w:sz w:val="22"/>
                <w:szCs w:val="22"/>
              </w:rPr>
            </w:pPr>
            <w:r w:rsidRPr="00DD51B9">
              <w:rPr>
                <w:rFonts w:ascii="Arial" w:hAnsi="Arial" w:cs="Arial"/>
                <w:sz w:val="22"/>
                <w:szCs w:val="22"/>
              </w:rPr>
              <w:t xml:space="preserve">Úložiště musí být certifikováno podle SEC 17a-4f nebo ekvivalentní evropské nebo české normy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45ED230"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74B27558" w14:textId="77777777">
            <w:pPr>
              <w:spacing w:after="8" w:line="259" w:lineRule="auto"/>
              <w:ind w:left="62"/>
              <w:rPr>
                <w:rFonts w:ascii="Arial" w:hAnsi="Arial" w:cs="Arial"/>
                <w:sz w:val="22"/>
                <w:szCs w:val="22"/>
              </w:rPr>
            </w:pPr>
            <w:r w:rsidRPr="00DD51B9">
              <w:rPr>
                <w:rFonts w:ascii="Arial" w:hAnsi="Arial" w:cs="Arial"/>
                <w:sz w:val="22"/>
                <w:szCs w:val="22"/>
              </w:rPr>
              <w:t xml:space="preserve">Certifikace:  </w:t>
            </w:r>
          </w:p>
          <w:p w:rsidR="00877251" w:rsidRPr="00DD51B9" w:rsidP="00877251" w14:paraId="7D4C9F2F"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SEC 17a-4(f) </w:t>
            </w:r>
          </w:p>
          <w:p w:rsidR="00877251" w:rsidRPr="00DD51B9" w:rsidP="00877251" w14:paraId="7F83D5C4"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CFTC Rule 1.31b </w:t>
            </w:r>
          </w:p>
          <w:p w:rsidR="00877251" w:rsidRPr="00DD51B9" w:rsidP="00877251" w14:paraId="7FACBE9B"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FDA 21 CFR Part 11 </w:t>
            </w:r>
          </w:p>
          <w:p w:rsidR="00877251" w:rsidRPr="00DD51B9" w:rsidP="00877251" w14:paraId="21192AA2"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Sarbanes-Oxley Act </w:t>
            </w:r>
          </w:p>
          <w:p w:rsidR="00877251" w:rsidRPr="00DD51B9" w:rsidP="00877251" w14:paraId="5D855919"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IRS 98025 and 97-22 </w:t>
            </w:r>
          </w:p>
          <w:p w:rsidR="00877251" w:rsidRPr="00DD51B9" w:rsidP="00877251" w14:paraId="5FB80286"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ISO Standard 15489-1 </w:t>
            </w:r>
          </w:p>
          <w:p w:rsidR="00877251" w:rsidRPr="00DD51B9" w:rsidP="00877251" w14:paraId="3145C4D8" w14:textId="77777777">
            <w:pPr>
              <w:numPr>
                <w:ilvl w:val="0"/>
                <w:numId w:val="37"/>
              </w:numPr>
              <w:spacing w:after="0" w:line="259" w:lineRule="auto"/>
              <w:ind w:hanging="360"/>
              <w:rPr>
                <w:rFonts w:ascii="Arial" w:hAnsi="Arial" w:cs="Arial"/>
                <w:sz w:val="22"/>
                <w:szCs w:val="22"/>
              </w:rPr>
            </w:pPr>
            <w:r w:rsidRPr="00DD51B9">
              <w:rPr>
                <w:rFonts w:ascii="Arial" w:hAnsi="Arial" w:cs="Arial"/>
                <w:sz w:val="22"/>
                <w:szCs w:val="22"/>
              </w:rPr>
              <w:t xml:space="preserve">MoREQ2010 </w:t>
            </w:r>
          </w:p>
        </w:tc>
      </w:tr>
      <w:tr w14:paraId="58FF6EC4" w14:textId="77777777" w:rsidTr="00620706">
        <w:tblPrEx>
          <w:tblW w:w="9359" w:type="dxa"/>
          <w:tblInd w:w="0" w:type="dxa"/>
          <w:tblCellMar>
            <w:top w:w="45" w:type="dxa"/>
            <w:left w:w="48" w:type="dxa"/>
            <w:right w:w="45" w:type="dxa"/>
          </w:tblCellMar>
          <w:tblLook w:val="04A0"/>
        </w:tblPrEx>
        <w:trPr>
          <w:trHeight w:val="1022"/>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1B2368F9" w14:textId="77777777">
            <w:pPr>
              <w:spacing w:after="0" w:line="259" w:lineRule="auto"/>
              <w:ind w:left="62" w:right="68"/>
              <w:rPr>
                <w:rFonts w:ascii="Arial" w:hAnsi="Arial" w:cs="Arial"/>
                <w:sz w:val="22"/>
                <w:szCs w:val="22"/>
              </w:rPr>
            </w:pPr>
            <w:r w:rsidRPr="00DD51B9">
              <w:rPr>
                <w:rFonts w:ascii="Arial" w:hAnsi="Arial" w:cs="Arial"/>
                <w:sz w:val="22"/>
                <w:szCs w:val="22"/>
              </w:rPr>
              <w:t xml:space="preserve">Úložiště musí obnovovat data vždy z deduplikovaného a komprimovaného stavu, není přípustný mezikrok (např. externí disková cache).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87EDAD8"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759E67C2" w14:textId="77777777">
            <w:pPr>
              <w:spacing w:after="0" w:line="259" w:lineRule="auto"/>
              <w:ind w:left="62"/>
              <w:rPr>
                <w:rFonts w:ascii="Arial" w:hAnsi="Arial" w:cs="Arial"/>
                <w:sz w:val="22"/>
                <w:szCs w:val="22"/>
              </w:rPr>
            </w:pPr>
            <w:r w:rsidRPr="00DD51B9">
              <w:rPr>
                <w:rFonts w:ascii="Arial" w:hAnsi="Arial" w:cs="Arial"/>
                <w:sz w:val="22"/>
                <w:szCs w:val="22"/>
              </w:rPr>
              <w:t xml:space="preserve">Obnovuje se vždy z deduplikovaného a komprimovaného stavu, bez mezikroků. </w:t>
            </w:r>
          </w:p>
        </w:tc>
      </w:tr>
      <w:tr w14:paraId="4A338152" w14:textId="77777777" w:rsidTr="00620706">
        <w:tblPrEx>
          <w:tblW w:w="9359" w:type="dxa"/>
          <w:tblInd w:w="0" w:type="dxa"/>
          <w:tblCellMar>
            <w:top w:w="45" w:type="dxa"/>
            <w:left w:w="48" w:type="dxa"/>
            <w:right w:w="45" w:type="dxa"/>
          </w:tblCellMar>
          <w:tblLook w:val="04A0"/>
        </w:tblPrEx>
        <w:trPr>
          <w:trHeight w:val="76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A49479E" w14:textId="77777777">
            <w:pPr>
              <w:spacing w:after="0" w:line="259" w:lineRule="auto"/>
              <w:ind w:left="62"/>
              <w:rPr>
                <w:rFonts w:ascii="Arial" w:hAnsi="Arial" w:cs="Arial"/>
                <w:sz w:val="22"/>
                <w:szCs w:val="22"/>
              </w:rPr>
            </w:pPr>
            <w:r w:rsidRPr="00DD51B9">
              <w:rPr>
                <w:rFonts w:ascii="Arial" w:hAnsi="Arial" w:cs="Arial"/>
                <w:sz w:val="22"/>
                <w:szCs w:val="22"/>
              </w:rPr>
              <w:t xml:space="preserve">Úložiště musí umožnit shreding smazaných dat – vícenásobný přepis smazaných bloků.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84D6040"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5B7247A6" w14:textId="77777777">
            <w:pPr>
              <w:spacing w:after="0" w:line="259" w:lineRule="auto"/>
              <w:ind w:left="62"/>
              <w:rPr>
                <w:rFonts w:ascii="Arial" w:hAnsi="Arial" w:cs="Arial"/>
                <w:sz w:val="22"/>
                <w:szCs w:val="22"/>
              </w:rPr>
            </w:pPr>
            <w:r w:rsidRPr="00DD51B9">
              <w:rPr>
                <w:rFonts w:ascii="Arial" w:hAnsi="Arial" w:cs="Arial"/>
                <w:sz w:val="22"/>
                <w:szCs w:val="22"/>
              </w:rPr>
              <w:t xml:space="preserve">Diskové uložiště umožňuje bezpečné vícenásobné smazání dat (vícenásobný přepis smazaných bloků dat). </w:t>
            </w:r>
          </w:p>
        </w:tc>
      </w:tr>
      <w:tr w14:paraId="4C0AFD16" w14:textId="77777777" w:rsidTr="00620706">
        <w:tblPrEx>
          <w:tblW w:w="9359" w:type="dxa"/>
          <w:tblInd w:w="0" w:type="dxa"/>
          <w:tblCellMar>
            <w:top w:w="45" w:type="dxa"/>
            <w:left w:w="48" w:type="dxa"/>
            <w:right w:w="45" w:type="dxa"/>
          </w:tblCellMar>
          <w:tblLook w:val="04A0"/>
        </w:tblPrEx>
        <w:trPr>
          <w:trHeight w:val="768"/>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34F514B6" w14:textId="77777777">
            <w:pPr>
              <w:spacing w:after="0" w:line="259" w:lineRule="auto"/>
              <w:ind w:left="62" w:right="67"/>
              <w:rPr>
                <w:rFonts w:ascii="Arial" w:hAnsi="Arial" w:cs="Arial"/>
                <w:sz w:val="22"/>
                <w:szCs w:val="22"/>
              </w:rPr>
            </w:pPr>
            <w:r w:rsidRPr="00DD51B9">
              <w:rPr>
                <w:rFonts w:ascii="Arial" w:hAnsi="Arial" w:cs="Arial"/>
                <w:sz w:val="22"/>
                <w:szCs w:val="22"/>
              </w:rPr>
              <w:t xml:space="preserve">Úložiště musí poskytovat funkcionalitu automatického reportingu, automatický call-home.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9284F80"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5A7EC2FB" w14:textId="77777777">
            <w:pPr>
              <w:spacing w:after="0" w:line="259" w:lineRule="auto"/>
              <w:ind w:left="62"/>
              <w:rPr>
                <w:rFonts w:ascii="Arial" w:hAnsi="Arial" w:cs="Arial"/>
                <w:sz w:val="22"/>
                <w:szCs w:val="22"/>
              </w:rPr>
            </w:pPr>
            <w:r w:rsidRPr="00DD51B9">
              <w:rPr>
                <w:rFonts w:ascii="Arial" w:hAnsi="Arial" w:cs="Arial"/>
                <w:sz w:val="22"/>
                <w:szCs w:val="22"/>
              </w:rPr>
              <w:t xml:space="preserve">Automatický call-home a reporting je součástí systému </w:t>
            </w:r>
          </w:p>
        </w:tc>
      </w:tr>
      <w:tr w14:paraId="7B23F100" w14:textId="77777777" w:rsidTr="00620706">
        <w:tblPrEx>
          <w:tblW w:w="9359" w:type="dxa"/>
          <w:tblInd w:w="0" w:type="dxa"/>
          <w:tblCellMar>
            <w:top w:w="45" w:type="dxa"/>
            <w:left w:w="48" w:type="dxa"/>
            <w:right w:w="45" w:type="dxa"/>
          </w:tblCellMar>
          <w:tblLook w:val="04A0"/>
        </w:tblPrEx>
        <w:trPr>
          <w:trHeight w:val="577"/>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C9C1007" w14:textId="77777777">
            <w:pPr>
              <w:spacing w:after="0" w:line="259" w:lineRule="auto"/>
              <w:ind w:left="62"/>
              <w:rPr>
                <w:rFonts w:ascii="Arial" w:hAnsi="Arial" w:cs="Arial"/>
                <w:sz w:val="22"/>
                <w:szCs w:val="22"/>
              </w:rPr>
            </w:pPr>
            <w:r w:rsidRPr="00DD51B9">
              <w:rPr>
                <w:rFonts w:ascii="Arial" w:hAnsi="Arial" w:cs="Arial"/>
                <w:sz w:val="22"/>
                <w:szCs w:val="22"/>
              </w:rPr>
              <w:t xml:space="preserve">Úložiště musí umožnit správu na principu rolí s různými typy oprávnění.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A1FD0FB"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tcPr>
          <w:p w:rsidR="00877251" w:rsidRPr="00DD51B9" w:rsidP="00620706" w14:paraId="61A1115C" w14:textId="77777777">
            <w:pPr>
              <w:spacing w:after="0" w:line="259" w:lineRule="auto"/>
              <w:ind w:left="62"/>
              <w:rPr>
                <w:rFonts w:ascii="Arial" w:hAnsi="Arial" w:cs="Arial"/>
                <w:sz w:val="22"/>
                <w:szCs w:val="22"/>
              </w:rPr>
            </w:pPr>
            <w:r w:rsidRPr="00DD51B9">
              <w:rPr>
                <w:rFonts w:ascii="Arial" w:hAnsi="Arial" w:cs="Arial"/>
                <w:sz w:val="22"/>
                <w:szCs w:val="22"/>
              </w:rPr>
              <w:t xml:space="preserve">Možnost správy na principu rolí s různými typy oprávnění. </w:t>
            </w:r>
          </w:p>
        </w:tc>
      </w:tr>
      <w:tr w14:paraId="4FF3ACD7" w14:textId="77777777" w:rsidTr="00620706">
        <w:tblPrEx>
          <w:tblW w:w="9359" w:type="dxa"/>
          <w:tblInd w:w="0" w:type="dxa"/>
          <w:tblCellMar>
            <w:top w:w="45" w:type="dxa"/>
            <w:left w:w="48" w:type="dxa"/>
            <w:right w:w="45" w:type="dxa"/>
          </w:tblCellMar>
          <w:tblLook w:val="04A0"/>
        </w:tblPrEx>
        <w:trPr>
          <w:trHeight w:val="4023"/>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2CE1937F" w14:textId="77777777">
            <w:pPr>
              <w:spacing w:after="158" w:line="259" w:lineRule="auto"/>
              <w:ind w:left="62"/>
              <w:rPr>
                <w:rFonts w:ascii="Arial" w:hAnsi="Arial" w:cs="Arial"/>
                <w:sz w:val="22"/>
                <w:szCs w:val="22"/>
              </w:rPr>
            </w:pPr>
            <w:r w:rsidRPr="00DD51B9">
              <w:rPr>
                <w:rFonts w:ascii="Arial" w:hAnsi="Arial" w:cs="Arial"/>
                <w:sz w:val="22"/>
                <w:szCs w:val="22"/>
              </w:rPr>
              <w:t xml:space="preserve">Záruka a technická podpora  </w:t>
            </w:r>
          </w:p>
          <w:p w:rsidR="00877251" w:rsidRPr="00DD51B9" w:rsidP="00620706" w14:paraId="64E44AC6" w14:textId="77777777">
            <w:pPr>
              <w:spacing w:after="173" w:line="259" w:lineRule="auto"/>
              <w:ind w:left="62" w:right="63"/>
              <w:rPr>
                <w:rFonts w:ascii="Arial" w:hAnsi="Arial" w:cs="Arial"/>
                <w:sz w:val="22"/>
                <w:szCs w:val="22"/>
              </w:rPr>
            </w:pPr>
            <w:r w:rsidRPr="00DD51B9">
              <w:rPr>
                <w:rFonts w:ascii="Arial" w:hAnsi="Arial" w:cs="Arial"/>
                <w:sz w:val="22"/>
                <w:szCs w:val="22"/>
              </w:rPr>
              <w:t xml:space="preserve">- na nabízené řešení a veškeré jeho komponenty požadujeme záruku a technickou podporu na 60 měsíců poskytovanou přímo výrobcem zařízení v tomto rozsahu: </w:t>
            </w:r>
          </w:p>
          <w:p w:rsidR="00877251" w:rsidRPr="00DD51B9" w:rsidP="00877251" w14:paraId="25156D64" w14:textId="77777777">
            <w:pPr>
              <w:numPr>
                <w:ilvl w:val="0"/>
                <w:numId w:val="38"/>
              </w:numPr>
              <w:spacing w:after="8" w:line="242" w:lineRule="auto"/>
              <w:ind w:right="32" w:hanging="283"/>
              <w:jc w:val="both"/>
              <w:rPr>
                <w:rFonts w:ascii="Arial" w:hAnsi="Arial" w:cs="Arial"/>
                <w:sz w:val="22"/>
                <w:szCs w:val="22"/>
              </w:rPr>
            </w:pPr>
            <w:r w:rsidRPr="00DD51B9">
              <w:rPr>
                <w:rFonts w:ascii="Arial" w:hAnsi="Arial" w:cs="Arial"/>
                <w:sz w:val="22"/>
                <w:szCs w:val="22"/>
              </w:rPr>
              <w:t xml:space="preserve">Požadovaná záruka na dodané řešení je 60 měsíců od předání. </w:t>
            </w:r>
          </w:p>
          <w:p w:rsidR="00877251" w:rsidRPr="00DD51B9" w:rsidP="00877251" w14:paraId="4212588A" w14:textId="77777777">
            <w:pPr>
              <w:numPr>
                <w:ilvl w:val="0"/>
                <w:numId w:val="38"/>
              </w:numPr>
              <w:spacing w:after="0" w:line="241" w:lineRule="auto"/>
              <w:ind w:right="32" w:hanging="283"/>
              <w:jc w:val="both"/>
              <w:rPr>
                <w:rFonts w:ascii="Arial" w:hAnsi="Arial" w:cs="Arial"/>
                <w:sz w:val="22"/>
                <w:szCs w:val="22"/>
              </w:rPr>
            </w:pPr>
            <w:r w:rsidRPr="00DD51B9">
              <w:rPr>
                <w:rFonts w:ascii="Arial" w:hAnsi="Arial" w:cs="Arial"/>
                <w:sz w:val="22"/>
                <w:szCs w:val="22"/>
              </w:rPr>
              <w:t xml:space="preserve">Požadujeme záruční servis v tomto režimu: servisní podpora 5x9, odstranění závady od nahlášení do druhého pracovního dne. </w:t>
            </w:r>
          </w:p>
          <w:p w:rsidR="00877251" w:rsidRPr="00DD51B9" w:rsidP="00620706" w14:paraId="54DB7D59" w14:textId="77777777">
            <w:pPr>
              <w:spacing w:after="0" w:line="259" w:lineRule="auto"/>
              <w:ind w:left="62"/>
              <w:rPr>
                <w:rFonts w:ascii="Arial" w:hAnsi="Arial" w:cs="Arial"/>
                <w:sz w:val="22"/>
                <w:szCs w:val="22"/>
              </w:rPr>
            </w:pPr>
            <w:r w:rsidRPr="00DD51B9">
              <w:rPr>
                <w:rFonts w:ascii="Arial" w:hAnsi="Arial" w:cs="Arial"/>
                <w:sz w:val="22"/>
                <w:szCs w:val="22"/>
              </w:rPr>
              <w:t xml:space="preserve">možnost sledování servisních reportů prostřednictvím internetu.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0364A9A9" w14:textId="77777777">
            <w:pPr>
              <w:spacing w:after="0" w:line="259" w:lineRule="auto"/>
              <w:ind w:right="10"/>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7CD6234" w14:textId="77777777">
            <w:pPr>
              <w:spacing w:after="33" w:line="239" w:lineRule="auto"/>
              <w:ind w:left="62"/>
              <w:rPr>
                <w:rFonts w:ascii="Arial" w:hAnsi="Arial" w:cs="Arial"/>
                <w:sz w:val="22"/>
                <w:szCs w:val="22"/>
              </w:rPr>
            </w:pPr>
            <w:r w:rsidRPr="00DD51B9">
              <w:rPr>
                <w:rFonts w:ascii="Arial" w:hAnsi="Arial" w:cs="Arial"/>
                <w:sz w:val="22"/>
                <w:szCs w:val="22"/>
              </w:rPr>
              <w:t xml:space="preserve">V nabídce je kalkulována podpora výrobce Dell „ProSupport with NBD Onsite Service“  s parametry:   </w:t>
            </w:r>
          </w:p>
          <w:p w:rsidR="00877251" w:rsidRPr="00DD51B9" w:rsidP="00877251" w14:paraId="2D3D4C5E" w14:textId="77777777">
            <w:pPr>
              <w:numPr>
                <w:ilvl w:val="0"/>
                <w:numId w:val="39"/>
              </w:numPr>
              <w:spacing w:after="0" w:line="259" w:lineRule="auto"/>
              <w:ind w:hanging="360"/>
              <w:rPr>
                <w:rFonts w:ascii="Arial" w:hAnsi="Arial" w:cs="Arial"/>
                <w:sz w:val="22"/>
                <w:szCs w:val="22"/>
              </w:rPr>
            </w:pPr>
            <w:r w:rsidRPr="00DD51B9">
              <w:rPr>
                <w:rFonts w:ascii="Arial" w:hAnsi="Arial" w:cs="Arial"/>
                <w:sz w:val="22"/>
                <w:szCs w:val="22"/>
              </w:rPr>
              <w:t xml:space="preserve">délka podpory 60 měsíců  </w:t>
            </w:r>
          </w:p>
          <w:p w:rsidR="00877251" w:rsidRPr="00DD51B9" w:rsidP="00877251" w14:paraId="23A78612" w14:textId="77777777">
            <w:pPr>
              <w:numPr>
                <w:ilvl w:val="0"/>
                <w:numId w:val="39"/>
              </w:numPr>
              <w:spacing w:after="0" w:line="259" w:lineRule="auto"/>
              <w:ind w:hanging="360"/>
              <w:rPr>
                <w:rFonts w:ascii="Arial" w:hAnsi="Arial" w:cs="Arial"/>
                <w:sz w:val="22"/>
                <w:szCs w:val="22"/>
              </w:rPr>
            </w:pPr>
            <w:r w:rsidRPr="00DD51B9">
              <w:rPr>
                <w:rFonts w:ascii="Arial" w:hAnsi="Arial" w:cs="Arial"/>
                <w:sz w:val="22"/>
                <w:szCs w:val="22"/>
              </w:rPr>
              <w:t xml:space="preserve">časové pokrytí služby 5x9 </w:t>
            </w:r>
          </w:p>
          <w:p w:rsidR="00877251" w:rsidRPr="00DD51B9" w:rsidP="00877251" w14:paraId="6CCF24CC" w14:textId="77777777">
            <w:pPr>
              <w:numPr>
                <w:ilvl w:val="0"/>
                <w:numId w:val="39"/>
              </w:numPr>
              <w:spacing w:after="0" w:line="259" w:lineRule="auto"/>
              <w:ind w:hanging="360"/>
              <w:rPr>
                <w:rFonts w:ascii="Arial" w:hAnsi="Arial" w:cs="Arial"/>
                <w:sz w:val="22"/>
                <w:szCs w:val="22"/>
              </w:rPr>
            </w:pPr>
            <w:r w:rsidRPr="00DD51B9">
              <w:rPr>
                <w:rFonts w:ascii="Arial" w:hAnsi="Arial" w:cs="Arial"/>
                <w:sz w:val="22"/>
                <w:szCs w:val="22"/>
              </w:rPr>
              <w:t xml:space="preserve">odezva next businessday </w:t>
            </w:r>
          </w:p>
          <w:p w:rsidR="00877251" w:rsidRPr="00DD51B9" w:rsidP="00620706" w14:paraId="61C39227" w14:textId="77777777">
            <w:pPr>
              <w:spacing w:after="0" w:line="259" w:lineRule="auto"/>
              <w:ind w:left="62"/>
              <w:rPr>
                <w:rFonts w:ascii="Arial" w:hAnsi="Arial" w:cs="Arial"/>
                <w:sz w:val="22"/>
                <w:szCs w:val="22"/>
              </w:rPr>
            </w:pPr>
            <w:r w:rsidRPr="00DD51B9">
              <w:rPr>
                <w:rFonts w:ascii="Arial" w:hAnsi="Arial" w:cs="Arial"/>
                <w:sz w:val="22"/>
                <w:szCs w:val="22"/>
              </w:rPr>
              <w:t xml:space="preserve"> </w:t>
            </w:r>
          </w:p>
          <w:p w:rsidR="00877251" w:rsidRPr="00DD51B9" w:rsidP="00620706" w14:paraId="26CADFAD" w14:textId="77777777">
            <w:pPr>
              <w:spacing w:after="0" w:line="259" w:lineRule="auto"/>
              <w:ind w:left="62"/>
              <w:rPr>
                <w:rFonts w:ascii="Arial" w:hAnsi="Arial" w:cs="Arial"/>
                <w:sz w:val="22"/>
                <w:szCs w:val="22"/>
              </w:rPr>
            </w:pPr>
            <w:r w:rsidRPr="00DD51B9">
              <w:rPr>
                <w:rFonts w:ascii="Arial" w:hAnsi="Arial" w:cs="Arial"/>
                <w:sz w:val="22"/>
                <w:szCs w:val="22"/>
              </w:rPr>
              <w:t xml:space="preserve">Nabídka obsahuje servisní služby pokrývající všechny požadavky zde uvedené.    </w:t>
            </w:r>
          </w:p>
        </w:tc>
      </w:tr>
      <w:tr w14:paraId="4E004DF6" w14:textId="77777777" w:rsidTr="00620706">
        <w:tblPrEx>
          <w:tblW w:w="9359" w:type="dxa"/>
          <w:tblInd w:w="0" w:type="dxa"/>
          <w:tblCellMar>
            <w:top w:w="45" w:type="dxa"/>
            <w:left w:w="48" w:type="dxa"/>
            <w:right w:w="45" w:type="dxa"/>
          </w:tblCellMar>
          <w:tblLook w:val="04A0"/>
        </w:tblPrEx>
        <w:trPr>
          <w:trHeight w:val="3366"/>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523A8866" w14:textId="77777777">
            <w:pPr>
              <w:spacing w:after="159" w:line="258" w:lineRule="auto"/>
              <w:ind w:right="60"/>
              <w:rPr>
                <w:rFonts w:ascii="Arial" w:hAnsi="Arial" w:cs="Arial"/>
                <w:sz w:val="22"/>
                <w:szCs w:val="22"/>
              </w:rPr>
            </w:pPr>
            <w:r w:rsidRPr="00DD51B9">
              <w:rPr>
                <w:rFonts w:ascii="Arial" w:hAnsi="Arial" w:cs="Arial"/>
                <w:sz w:val="22"/>
                <w:szCs w:val="22"/>
              </w:rPr>
              <w:t xml:space="preserve">Součástí předmětu plnění je doprava, instalace a konfigurace nového deduplikačního úložiště v rámci stávajícího prostředí zálohovacího systému EMC NetWorker včetně ověření funkčnosti, migrace dat provozních záloh ze stávajícího deduplikačního úložiště EMC Data Domain 6300 na nově dodané.   </w:t>
            </w:r>
          </w:p>
          <w:p w:rsidR="00877251" w:rsidRPr="00DD51B9" w:rsidP="00620706" w14:paraId="2A8F9828" w14:textId="77777777">
            <w:pPr>
              <w:spacing w:after="0" w:line="259" w:lineRule="auto"/>
              <w:ind w:right="63"/>
              <w:rPr>
                <w:rFonts w:ascii="Arial" w:hAnsi="Arial" w:cs="Arial"/>
                <w:sz w:val="22"/>
                <w:szCs w:val="22"/>
              </w:rPr>
            </w:pPr>
            <w:r w:rsidRPr="00DD51B9">
              <w:rPr>
                <w:rFonts w:ascii="Arial" w:hAnsi="Arial" w:cs="Arial"/>
                <w:sz w:val="22"/>
                <w:szCs w:val="22"/>
              </w:rPr>
              <w:t xml:space="preserve">Nastavení replikace kritických zálohovaných dat mezi novým diskovým úložištěm a stávajícím EMC Data Domain 6300.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61CD0DF9" w14:textId="77777777">
            <w:pPr>
              <w:spacing w:after="0" w:line="259" w:lineRule="auto"/>
              <w:ind w:right="72"/>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129DE253" w14:textId="77777777">
            <w:pPr>
              <w:spacing w:after="0" w:line="259" w:lineRule="auto"/>
              <w:rPr>
                <w:rFonts w:ascii="Arial" w:hAnsi="Arial" w:cs="Arial"/>
                <w:sz w:val="22"/>
                <w:szCs w:val="22"/>
              </w:rPr>
            </w:pPr>
            <w:r w:rsidRPr="00DD51B9">
              <w:rPr>
                <w:rFonts w:ascii="Arial" w:hAnsi="Arial" w:cs="Arial"/>
                <w:sz w:val="22"/>
                <w:szCs w:val="22"/>
              </w:rPr>
              <w:t xml:space="preserve">Vše uvedené je součástí nabídky. </w:t>
            </w:r>
          </w:p>
        </w:tc>
      </w:tr>
      <w:tr w14:paraId="28ECAC74" w14:textId="77777777" w:rsidTr="00620706">
        <w:tblPrEx>
          <w:tblW w:w="9359" w:type="dxa"/>
          <w:tblInd w:w="0" w:type="dxa"/>
          <w:tblCellMar>
            <w:top w:w="45" w:type="dxa"/>
            <w:left w:w="48" w:type="dxa"/>
            <w:right w:w="45" w:type="dxa"/>
          </w:tblCellMar>
          <w:tblLook w:val="04A0"/>
        </w:tblPrEx>
        <w:trPr>
          <w:trHeight w:val="1532"/>
        </w:trPr>
        <w:tc>
          <w:tcPr>
            <w:tcW w:w="4399" w:type="dxa"/>
            <w:tcBorders>
              <w:top w:val="single" w:sz="4" w:space="0" w:color="000000"/>
              <w:left w:val="single" w:sz="4" w:space="0" w:color="000000"/>
              <w:bottom w:val="single" w:sz="4" w:space="0" w:color="000000"/>
              <w:right w:val="single" w:sz="4" w:space="0" w:color="000000"/>
            </w:tcBorders>
          </w:tcPr>
          <w:p w:rsidR="00877251" w:rsidRPr="00DD51B9" w:rsidP="00620706" w14:paraId="7CBBBEF7" w14:textId="77777777">
            <w:pPr>
              <w:spacing w:after="0" w:line="259" w:lineRule="auto"/>
              <w:ind w:right="68"/>
              <w:rPr>
                <w:rFonts w:ascii="Arial" w:hAnsi="Arial" w:cs="Arial"/>
                <w:sz w:val="22"/>
                <w:szCs w:val="22"/>
              </w:rPr>
            </w:pPr>
            <w:r w:rsidRPr="00DD51B9">
              <w:rPr>
                <w:rFonts w:ascii="Arial" w:hAnsi="Arial" w:cs="Arial"/>
                <w:sz w:val="22"/>
                <w:szCs w:val="22"/>
              </w:rPr>
              <w:t xml:space="preserve">Instalace a konfigurace dodaného zařízení v rámci stávajícího prostředí zálohovacího systému EMC NetWorker bude provedena zaměstnanci dodavatele s certifikací pro nabízené zařízení a zálohovací systém EMC NetWorker. </w:t>
            </w:r>
          </w:p>
        </w:tc>
        <w:tc>
          <w:tcPr>
            <w:tcW w:w="1133"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4999F973" w14:textId="77777777">
            <w:pPr>
              <w:spacing w:after="0" w:line="259" w:lineRule="auto"/>
              <w:ind w:right="72"/>
              <w:jc w:val="center"/>
              <w:rPr>
                <w:rFonts w:ascii="Arial" w:hAnsi="Arial" w:cs="Arial"/>
                <w:sz w:val="22"/>
                <w:szCs w:val="22"/>
              </w:rPr>
            </w:pPr>
            <w:r w:rsidRPr="00DD51B9">
              <w:rPr>
                <w:rFonts w:ascii="Arial" w:hAnsi="Arial" w:cs="Arial"/>
                <w:sz w:val="22"/>
                <w:szCs w:val="22"/>
              </w:rPr>
              <w:t xml:space="preserve">ANO </w:t>
            </w:r>
          </w:p>
        </w:tc>
        <w:tc>
          <w:tcPr>
            <w:tcW w:w="3827" w:type="dxa"/>
            <w:tcBorders>
              <w:top w:val="single" w:sz="4" w:space="0" w:color="000000"/>
              <w:left w:val="single" w:sz="4" w:space="0" w:color="000000"/>
              <w:bottom w:val="single" w:sz="4" w:space="0" w:color="000000"/>
              <w:right w:val="single" w:sz="4" w:space="0" w:color="000000"/>
            </w:tcBorders>
            <w:vAlign w:val="center"/>
          </w:tcPr>
          <w:p w:rsidR="00877251" w:rsidRPr="00DD51B9" w:rsidP="00620706" w14:paraId="33038406" w14:textId="77777777">
            <w:pPr>
              <w:spacing w:after="0" w:line="259" w:lineRule="auto"/>
              <w:rPr>
                <w:rFonts w:ascii="Arial" w:hAnsi="Arial" w:cs="Arial"/>
                <w:sz w:val="22"/>
                <w:szCs w:val="22"/>
              </w:rPr>
            </w:pPr>
            <w:r w:rsidRPr="00DD51B9">
              <w:rPr>
                <w:rFonts w:ascii="Arial" w:hAnsi="Arial" w:cs="Arial"/>
                <w:sz w:val="22"/>
                <w:szCs w:val="22"/>
              </w:rPr>
              <w:t xml:space="preserve">Instalaci a konfiguraci bude provedena zaměstnanci s náležitou ceritfikací. </w:t>
            </w:r>
          </w:p>
        </w:tc>
      </w:tr>
    </w:tbl>
    <w:p w:rsidR="00877251" w:rsidRPr="00DD51B9" w:rsidP="00877251" w14:paraId="1AA0A28E" w14:textId="77777777">
      <w:pPr>
        <w:spacing w:after="0" w:line="259" w:lineRule="auto"/>
        <w:rPr>
          <w:rFonts w:ascii="Arial" w:hAnsi="Arial" w:cs="Arial"/>
        </w:rPr>
      </w:pPr>
      <w:r w:rsidRPr="00DD51B9">
        <w:rPr>
          <w:rFonts w:ascii="Arial" w:eastAsia="Calibri" w:hAnsi="Arial" w:cs="Arial"/>
        </w:rPr>
        <w:t xml:space="preserve"> </w:t>
      </w:r>
    </w:p>
    <w:p w:rsidR="00877251" w:rsidP="00BB2E82" w14:paraId="2A3D61A4" w14:textId="77777777">
      <w:pPr>
        <w:keepNext/>
        <w:spacing w:before="120" w:after="120" w:line="240" w:lineRule="auto"/>
        <w:jc w:val="center"/>
        <w:outlineLvl w:val="0"/>
        <w:rPr>
          <w:rFonts w:ascii="Arial" w:eastAsia="Calibri" w:hAnsi="Arial" w:cs="Arial"/>
          <w:b/>
          <w:bCs/>
          <w:kern w:val="32"/>
          <w:sz w:val="28"/>
          <w:szCs w:val="28"/>
          <w:lang w:eastAsia="cs-CZ"/>
        </w:rPr>
      </w:pPr>
    </w:p>
    <w:sectPr w:rsidSect="0093627A">
      <w:headerReference w:type="default" r:id="rId11"/>
      <w:pgSz w:w="11906" w:h="16838"/>
      <w:pgMar w:top="1134" w:right="1021" w:bottom="1276" w:left="1077" w:header="709"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E59" w:rsidRPr="00C862B5" w:rsidP="004A3F49" w14:paraId="66D57345" w14:textId="77777777">
    <w:pPr>
      <w:pStyle w:val="Footer"/>
      <w:pBdr>
        <w:top w:val="single" w:sz="4" w:space="1" w:color="auto"/>
      </w:pBdr>
      <w:jc w:val="right"/>
      <w:rPr>
        <w:rFonts w:cs="Arial"/>
        <w:sz w:val="20"/>
        <w:szCs w:val="20"/>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Pr>
        <w:rFonts w:cs="Arial"/>
        <w:bCs/>
        <w:noProof/>
        <w:sz w:val="20"/>
        <w:szCs w:val="20"/>
      </w:rPr>
      <w:t>10</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Pr>
        <w:rFonts w:cs="Arial"/>
        <w:bCs/>
        <w:noProof/>
        <w:sz w:val="20"/>
        <w:szCs w:val="20"/>
      </w:rPr>
      <w:t>11</w:t>
    </w:r>
    <w:r>
      <w:rPr>
        <w:rFonts w:cs="Arial"/>
        <w:bCs/>
        <w:sz w:val="20"/>
        <w:szCs w:val="20"/>
      </w:rPr>
      <w:fldChar w:fldCharType="end"/>
    </w:r>
    <w:r w:rsidRPr="00C862B5">
      <w:rPr>
        <w:rFonts w:cs="Arial"/>
        <w:bCs/>
        <w:sz w:val="20"/>
        <w:szCs w:val="20"/>
      </w:rPr>
      <w:t>)</w:t>
    </w:r>
  </w:p>
  <w:p w:rsidR="00531E59" w14:paraId="25B414E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E59" w:rsidRPr="004627C5" w:rsidP="004A3F49" w14:paraId="00B28DB9" w14:textId="4072C3DD">
    <w:pPr>
      <w:pStyle w:val="Footer"/>
      <w:pBdr>
        <w:top w:val="single" w:sz="4" w:space="1" w:color="auto"/>
      </w:pBdr>
      <w:jc w:val="right"/>
      <w:rPr>
        <w:rFonts w:ascii="Arial" w:hAnsi="Arial" w:cs="Arial"/>
        <w:sz w:val="20"/>
        <w:szCs w:val="20"/>
      </w:rPr>
    </w:pPr>
    <w:r w:rsidRPr="004627C5">
      <w:rPr>
        <w:rFonts w:ascii="Arial" w:hAnsi="Arial" w:cs="Arial"/>
        <w:sz w:val="20"/>
        <w:szCs w:val="20"/>
      </w:rPr>
      <w:t xml:space="preserve">Stránka </w:t>
    </w:r>
    <w:r w:rsidRPr="004627C5">
      <w:rPr>
        <w:rFonts w:ascii="Arial" w:hAnsi="Arial" w:cs="Arial"/>
        <w:bCs/>
        <w:sz w:val="20"/>
        <w:szCs w:val="20"/>
      </w:rPr>
      <w:fldChar w:fldCharType="begin"/>
    </w:r>
    <w:r w:rsidRPr="004627C5">
      <w:rPr>
        <w:rFonts w:ascii="Arial" w:hAnsi="Arial" w:cs="Arial"/>
        <w:bCs/>
        <w:sz w:val="20"/>
        <w:szCs w:val="20"/>
      </w:rPr>
      <w:instrText>PAGE</w:instrText>
    </w:r>
    <w:r w:rsidRPr="004627C5">
      <w:rPr>
        <w:rFonts w:ascii="Arial" w:hAnsi="Arial" w:cs="Arial"/>
        <w:bCs/>
        <w:sz w:val="20"/>
        <w:szCs w:val="20"/>
      </w:rPr>
      <w:fldChar w:fldCharType="separate"/>
    </w:r>
    <w:r w:rsidRPr="004627C5">
      <w:rPr>
        <w:rFonts w:ascii="Arial" w:hAnsi="Arial" w:cs="Arial"/>
        <w:bCs/>
        <w:sz w:val="20"/>
        <w:szCs w:val="20"/>
      </w:rPr>
      <w:t>18</w:t>
    </w:r>
    <w:r w:rsidRPr="004627C5">
      <w:rPr>
        <w:rFonts w:ascii="Arial" w:hAnsi="Arial" w:cs="Arial"/>
        <w:bCs/>
        <w:sz w:val="20"/>
        <w:szCs w:val="20"/>
      </w:rPr>
      <w:fldChar w:fldCharType="end"/>
    </w:r>
    <w:r w:rsidRPr="004627C5">
      <w:rPr>
        <w:rFonts w:ascii="Arial" w:hAnsi="Arial" w:cs="Arial"/>
        <w:sz w:val="20"/>
        <w:szCs w:val="20"/>
      </w:rPr>
      <w:t xml:space="preserve"> (celkem </w:t>
    </w:r>
    <w:r w:rsidR="00040204">
      <w:rPr>
        <w:rFonts w:ascii="Arial" w:hAnsi="Arial" w:cs="Arial"/>
        <w:bCs/>
        <w:sz w:val="20"/>
        <w:szCs w:val="20"/>
      </w:rPr>
      <w:t>17</w:t>
    </w:r>
    <w:r w:rsidRPr="004627C5">
      <w:rPr>
        <w:rFonts w:ascii="Arial" w:hAnsi="Arial" w:cs="Arial"/>
        <w:bCs/>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E59" w:rsidRPr="002630E3" w:rsidP="004A3F49" w14:paraId="4C6497D7" w14:textId="77777777">
    <w:pPr>
      <w:pStyle w:val="Header"/>
      <w:jc w:val="right"/>
      <w:rPr>
        <w:rFonts w:cs="Arial"/>
      </w:rPr>
    </w:pPr>
    <w:r w:rsidRPr="002630E3">
      <w:rPr>
        <w:rFonts w:cs="Arial"/>
      </w:rPr>
      <w:t xml:space="preserve">Příloha </w:t>
    </w:r>
    <w:r>
      <w:rPr>
        <w:rFonts w:cs="Arial"/>
      </w:rPr>
      <w:t>D výzvy k podání nabídky</w:t>
    </w:r>
    <w:r w:rsidRPr="002630E3">
      <w:rPr>
        <w:rFonts w:cs="Arial"/>
      </w:rPr>
      <w:t xml:space="preserve"> – </w:t>
    </w:r>
    <w:r>
      <w:rPr>
        <w:rFonts w:cs="Arial"/>
      </w:rPr>
      <w:t>Vzor kupní smlouvy</w:t>
    </w:r>
  </w:p>
  <w:p w:rsidR="00531E59" w:rsidRPr="005F6B59" w:rsidP="004A3F49" w14:paraId="4A21E6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E59" w:rsidRPr="008775C9" w:rsidP="00932064" w14:paraId="69D98210" w14:textId="762B3069">
    <w:pPr>
      <w:pStyle w:val="Header"/>
      <w:jc w:val="both"/>
      <w:rPr>
        <w:rFonts w:ascii="Arial" w:hAnsi="Arial" w:cs="Arial"/>
        <w:b/>
        <w:bCs/>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9855"/>
      <w:gridCol w:w="222"/>
    </w:tblGrid>
    <w:tr w14:paraId="7474E20A" w14:textId="77777777" w:rsidTr="004F20D4">
      <w:tblPrEx>
        <w:tblW w:w="9889" w:type="dxa"/>
        <w:tblLook w:val="04A0"/>
      </w:tblPrEx>
      <w:tc>
        <w:tcPr>
          <w:tcW w:w="6345" w:type="dxa"/>
          <w:shd w:val="clear" w:color="auto" w:fill="auto"/>
        </w:tcPr>
        <w:p w:rsidR="00932064" w:rsidRPr="00BF6500" w:rsidP="00932064" w14:paraId="5BD57F9A" w14:textId="77777777">
          <w:pPr>
            <w:tabs>
              <w:tab w:val="center" w:pos="4536"/>
              <w:tab w:val="right" w:pos="9072"/>
            </w:tabs>
            <w:spacing w:after="120"/>
            <w:rPr>
              <w:rFonts w:ascii="Calibri" w:hAnsi="Calibri"/>
            </w:rPr>
          </w:pPr>
          <w:r w:rsidRPr="00BF6500">
            <w:rPr>
              <w:rFonts w:ascii="Calibri" w:hAnsi="Calibri"/>
              <w:noProof/>
            </w:rPr>
            <w:drawing>
              <wp:inline distT="0" distB="0" distL="0" distR="0">
                <wp:extent cx="2209800" cy="647700"/>
                <wp:effectExtent l="0" t="0" r="0" b="0"/>
                <wp:docPr id="737949233"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49233"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800" cy="647700"/>
                        </a:xfrm>
                        <a:prstGeom prst="rect">
                          <a:avLst/>
                        </a:prstGeom>
                        <a:noFill/>
                        <a:ln>
                          <a:noFill/>
                        </a:ln>
                      </pic:spPr>
                    </pic:pic>
                  </a:graphicData>
                </a:graphic>
              </wp:inline>
            </w:drawing>
          </w:r>
        </w:p>
        <w:tbl>
          <w:tblPr>
            <w:tblStyle w:val="Mkatabulky4"/>
            <w:tblW w:w="9639" w:type="dxa"/>
            <w:tblInd w:w="0"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9639"/>
          </w:tblGrid>
          <w:tr w14:paraId="477ED88B" w14:textId="77777777" w:rsidTr="004F20D4">
            <w:tblPrEx>
              <w:tblW w:w="9639" w:type="dxa"/>
              <w:tblInd w:w="0"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tcBorders>
                  <w:top w:val="single" w:sz="4" w:space="0" w:color="161A48"/>
                  <w:left w:val="nil"/>
                  <w:bottom w:val="single" w:sz="12" w:space="0" w:color="auto"/>
                  <w:right w:val="nil"/>
                </w:tcBorders>
                <w:hideMark/>
              </w:tcPr>
              <w:bookmarkStart w:id="0" w:name="_Hlk192145854" w:displacedByCustomXml="next"/>
              <w:sdt>
                <w:sdtPr>
                  <w:rPr>
                    <w:rFonts w:ascii="Arial" w:eastAsia="Arial" w:hAnsi="Arial" w:cs="Arial"/>
                    <w:b/>
                    <w:color w:val="161A48"/>
                    <w:sz w:val="28"/>
                  </w:rPr>
                  <w:alias w:val="Útvar"/>
                  <w:tag w:val="Útvar"/>
                  <w:id w:val="-444457324"/>
                  <w:placeholder>
                    <w:docPart w:val="46926FE0AD214449881F53BAEC643A45"/>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932064" w:rsidRPr="00BF6500" w:rsidP="00932064" w14:paraId="288D1582" w14:textId="77777777">
                    <w:pPr>
                      <w:spacing w:before="60" w:after="60" w:line="360" w:lineRule="auto"/>
                      <w:ind w:left="-108"/>
                      <w:jc w:val="both"/>
                      <w:rPr>
                        <w:rFonts w:eastAsia="Arial" w:cs="Arial"/>
                        <w:b/>
                        <w:color w:val="161A48"/>
                        <w:sz w:val="28"/>
                      </w:rPr>
                    </w:pPr>
                    <w:r>
                      <w:rPr>
                        <w:rFonts w:ascii="Arial" w:eastAsia="Arial" w:hAnsi="Arial" w:cs="Arial"/>
                        <w:b/>
                        <w:color w:val="161A48"/>
                        <w:sz w:val="28"/>
                      </w:rPr>
                      <w:t>Odbor informatiky</w:t>
                    </w:r>
                  </w:p>
                  <w:bookmarkEnd w:id="0" w:displacedByCustomXml="next"/>
                </w:sdtContent>
              </w:sdt>
            </w:tc>
          </w:tr>
        </w:tbl>
        <w:p w:rsidR="00932064" w:rsidRPr="006B4C1F" w:rsidP="00932064" w14:paraId="68462ECD" w14:textId="77777777">
          <w:pPr>
            <w:tabs>
              <w:tab w:val="left" w:pos="1206"/>
            </w:tabs>
            <w:rPr>
              <w:rFonts w:ascii="Cambria" w:hAnsi="Cambria" w:cs="Arial"/>
              <w:color w:val="1F497D"/>
              <w:sz w:val="28"/>
              <w:szCs w:val="26"/>
              <w:lang w:eastAsia="cs-CZ"/>
            </w:rPr>
          </w:pPr>
        </w:p>
      </w:tc>
      <w:tc>
        <w:tcPr>
          <w:tcW w:w="3544" w:type="dxa"/>
          <w:shd w:val="clear" w:color="auto" w:fill="auto"/>
        </w:tcPr>
        <w:p w:rsidR="00932064" w:rsidRPr="002F29C7" w:rsidP="00932064" w14:paraId="677E544C" w14:textId="77777777">
          <w:pPr>
            <w:tabs>
              <w:tab w:val="center" w:pos="4536"/>
              <w:tab w:val="right" w:pos="9072"/>
            </w:tabs>
            <w:jc w:val="right"/>
            <w:rPr>
              <w:lang w:eastAsia="cs-CZ"/>
            </w:rPr>
          </w:pPr>
        </w:p>
      </w:tc>
    </w:tr>
  </w:tbl>
  <w:p w:rsidR="00531E59" w:rsidRPr="00D33DED" w:rsidP="004A3F49" w14:paraId="494E07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AC3" w:rsidRPr="000039A9" w:rsidP="004A3F49" w14:paraId="117DAC4B" w14:textId="01B1FEF9">
    <w:pPr>
      <w:pStyle w:val="Header"/>
      <w:jc w:val="right"/>
      <w:rPr>
        <w:rFonts w:ascii="Arial" w:hAnsi="Arial" w:cs="Arial"/>
        <w:i/>
      </w:rPr>
    </w:pPr>
    <w:r>
      <w:rPr>
        <w:rFonts w:ascii="Arial" w:hAnsi="Arial" w:cs="Arial"/>
        <w:i/>
      </w:rPr>
      <w:t>P</w:t>
    </w:r>
    <w:r w:rsidRPr="00A14AC3">
      <w:rPr>
        <w:rFonts w:ascii="Arial" w:hAnsi="Arial" w:cs="Arial"/>
        <w:i/>
      </w:rPr>
      <w:t xml:space="preserve">říloha č. </w:t>
    </w:r>
    <w:r>
      <w:rPr>
        <w:rFonts w:ascii="Arial" w:hAnsi="Arial" w:cs="Arial"/>
        <w:i/>
      </w:rPr>
      <w:t>1 smlouvy – Technická specifikace zboží</w:t>
    </w:r>
    <w:r w:rsidRPr="000039A9">
      <w:rPr>
        <w:rFonts w:ascii="Arial" w:hAnsi="Arial" w:cs="Arial"/>
        <w:i/>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D4267"/>
    <w:multiLevelType w:val="hybridMultilevel"/>
    <w:tmpl w:val="717AD2EC"/>
    <w:lvl w:ilvl="0">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4E0818"/>
    <w:multiLevelType w:val="multilevel"/>
    <w:tmpl w:val="D3EA628A"/>
    <w:lvl w:ilvl="0">
      <w:start w:val="1"/>
      <w:numFmt w:val="decimal"/>
      <w:lvlText w:val="%1"/>
      <w:lvlJc w:val="left"/>
      <w:pPr>
        <w:ind w:left="360" w:hanging="360"/>
      </w:pPr>
    </w:lvl>
    <w:lvl w:ilvl="1">
      <w:start w:val="1"/>
      <w:numFmt w:val="decimal"/>
      <w:pStyle w:val="Nadpis11"/>
      <w:lvlText w:val="5.%2."/>
      <w:lvlJc w:val="lef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90955A5"/>
    <w:multiLevelType w:val="hybridMultilevel"/>
    <w:tmpl w:val="DADCA71A"/>
    <w:lvl w:ilvl="0">
      <w:start w:val="1"/>
      <w:numFmt w:val="lowerLetter"/>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C6810E2"/>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B91354"/>
    <w:multiLevelType w:val="hybridMultilevel"/>
    <w:tmpl w:val="027E0408"/>
    <w:lvl w:ilvl="0">
      <w:start w:val="1"/>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7">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547E9A"/>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6712A48"/>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582DB7"/>
    <w:multiLevelType w:val="hybridMultilevel"/>
    <w:tmpl w:val="CA34C2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E013E72"/>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0214003"/>
    <w:multiLevelType w:val="hybridMultilevel"/>
    <w:tmpl w:val="D43A639E"/>
    <w:lvl w:ilvl="0">
      <w:start w:val="1"/>
      <w:numFmt w:val="decimal"/>
      <w:lvlText w:val="%1."/>
      <w:lvlJc w:val="left"/>
      <w:pPr>
        <w:tabs>
          <w:tab w:val="num" w:pos="360"/>
        </w:tabs>
        <w:ind w:left="360" w:hanging="360"/>
      </w:pPr>
      <w:rPr>
        <w:rFonts w:hint="default"/>
      </w:rPr>
    </w:lvl>
    <w:lvl w:ilvl="1">
      <w:start w:val="0"/>
      <w:numFmt w:val="bullet"/>
      <w:lvlText w:val="-"/>
      <w:lvlJc w:val="left"/>
      <w:pPr>
        <w:tabs>
          <w:tab w:val="num" w:pos="1080"/>
        </w:tabs>
        <w:ind w:left="1080" w:hanging="360"/>
      </w:pPr>
      <w:rPr>
        <w:rFonts w:ascii="Times New Roman" w:eastAsia="Calibri"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2D56D69"/>
    <w:multiLevelType w:val="hybridMultilevel"/>
    <w:tmpl w:val="60D43A54"/>
    <w:lvl w:ilvl="0">
      <w:start w:val="1"/>
      <w:numFmt w:val="decimal"/>
      <w:lvlText w:val="%1."/>
      <w:lvlJc w:val="left"/>
      <w:pPr>
        <w:ind w:left="785" w:hanging="360"/>
      </w:pPr>
      <w:rPr>
        <w:rFonts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17">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7761B2"/>
    <w:multiLevelType w:val="hybridMultilevel"/>
    <w:tmpl w:val="7A14E8E8"/>
    <w:lvl w:ilvl="0">
      <w:start w:val="1"/>
      <w:numFmt w:val="decimal"/>
      <w:lvlText w:val="%1."/>
      <w:lvlJc w:val="left"/>
      <w:pPr>
        <w:tabs>
          <w:tab w:val="num" w:pos="502"/>
        </w:tabs>
        <w:ind w:left="502" w:hanging="360"/>
      </w:pPr>
      <w:rPr>
        <w:rFonts w:hint="default"/>
        <w:b w:val="0"/>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9">
    <w:nsid w:val="380B2A8E"/>
    <w:multiLevelType w:val="hybridMultilevel"/>
    <w:tmpl w:val="4AE6AD5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7101D"/>
    <w:multiLevelType w:val="hybridMultilevel"/>
    <w:tmpl w:val="CD70FC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223E6"/>
    <w:multiLevelType w:val="hybridMultilevel"/>
    <w:tmpl w:val="AE14A5B4"/>
    <w:lvl w:ilvl="0">
      <w:start w:val="0"/>
      <w:numFmt w:val="bullet"/>
      <w:lvlText w:val="-"/>
      <w:lvlJc w:val="left"/>
      <w:pPr>
        <w:ind w:left="1145" w:hanging="360"/>
      </w:pPr>
      <w:rPr>
        <w:rFonts w:ascii="Arial" w:eastAsia="Calibri" w:hAnsi="Arial" w:cs="Aria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2">
    <w:nsid w:val="45CA16D7"/>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964F59"/>
    <w:multiLevelType w:val="hybridMultilevel"/>
    <w:tmpl w:val="62863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25">
    <w:nsid w:val="49F74ED9"/>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4A101409"/>
    <w:multiLevelType w:val="hybridMultilevel"/>
    <w:tmpl w:val="399A3A18"/>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192C86"/>
    <w:multiLevelType w:val="hybridMultilevel"/>
    <w:tmpl w:val="9A10023C"/>
    <w:lvl w:ilvl="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47421A0"/>
    <w:multiLevelType w:val="hybridMultilevel"/>
    <w:tmpl w:val="19AC56D2"/>
    <w:lvl w:ilvl="0">
      <w:start w:val="0"/>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29">
    <w:nsid w:val="56512C50"/>
    <w:multiLevelType w:val="multilevel"/>
    <w:tmpl w:val="D8D86E52"/>
    <w:lvl w:ilvl="0">
      <w:start w:val="6"/>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5C9E75DB"/>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D333E1F"/>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DA3AA3"/>
    <w:multiLevelType w:val="multilevel"/>
    <w:tmpl w:val="8156201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F637AD2"/>
    <w:multiLevelType w:val="hybridMultilevel"/>
    <w:tmpl w:val="B9269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756211EE"/>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756B58FB"/>
    <w:multiLevelType w:val="hybridMultilevel"/>
    <w:tmpl w:val="98BCE7B4"/>
    <w:lvl w:ilvl="0">
      <w:start w:val="1"/>
      <w:numFmt w:val="lowerLetter"/>
      <w:lvlText w:val="%1)"/>
      <w:lvlJc w:val="left"/>
      <w:pPr>
        <w:ind w:left="785" w:hanging="360"/>
      </w:pPr>
      <w:rPr>
        <w:rFonts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37">
    <w:nsid w:val="79557FCD"/>
    <w:multiLevelType w:val="hybridMultilevel"/>
    <w:tmpl w:val="EC0E83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824205"/>
    <w:multiLevelType w:val="hybridMultilevel"/>
    <w:tmpl w:val="D498799E"/>
    <w:lvl w:ilvl="0">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7"/>
  </w:num>
  <w:num w:numId="3">
    <w:abstractNumId w:val="25"/>
  </w:num>
  <w:num w:numId="4">
    <w:abstractNumId w:val="13"/>
  </w:num>
  <w:num w:numId="5">
    <w:abstractNumId w:val="35"/>
  </w:num>
  <w:num w:numId="6">
    <w:abstractNumId w:val="14"/>
  </w:num>
  <w:num w:numId="7">
    <w:abstractNumId w:val="34"/>
  </w:num>
  <w:num w:numId="8">
    <w:abstractNumId w:val="18"/>
  </w:num>
  <w:num w:numId="9">
    <w:abstractNumId w:val="23"/>
  </w:num>
  <w:num w:numId="10">
    <w:abstractNumId w:val="31"/>
  </w:num>
  <w:num w:numId="11">
    <w:abstractNumId w:val="1"/>
  </w:num>
  <w:num w:numId="12">
    <w:abstractNumId w:val="30"/>
  </w:num>
  <w:num w:numId="13">
    <w:abstractNumId w:val="4"/>
  </w:num>
  <w:num w:numId="14">
    <w:abstractNumId w:val="33"/>
  </w:num>
  <w:num w:numId="15">
    <w:abstractNumId w:val="5"/>
  </w:num>
  <w:num w:numId="16">
    <w:abstractNumId w:val="10"/>
  </w:num>
  <w:num w:numId="17">
    <w:abstractNumId w:val="28"/>
  </w:num>
  <w:num w:numId="18">
    <w:abstractNumId w:val="19"/>
  </w:num>
  <w:num w:numId="19">
    <w:abstractNumId w:val="8"/>
  </w:num>
  <w:num w:numId="20">
    <w:abstractNumId w:val="9"/>
  </w:num>
  <w:num w:numId="21">
    <w:abstractNumId w:val="16"/>
  </w:num>
  <w:num w:numId="22">
    <w:abstractNumId w:val="36"/>
  </w:num>
  <w:num w:numId="23">
    <w:abstractNumId w:val="26"/>
  </w:num>
  <w:num w:numId="24">
    <w:abstractNumId w:val="15"/>
  </w:num>
  <w:num w:numId="25">
    <w:abstractNumId w:val="20"/>
  </w:num>
  <w:num w:numId="26">
    <w:abstractNumId w:val="22"/>
  </w:num>
  <w:num w:numId="27">
    <w:abstractNumId w:val="12"/>
  </w:num>
  <w:num w:numId="28">
    <w:abstractNumId w:val="21"/>
  </w:num>
  <w:num w:numId="29">
    <w:abstractNumId w:val="2"/>
    <w:lvlOverride w:ilvl="0">
      <w:lvl w:ilvl="0">
        <w:start w:val="1"/>
        <w:numFmt w:val="decimal"/>
        <w:lvlText w:val="%1"/>
        <w:lvlJc w:val="left"/>
        <w:pPr>
          <w:ind w:left="360" w:hanging="360"/>
        </w:p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30">
    <w:abstractNumId w:val="32"/>
  </w:num>
  <w:num w:numId="31">
    <w:abstractNumId w:val="3"/>
  </w:num>
  <w:num w:numId="32">
    <w:abstractNumId w:val="37"/>
  </w:num>
  <w:num w:numId="33">
    <w:abstractNumId w:val="24"/>
  </w:num>
  <w:num w:numId="34">
    <w:abstractNumId w:val="29"/>
  </w:num>
  <w:num w:numId="35">
    <w:abstractNumId w:val="11"/>
  </w:num>
  <w:num w:numId="36">
    <w:abstractNumId w:val="6"/>
  </w:num>
  <w:num w:numId="37">
    <w:abstractNumId w:val="38"/>
  </w:num>
  <w:num w:numId="38">
    <w:abstractNumId w:val="2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82"/>
    <w:rsid w:val="00002D9C"/>
    <w:rsid w:val="000039A9"/>
    <w:rsid w:val="00014394"/>
    <w:rsid w:val="00017892"/>
    <w:rsid w:val="00040204"/>
    <w:rsid w:val="000465E8"/>
    <w:rsid w:val="00051E58"/>
    <w:rsid w:val="00057B46"/>
    <w:rsid w:val="00080969"/>
    <w:rsid w:val="000A5557"/>
    <w:rsid w:val="000C2158"/>
    <w:rsid w:val="000C2FB7"/>
    <w:rsid w:val="000E6440"/>
    <w:rsid w:val="000F51A4"/>
    <w:rsid w:val="00157A05"/>
    <w:rsid w:val="001773ED"/>
    <w:rsid w:val="00184D9A"/>
    <w:rsid w:val="001B35F0"/>
    <w:rsid w:val="001B6610"/>
    <w:rsid w:val="001C0487"/>
    <w:rsid w:val="001C4323"/>
    <w:rsid w:val="001D14C9"/>
    <w:rsid w:val="001D2F86"/>
    <w:rsid w:val="001D603F"/>
    <w:rsid w:val="001E3A2C"/>
    <w:rsid w:val="001E5838"/>
    <w:rsid w:val="002037DD"/>
    <w:rsid w:val="002268CB"/>
    <w:rsid w:val="002630E3"/>
    <w:rsid w:val="0026375A"/>
    <w:rsid w:val="0026563C"/>
    <w:rsid w:val="002770EA"/>
    <w:rsid w:val="00280697"/>
    <w:rsid w:val="0028071A"/>
    <w:rsid w:val="002B40B3"/>
    <w:rsid w:val="002B658C"/>
    <w:rsid w:val="002D4E99"/>
    <w:rsid w:val="002F29C7"/>
    <w:rsid w:val="00307DA8"/>
    <w:rsid w:val="00324EB8"/>
    <w:rsid w:val="003329BB"/>
    <w:rsid w:val="00333F06"/>
    <w:rsid w:val="0034517E"/>
    <w:rsid w:val="00377349"/>
    <w:rsid w:val="003A2C66"/>
    <w:rsid w:val="003A7EDA"/>
    <w:rsid w:val="003B4669"/>
    <w:rsid w:val="003B5438"/>
    <w:rsid w:val="003D3F65"/>
    <w:rsid w:val="003D66B1"/>
    <w:rsid w:val="003D743F"/>
    <w:rsid w:val="003F2866"/>
    <w:rsid w:val="00405598"/>
    <w:rsid w:val="00415E31"/>
    <w:rsid w:val="004218B5"/>
    <w:rsid w:val="004627C5"/>
    <w:rsid w:val="00472B43"/>
    <w:rsid w:val="00492543"/>
    <w:rsid w:val="004A3F49"/>
    <w:rsid w:val="004E1CCB"/>
    <w:rsid w:val="00517E1E"/>
    <w:rsid w:val="00531E59"/>
    <w:rsid w:val="00534518"/>
    <w:rsid w:val="00543DDA"/>
    <w:rsid w:val="0054638F"/>
    <w:rsid w:val="00586EB3"/>
    <w:rsid w:val="005905BB"/>
    <w:rsid w:val="005A1443"/>
    <w:rsid w:val="005B03F7"/>
    <w:rsid w:val="005C3D14"/>
    <w:rsid w:val="005C70CA"/>
    <w:rsid w:val="005E4974"/>
    <w:rsid w:val="005F2298"/>
    <w:rsid w:val="005F6B59"/>
    <w:rsid w:val="005F726B"/>
    <w:rsid w:val="005F7D20"/>
    <w:rsid w:val="006179B2"/>
    <w:rsid w:val="00617D34"/>
    <w:rsid w:val="00620706"/>
    <w:rsid w:val="006338E4"/>
    <w:rsid w:val="006511EC"/>
    <w:rsid w:val="00654F1A"/>
    <w:rsid w:val="00694009"/>
    <w:rsid w:val="006B1C56"/>
    <w:rsid w:val="006B4C1F"/>
    <w:rsid w:val="006B7CC2"/>
    <w:rsid w:val="006D293A"/>
    <w:rsid w:val="006E2A62"/>
    <w:rsid w:val="006E4299"/>
    <w:rsid w:val="006E789E"/>
    <w:rsid w:val="00742389"/>
    <w:rsid w:val="00755F54"/>
    <w:rsid w:val="00773A68"/>
    <w:rsid w:val="00782EBC"/>
    <w:rsid w:val="00792165"/>
    <w:rsid w:val="0079506C"/>
    <w:rsid w:val="007A59FE"/>
    <w:rsid w:val="007B6DCD"/>
    <w:rsid w:val="007D37D1"/>
    <w:rsid w:val="007E08B0"/>
    <w:rsid w:val="007E7533"/>
    <w:rsid w:val="00832B0A"/>
    <w:rsid w:val="008342C1"/>
    <w:rsid w:val="00841CF3"/>
    <w:rsid w:val="008420E5"/>
    <w:rsid w:val="00842681"/>
    <w:rsid w:val="008512B6"/>
    <w:rsid w:val="008556E0"/>
    <w:rsid w:val="00857B64"/>
    <w:rsid w:val="00877251"/>
    <w:rsid w:val="008775C9"/>
    <w:rsid w:val="008813C4"/>
    <w:rsid w:val="00881ACF"/>
    <w:rsid w:val="00893C0F"/>
    <w:rsid w:val="0091224F"/>
    <w:rsid w:val="00932064"/>
    <w:rsid w:val="0093627A"/>
    <w:rsid w:val="00965BD4"/>
    <w:rsid w:val="00966067"/>
    <w:rsid w:val="00967EAD"/>
    <w:rsid w:val="00974ADC"/>
    <w:rsid w:val="009934F8"/>
    <w:rsid w:val="009A1460"/>
    <w:rsid w:val="009E0F92"/>
    <w:rsid w:val="009F7CA6"/>
    <w:rsid w:val="00A12547"/>
    <w:rsid w:val="00A145F0"/>
    <w:rsid w:val="00A14AC3"/>
    <w:rsid w:val="00A15282"/>
    <w:rsid w:val="00A32FB7"/>
    <w:rsid w:val="00A80BF0"/>
    <w:rsid w:val="00A85050"/>
    <w:rsid w:val="00A85A8D"/>
    <w:rsid w:val="00AB41D0"/>
    <w:rsid w:val="00AC46AA"/>
    <w:rsid w:val="00AD126C"/>
    <w:rsid w:val="00AD42D7"/>
    <w:rsid w:val="00AD6030"/>
    <w:rsid w:val="00AF3E16"/>
    <w:rsid w:val="00B3426A"/>
    <w:rsid w:val="00B447CB"/>
    <w:rsid w:val="00B4540E"/>
    <w:rsid w:val="00B55A9A"/>
    <w:rsid w:val="00B831DB"/>
    <w:rsid w:val="00B85EDD"/>
    <w:rsid w:val="00BB2E82"/>
    <w:rsid w:val="00BB3A88"/>
    <w:rsid w:val="00BC60FD"/>
    <w:rsid w:val="00BF6500"/>
    <w:rsid w:val="00C05C35"/>
    <w:rsid w:val="00C30DC0"/>
    <w:rsid w:val="00C344C0"/>
    <w:rsid w:val="00C447E2"/>
    <w:rsid w:val="00C50B1D"/>
    <w:rsid w:val="00C50E27"/>
    <w:rsid w:val="00C62585"/>
    <w:rsid w:val="00C67C93"/>
    <w:rsid w:val="00C7602E"/>
    <w:rsid w:val="00C808FD"/>
    <w:rsid w:val="00C862B5"/>
    <w:rsid w:val="00C91A6E"/>
    <w:rsid w:val="00CB1014"/>
    <w:rsid w:val="00CC4099"/>
    <w:rsid w:val="00CE01F5"/>
    <w:rsid w:val="00D00003"/>
    <w:rsid w:val="00D16A34"/>
    <w:rsid w:val="00D16D07"/>
    <w:rsid w:val="00D33DED"/>
    <w:rsid w:val="00D66D30"/>
    <w:rsid w:val="00D81F1B"/>
    <w:rsid w:val="00DC2CBE"/>
    <w:rsid w:val="00DD2BD3"/>
    <w:rsid w:val="00DD51B9"/>
    <w:rsid w:val="00DE6C7F"/>
    <w:rsid w:val="00E01C50"/>
    <w:rsid w:val="00E15EBF"/>
    <w:rsid w:val="00E43697"/>
    <w:rsid w:val="00E520CD"/>
    <w:rsid w:val="00E533E0"/>
    <w:rsid w:val="00EA258F"/>
    <w:rsid w:val="00EA454B"/>
    <w:rsid w:val="00EA751C"/>
    <w:rsid w:val="00EB6205"/>
    <w:rsid w:val="00EC5B4F"/>
    <w:rsid w:val="00EF5168"/>
    <w:rsid w:val="00F140AB"/>
    <w:rsid w:val="00F26FE1"/>
    <w:rsid w:val="00F350D4"/>
    <w:rsid w:val="00F35E63"/>
    <w:rsid w:val="00F81C45"/>
    <w:rsid w:val="00FA0FF3"/>
    <w:rsid w:val="00FC5C11"/>
    <w:rsid w:val="00FE1B2E"/>
    <w:rsid w:val="00FF28C4"/>
    <w:rsid w:val="00FF42C4"/>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69CBBD26"/>
  <w15:chartTrackingRefBased/>
  <w15:docId w15:val="{71CEC2B9-DE89-4C96-8AF5-2CFBCB03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82"/>
    <w:pPr>
      <w:spacing w:after="200" w:line="276" w:lineRule="auto"/>
    </w:pPr>
  </w:style>
  <w:style w:type="paragraph" w:styleId="Heading2">
    <w:name w:val="heading 2"/>
    <w:basedOn w:val="Normal"/>
    <w:next w:val="Normal"/>
    <w:link w:val="Nadpis2Char"/>
    <w:uiPriority w:val="9"/>
    <w:semiHidden/>
    <w:unhideWhenUsed/>
    <w:qFormat/>
    <w:rsid w:val="00FE1B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BB2E8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BB2E82"/>
  </w:style>
  <w:style w:type="paragraph" w:styleId="Footer">
    <w:name w:val="footer"/>
    <w:basedOn w:val="Normal"/>
    <w:link w:val="ZpatChar"/>
    <w:uiPriority w:val="99"/>
    <w:unhideWhenUsed/>
    <w:rsid w:val="00BB2E82"/>
    <w:pPr>
      <w:tabs>
        <w:tab w:val="center" w:pos="4536"/>
        <w:tab w:val="right" w:pos="9072"/>
      </w:tabs>
      <w:spacing w:after="0" w:line="240" w:lineRule="auto"/>
    </w:pPr>
  </w:style>
  <w:style w:type="character" w:customStyle="1" w:styleId="ZpatChar">
    <w:name w:val="Zápatí Char"/>
    <w:basedOn w:val="DefaultParagraphFont"/>
    <w:link w:val="Footer"/>
    <w:uiPriority w:val="99"/>
    <w:rsid w:val="00BB2E82"/>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BB2E82"/>
    <w:pPr>
      <w:ind w:left="720"/>
      <w:contextualSpacing/>
    </w:p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BB2E82"/>
  </w:style>
  <w:style w:type="character" w:styleId="CommentReference">
    <w:name w:val="annotation reference"/>
    <w:basedOn w:val="DefaultParagraphFont"/>
    <w:uiPriority w:val="99"/>
    <w:semiHidden/>
    <w:unhideWhenUsed/>
    <w:rsid w:val="005F7D20"/>
    <w:rPr>
      <w:sz w:val="16"/>
      <w:szCs w:val="16"/>
    </w:rPr>
  </w:style>
  <w:style w:type="paragraph" w:styleId="CommentText">
    <w:name w:val="annotation text"/>
    <w:basedOn w:val="Normal"/>
    <w:link w:val="TextkomenteChar"/>
    <w:uiPriority w:val="99"/>
    <w:unhideWhenUsed/>
    <w:rsid w:val="005F7D20"/>
    <w:pPr>
      <w:spacing w:line="240" w:lineRule="auto"/>
    </w:pPr>
    <w:rPr>
      <w:sz w:val="20"/>
      <w:szCs w:val="20"/>
    </w:rPr>
  </w:style>
  <w:style w:type="character" w:customStyle="1" w:styleId="TextkomenteChar">
    <w:name w:val="Text komentáře Char"/>
    <w:basedOn w:val="DefaultParagraphFont"/>
    <w:link w:val="CommentText"/>
    <w:uiPriority w:val="99"/>
    <w:rsid w:val="005F7D20"/>
    <w:rPr>
      <w:sz w:val="20"/>
      <w:szCs w:val="20"/>
    </w:rPr>
  </w:style>
  <w:style w:type="paragraph" w:styleId="CommentSubject">
    <w:name w:val="annotation subject"/>
    <w:basedOn w:val="CommentText"/>
    <w:next w:val="CommentText"/>
    <w:link w:val="PedmtkomenteChar"/>
    <w:uiPriority w:val="99"/>
    <w:semiHidden/>
    <w:unhideWhenUsed/>
    <w:rsid w:val="005F7D20"/>
    <w:rPr>
      <w:b/>
      <w:bCs/>
    </w:rPr>
  </w:style>
  <w:style w:type="character" w:customStyle="1" w:styleId="PedmtkomenteChar">
    <w:name w:val="Předmět komentáře Char"/>
    <w:basedOn w:val="TextkomenteChar"/>
    <w:link w:val="CommentSubject"/>
    <w:uiPriority w:val="99"/>
    <w:semiHidden/>
    <w:rsid w:val="005F7D20"/>
    <w:rPr>
      <w:b/>
      <w:bCs/>
      <w:sz w:val="20"/>
      <w:szCs w:val="20"/>
    </w:rPr>
  </w:style>
  <w:style w:type="paragraph" w:styleId="BalloonText">
    <w:name w:val="Balloon Text"/>
    <w:basedOn w:val="Normal"/>
    <w:link w:val="TextbublinyChar"/>
    <w:uiPriority w:val="99"/>
    <w:semiHidden/>
    <w:unhideWhenUsed/>
    <w:rsid w:val="005F7D20"/>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5F7D20"/>
    <w:rPr>
      <w:rFonts w:ascii="Segoe UI" w:hAnsi="Segoe UI" w:cs="Segoe UI"/>
      <w:sz w:val="18"/>
      <w:szCs w:val="18"/>
    </w:rPr>
  </w:style>
  <w:style w:type="paragraph" w:styleId="Revision">
    <w:name w:val="Revision"/>
    <w:hidden/>
    <w:uiPriority w:val="99"/>
    <w:semiHidden/>
    <w:rsid w:val="00AB41D0"/>
    <w:pPr>
      <w:spacing w:after="0" w:line="240" w:lineRule="auto"/>
    </w:pPr>
  </w:style>
  <w:style w:type="character" w:styleId="Hyperlink">
    <w:name w:val="Hyperlink"/>
    <w:basedOn w:val="DefaultParagraphFont"/>
    <w:uiPriority w:val="99"/>
    <w:unhideWhenUsed/>
    <w:rsid w:val="00AD42D7"/>
    <w:rPr>
      <w:color w:val="0563C1" w:themeColor="hyperlink"/>
      <w:u w:val="single"/>
    </w:rPr>
  </w:style>
  <w:style w:type="character" w:customStyle="1" w:styleId="Nadpis11Char">
    <w:name w:val="Nadpis 1.1. Char"/>
    <w:basedOn w:val="DefaultParagraphFont"/>
    <w:link w:val="Nadpis11"/>
    <w:locked/>
    <w:rsid w:val="00C50B1D"/>
    <w:rPr>
      <w:rFonts w:ascii="Arial" w:eastAsia="Times New Roman" w:hAnsi="Arial" w:cs="Arial"/>
      <w:lang w:eastAsia="cs-CZ"/>
    </w:rPr>
  </w:style>
  <w:style w:type="paragraph" w:customStyle="1" w:styleId="Nadpis11">
    <w:name w:val="Nadpis 1.1."/>
    <w:basedOn w:val="Normal"/>
    <w:link w:val="Nadpis11Char"/>
    <w:qFormat/>
    <w:rsid w:val="00C50B1D"/>
    <w:pPr>
      <w:numPr>
        <w:ilvl w:val="1"/>
        <w:numId w:val="29"/>
      </w:numPr>
      <w:tabs>
        <w:tab w:val="left" w:pos="851"/>
      </w:tabs>
      <w:spacing w:after="120" w:line="240" w:lineRule="auto"/>
      <w:jc w:val="both"/>
    </w:pPr>
    <w:rPr>
      <w:rFonts w:ascii="Arial" w:eastAsia="Times New Roman" w:hAnsi="Arial" w:cs="Arial"/>
      <w:lang w:eastAsia="cs-CZ"/>
    </w:rPr>
  </w:style>
  <w:style w:type="paragraph" w:customStyle="1" w:styleId="odstavecslovan1">
    <w:name w:val="odstavec číslovaný 1"/>
    <w:basedOn w:val="Heading2"/>
    <w:rsid w:val="00FE1B2E"/>
    <w:pPr>
      <w:keepNext w:val="0"/>
      <w:keepLines w:val="0"/>
      <w:numPr>
        <w:ilvl w:val="1"/>
        <w:numId w:val="33"/>
      </w:numPr>
      <w:tabs>
        <w:tab w:val="clear" w:pos="294"/>
      </w:tabs>
      <w:spacing w:before="120" w:after="120" w:line="240" w:lineRule="auto"/>
      <w:ind w:left="1440" w:hanging="360"/>
      <w:jc w:val="both"/>
    </w:pPr>
    <w:rPr>
      <w:rFonts w:ascii="Arial" w:eastAsia="Times New Roman" w:hAnsi="Arial" w:cs="Times New Roman"/>
      <w:noProof/>
      <w:color w:val="auto"/>
      <w:sz w:val="24"/>
      <w:szCs w:val="20"/>
      <w:lang w:eastAsia="cs-CZ"/>
    </w:rPr>
  </w:style>
  <w:style w:type="paragraph" w:customStyle="1" w:styleId="Odrkapsmenov">
    <w:name w:val="Odrážka písmenová"/>
    <w:basedOn w:val="Normal"/>
    <w:rsid w:val="00FE1B2E"/>
    <w:pPr>
      <w:numPr>
        <w:ilvl w:val="3"/>
        <w:numId w:val="33"/>
      </w:numPr>
      <w:spacing w:after="60" w:line="240" w:lineRule="auto"/>
    </w:pPr>
    <w:rPr>
      <w:rFonts w:ascii="Arial" w:eastAsia="Times New Roman" w:hAnsi="Arial" w:cs="Times New Roman"/>
      <w:sz w:val="24"/>
      <w:szCs w:val="20"/>
      <w:lang w:eastAsia="cs-CZ"/>
    </w:rPr>
  </w:style>
  <w:style w:type="paragraph" w:customStyle="1" w:styleId="odstavecslovan2">
    <w:name w:val="odstavec číslovaný 2"/>
    <w:basedOn w:val="odstavecslovan1"/>
    <w:rsid w:val="00FE1B2E"/>
    <w:pPr>
      <w:numPr>
        <w:ilvl w:val="2"/>
      </w:numPr>
      <w:tabs>
        <w:tab w:val="clear" w:pos="1581"/>
      </w:tabs>
      <w:ind w:left="2160" w:hanging="180"/>
    </w:pPr>
  </w:style>
  <w:style w:type="character" w:customStyle="1" w:styleId="Nadpis2Char">
    <w:name w:val="Nadpis 2 Char"/>
    <w:basedOn w:val="DefaultParagraphFont"/>
    <w:link w:val="Heading2"/>
    <w:uiPriority w:val="9"/>
    <w:semiHidden/>
    <w:rsid w:val="00FE1B2E"/>
    <w:rPr>
      <w:rFonts w:asciiTheme="majorHAnsi" w:eastAsiaTheme="majorEastAsia" w:hAnsiTheme="majorHAnsi" w:cstheme="majorBidi"/>
      <w:color w:val="2E74B5" w:themeColor="accent1" w:themeShade="BF"/>
      <w:sz w:val="26"/>
      <w:szCs w:val="26"/>
    </w:rPr>
  </w:style>
  <w:style w:type="table" w:customStyle="1" w:styleId="Mkatabulky4">
    <w:name w:val="Mřížka tabulky4"/>
    <w:basedOn w:val="TableNormal"/>
    <w:uiPriority w:val="39"/>
    <w:rsid w:val="009320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77251"/>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nfohub.delltechnologies.com/en-us/l/dell-powerprotect-data-domain-dd6410/overview-7121/" TargetMode="External" /><Relationship Id="rId11" Type="http://schemas.openxmlformats.org/officeDocument/2006/relationships/header" Target="head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metelka\AppData\Local\Temp\notes4B43A1\posta@vlada.gov.cz"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6926FE0AD214449881F53BAEC643A45"/>
        <w:category>
          <w:name w:val="Obecné"/>
          <w:gallery w:val="placeholder"/>
        </w:category>
        <w:types>
          <w:type w:val="bbPlcHdr"/>
        </w:types>
        <w:behaviors>
          <w:behavior w:val="content"/>
        </w:behaviors>
        <w:guid w:val="{62340004-E1D7-455C-A371-A5C384FF2128}"/>
      </w:docPartPr>
      <w:docPartBody>
        <w:p w:rsidR="00C50E27" w:rsidP="00C50E27">
          <w:pPr>
            <w:pStyle w:val="46926FE0AD214449881F53BAEC643A45"/>
          </w:pPr>
          <w:r>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27"/>
    <w:rsid w:val="00280697"/>
    <w:rsid w:val="004E1CCB"/>
    <w:rsid w:val="00517E1E"/>
    <w:rsid w:val="005F726B"/>
    <w:rsid w:val="006E789E"/>
    <w:rsid w:val="007E7533"/>
    <w:rsid w:val="008342C1"/>
    <w:rsid w:val="00957531"/>
    <w:rsid w:val="00967DA9"/>
    <w:rsid w:val="00A43B05"/>
    <w:rsid w:val="00B85EDD"/>
    <w:rsid w:val="00BC60FD"/>
    <w:rsid w:val="00C50E27"/>
    <w:rsid w:val="00D00003"/>
    <w:rsid w:val="00E15EB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E27"/>
  </w:style>
  <w:style w:type="paragraph" w:customStyle="1" w:styleId="46926FE0AD214449881F53BAEC643A45">
    <w:name w:val="46926FE0AD214449881F53BAEC643A45"/>
    <w:rsid w:val="00C50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7719</Words>
  <Characters>45543</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Lupjanová Alena</cp:lastModifiedBy>
  <cp:revision>5</cp:revision>
  <cp:lastPrinted>2025-06-26T06:28:00Z</cp:lastPrinted>
  <dcterms:created xsi:type="dcterms:W3CDTF">2025-06-27T05:58:00Z</dcterms:created>
  <dcterms:modified xsi:type="dcterms:W3CDTF">2025-06-27T08:32:00Z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26013-2025-UVCR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27.6.2025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&lt;TABLE&gt;&lt;TR&gt;&lt;TD&gt;Č.j.:&lt;/TD&gt;&lt;TD&gt;26013-2025-UVCR&lt;/TD&gt;&lt;/TR&gt;&lt;TR&gt;&lt;TD&gt;&lt;/TD&gt;&lt;TD&gt;&lt;/TD&gt;&lt;/TR&gt;&lt;/TABLE&gt;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UVCR25D0025964</vt:lpwstr>
  </property>
  <property fmtid="{D5CDD505-2E9C-101B-9397-08002B2CF9AE}" pid="23" name="Key_BarCode_Pisemnost">
    <vt:lpwstr>*UVCR25D0025964*</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a53c2491-993e-44b7-9cef-5f72873662d9</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2025-06-26T06:33:45Z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0/17</vt:lpwstr>
  </property>
  <property fmtid="{D5CDD505-2E9C-101B-9397-08002B2CF9AE}" pid="40" name="PocetPriloh_Pisemnost">
    <vt:lpwstr>17</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UVCR25D0025964</vt:lpwstr>
  </property>
  <property fmtid="{D5CDD505-2E9C-101B-9397-08002B2CF9AE}" pid="45" name="RC">
    <vt:lpwstr/>
  </property>
  <property fmtid="{D5CDD505-2E9C-101B-9397-08002B2CF9AE}" pid="46" name="SkartacniZnakLhuta_PisemnostZnak">
    <vt:lpwstr>V/10</vt:lpwstr>
  </property>
  <property fmtid="{D5CDD505-2E9C-101B-9397-08002B2CF9AE}" pid="47" name="SmlouvaCislo">
    <vt:lpwstr>ČÍSLO SMLOUVY</vt:lpwstr>
  </property>
  <property fmtid="{D5CDD505-2E9C-101B-9397-08002B2CF9AE}" pid="48" name="SZ_Spis_Pisemnost">
    <vt:lpwstr>SPIS-2025-78</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17 Dokument</vt:lpwstr>
  </property>
  <property fmtid="{D5CDD505-2E9C-101B-9397-08002B2CF9AE}" pid="52" name="UserName_PisemnostTypZpristupneniInformaciZOSZ_Pisemnost">
    <vt:lpwstr>ZOSZ_UserName</vt:lpwstr>
  </property>
  <property fmtid="{D5CDD505-2E9C-101B-9397-08002B2CF9AE}" pid="53" name="Vec_Pisemnost">
    <vt:lpwstr>OIT - Zakoupení deduplikačního diskového úložiště včetně pětileté servisní podpory, instalace a nastavení ve vnitřní síti LAN ÚVČR</vt:lpwstr>
  </property>
  <property fmtid="{D5CDD505-2E9C-101B-9397-08002B2CF9AE}" pid="54" name="Zkratka_SpisovyUzel_PoziceZodpo_Pisemnost">
    <vt:lpwstr>OPR</vt:lpwstr>
  </property>
</Properties>
</file>