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4A71F9">
        <w:t>KAA-V-17/2025</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A71F9" w:rsidRPr="004A71F9">
        <w:rPr>
          <w:rFonts w:cs="Arial"/>
          <w:szCs w:val="20"/>
        </w:rPr>
        <w:t xml:space="preserve">Mgr. </w:t>
      </w:r>
      <w:r w:rsidR="004A71F9">
        <w:t>Dana Zajícová</w:t>
      </w:r>
      <w:r w:rsidRPr="00A3020E">
        <w:rPr>
          <w:rFonts w:cs="Arial"/>
          <w:szCs w:val="20"/>
        </w:rPr>
        <w:t xml:space="preserve">, </w:t>
      </w:r>
      <w:r w:rsidR="004A71F9" w:rsidRPr="004A71F9">
        <w:rPr>
          <w:rFonts w:cs="Arial"/>
          <w:szCs w:val="20"/>
        </w:rPr>
        <w:t>ředitelka Kontaktního</w:t>
      </w:r>
      <w:r w:rsidR="004A71F9">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4A71F9" w:rsidRPr="004A71F9">
        <w:rPr>
          <w:rFonts w:cs="Arial"/>
          <w:szCs w:val="20"/>
        </w:rPr>
        <w:t>Dobrovského 1278</w:t>
      </w:r>
      <w:r w:rsidR="004A71F9">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4A71F9" w:rsidRPr="004A71F9">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4A71F9" w:rsidRPr="004A71F9">
        <w:rPr>
          <w:rFonts w:cs="Arial"/>
          <w:szCs w:val="20"/>
        </w:rPr>
        <w:t xml:space="preserve">tř. </w:t>
      </w:r>
      <w:r w:rsidR="004A71F9">
        <w:t>Osvobození č.p. 1388/</w:t>
      </w:r>
      <w:proofErr w:type="gramStart"/>
      <w:r w:rsidR="004A71F9">
        <w:t>60a</w:t>
      </w:r>
      <w:proofErr w:type="gramEnd"/>
      <w:r w:rsidR="004A71F9">
        <w:t>,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4A71F9"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proofErr w:type="gramStart"/>
      <w:r w:rsidR="004A71F9" w:rsidRPr="004A71F9">
        <w:rPr>
          <w:rFonts w:cs="Arial"/>
          <w:szCs w:val="20"/>
        </w:rPr>
        <w:t>TALPA -</w:t>
      </w:r>
      <w:r w:rsidR="004A71F9">
        <w:t xml:space="preserve"> zahradnické</w:t>
      </w:r>
      <w:proofErr w:type="gramEnd"/>
      <w:r w:rsidR="004A71F9">
        <w:t xml:space="preserve"> služby s.r.o.</w:t>
      </w:r>
      <w:r w:rsidR="004A71F9" w:rsidRPr="004A71F9">
        <w:rPr>
          <w:rFonts w:cs="Arial"/>
          <w:vanish/>
          <w:szCs w:val="20"/>
        </w:rPr>
        <w:t>0</w:t>
      </w:r>
    </w:p>
    <w:p w:rsidR="00B72145" w:rsidRPr="00A3020E" w:rsidRDefault="004A71F9"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CB3C77">
        <w:rPr>
          <w:rFonts w:cs="Arial"/>
          <w:noProof/>
          <w:szCs w:val="20"/>
        </w:rPr>
        <w:t>xxx</w:t>
      </w:r>
    </w:p>
    <w:p w:rsidR="00B72145" w:rsidRPr="00A3020E" w:rsidRDefault="004A71F9"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4A71F9">
        <w:rPr>
          <w:rFonts w:cs="Arial"/>
          <w:szCs w:val="20"/>
        </w:rPr>
        <w:t>U Hájenky</w:t>
      </w:r>
      <w:r>
        <w:t xml:space="preserve"> č.p. 325, Lutyně, 735 14 Orlová 4</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4A71F9" w:rsidRPr="004A71F9">
        <w:rPr>
          <w:rFonts w:cs="Arial"/>
          <w:szCs w:val="20"/>
        </w:rPr>
        <w:t>25391275</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w:t>
      </w:r>
      <w:proofErr w:type="gramStart"/>
      <w:r w:rsidRPr="000B2621">
        <w:rPr>
          <w:rFonts w:cs="Arial"/>
          <w:szCs w:val="20"/>
        </w:rPr>
        <w:t>transferů - UZ</w:t>
      </w:r>
      <w:proofErr w:type="gramEnd"/>
      <w:r w:rsidRPr="000B2621">
        <w:rPr>
          <w:rFonts w:cs="Arial"/>
          <w:szCs w:val="20"/>
        </w:rPr>
        <w:t xml:space="preserve">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 xml:space="preserve">Zaměstnavatel </w:t>
      </w:r>
      <w:proofErr w:type="gramStart"/>
      <w:r w:rsidRPr="007A0E22">
        <w:t>vytvoří</w:t>
      </w:r>
      <w:proofErr w:type="gramEnd"/>
      <w:r w:rsidRPr="007A0E22">
        <w:t xml:space="preserve">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4A71F9">
        <w:rPr>
          <w:noProof/>
        </w:rPr>
        <w:t>1.7.2025</w:t>
      </w:r>
      <w:r>
        <w:t xml:space="preserve"> do </w:t>
      </w:r>
      <w:r w:rsidR="004A71F9">
        <w:rPr>
          <w:noProof/>
        </w:rPr>
        <w:t>30.11.2025</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4A71F9"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4A71F9" w:rsidRPr="008F1A38" w:rsidRDefault="004A71F9" w:rsidP="009133EE">
            <w:pPr>
              <w:spacing w:before="20" w:after="20"/>
              <w:jc w:val="left"/>
              <w:rPr>
                <w:rFonts w:cs="Arial"/>
                <w:szCs w:val="20"/>
              </w:rPr>
            </w:pPr>
            <w:r>
              <w:rPr>
                <w:rFonts w:cs="Arial"/>
                <w:szCs w:val="20"/>
              </w:rPr>
              <w:t xml:space="preserve">dělník provádějící údržbu veřejné </w:t>
            </w:r>
            <w:proofErr w:type="gramStart"/>
            <w:r>
              <w:rPr>
                <w:rFonts w:cs="Arial"/>
                <w:szCs w:val="20"/>
              </w:rPr>
              <w:t>zeleně</w:t>
            </w:r>
            <w:proofErr w:type="gramEnd"/>
            <w:r>
              <w:rPr>
                <w:rFonts w:cs="Arial"/>
                <w:szCs w:val="20"/>
              </w:rPr>
              <w:t xml:space="preserve"> popř. zahradník</w:t>
            </w:r>
          </w:p>
        </w:tc>
        <w:tc>
          <w:tcPr>
            <w:tcW w:w="1701" w:type="dxa"/>
            <w:tcBorders>
              <w:left w:val="single" w:sz="4" w:space="0" w:color="auto"/>
              <w:right w:val="single" w:sz="4" w:space="0" w:color="auto"/>
            </w:tcBorders>
            <w:vAlign w:val="center"/>
          </w:tcPr>
          <w:p w:rsidR="004A71F9" w:rsidRDefault="004A71F9" w:rsidP="00697C0E">
            <w:pPr>
              <w:spacing w:before="20" w:after="20"/>
              <w:jc w:val="right"/>
              <w:rPr>
                <w:rFonts w:cs="Arial"/>
                <w:szCs w:val="20"/>
              </w:rPr>
            </w:pPr>
          </w:p>
          <w:p w:rsidR="004A71F9" w:rsidRPr="00612679" w:rsidRDefault="004A71F9" w:rsidP="00697C0E">
            <w:pPr>
              <w:spacing w:before="20" w:after="20"/>
              <w:jc w:val="right"/>
              <w:rPr>
                <w:rFonts w:cs="Arial"/>
                <w:szCs w:val="20"/>
              </w:rPr>
            </w:pPr>
            <w:r>
              <w:rPr>
                <w:rFonts w:cs="Arial"/>
                <w:szCs w:val="20"/>
              </w:rPr>
              <w:t>3</w:t>
            </w:r>
          </w:p>
        </w:tc>
        <w:tc>
          <w:tcPr>
            <w:tcW w:w="2268" w:type="dxa"/>
            <w:tcBorders>
              <w:left w:val="single" w:sz="4" w:space="0" w:color="auto"/>
              <w:right w:val="single" w:sz="4" w:space="0" w:color="auto"/>
            </w:tcBorders>
          </w:tcPr>
          <w:p w:rsidR="004A71F9" w:rsidRDefault="004A71F9" w:rsidP="00697C0E">
            <w:pPr>
              <w:spacing w:before="20" w:after="20"/>
              <w:jc w:val="right"/>
              <w:rPr>
                <w:rFonts w:cs="Arial"/>
                <w:szCs w:val="20"/>
              </w:rPr>
            </w:pPr>
          </w:p>
          <w:p w:rsidR="004A71F9" w:rsidRPr="0028078F" w:rsidRDefault="004A71F9"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4A71F9" w:rsidP="00697C0E">
            <w:pPr>
              <w:spacing w:before="20" w:after="20"/>
              <w:jc w:val="right"/>
              <w:rPr>
                <w:rFonts w:cs="Arial"/>
                <w:szCs w:val="20"/>
              </w:rPr>
            </w:pPr>
            <w:r w:rsidRPr="004A71F9">
              <w:rPr>
                <w:rFonts w:cs="Arial"/>
                <w:szCs w:val="20"/>
              </w:rPr>
              <w:t>3</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4A71F9">
        <w:rPr>
          <w:noProof/>
        </w:rPr>
        <w:t>30.11.2025</w:t>
      </w:r>
      <w:r w:rsidRPr="00B17888">
        <w:t>.</w:t>
      </w:r>
    </w:p>
    <w:p w:rsidR="00B77BCC" w:rsidRDefault="003766ED" w:rsidP="0084551C">
      <w:pPr>
        <w:pStyle w:val="Boddohody"/>
        <w:numPr>
          <w:ilvl w:val="0"/>
          <w:numId w:val="7"/>
        </w:numPr>
        <w:tabs>
          <w:tab w:val="left" w:pos="364"/>
        </w:tabs>
      </w:pPr>
      <w:r w:rsidRPr="003766ED">
        <w:t xml:space="preserve">V případě, že pracovní poměr zaměstnance </w:t>
      </w:r>
      <w:proofErr w:type="gramStart"/>
      <w:r w:rsidRPr="003766ED">
        <w:t>skončí</w:t>
      </w:r>
      <w:proofErr w:type="gramEnd"/>
      <w:r w:rsidRPr="003766ED">
        <w:t xml:space="preserve">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Pr="00EC5788" w:rsidRDefault="005557F2" w:rsidP="0084551C">
      <w:pPr>
        <w:pStyle w:val="Boddohody"/>
        <w:numPr>
          <w:ilvl w:val="0"/>
          <w:numId w:val="7"/>
        </w:numPr>
        <w:tabs>
          <w:tab w:val="left" w:pos="364"/>
        </w:tabs>
      </w:pPr>
      <w:r w:rsidRPr="005557F2">
        <w:t xml:space="preserve">V případě, že zaměstnavatel </w:t>
      </w:r>
      <w:proofErr w:type="gramStart"/>
      <w:r w:rsidRPr="005557F2">
        <w:t>nedodrží</w:t>
      </w:r>
      <w:proofErr w:type="gramEnd"/>
      <w:r w:rsidRPr="005557F2">
        <w:t xml:space="preserve"> ujednání sjednaná pod body 1. a 2. tohoto článku, příspěvek nebude poskytnut.</w:t>
      </w:r>
    </w:p>
    <w:p w:rsidR="004A71F9" w:rsidRDefault="004A71F9" w:rsidP="004124F1">
      <w:pPr>
        <w:pStyle w:val="lnek"/>
      </w:pP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4A71F9" w:rsidRPr="004A71F9" w:rsidRDefault="004A71F9" w:rsidP="004A71F9">
      <w:pPr>
        <w:pStyle w:val="Daltextbodudohody"/>
      </w:pP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4A71F9"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4A71F9" w:rsidRPr="008F1A38" w:rsidRDefault="004A71F9" w:rsidP="009133EE">
            <w:pPr>
              <w:spacing w:before="20" w:after="20"/>
              <w:jc w:val="left"/>
              <w:rPr>
                <w:rFonts w:cs="Arial"/>
                <w:szCs w:val="20"/>
              </w:rPr>
            </w:pPr>
            <w:r>
              <w:rPr>
                <w:rFonts w:cs="Arial"/>
                <w:szCs w:val="20"/>
              </w:rPr>
              <w:t xml:space="preserve">dělník provádějící údržbu veřejné </w:t>
            </w:r>
            <w:proofErr w:type="gramStart"/>
            <w:r>
              <w:rPr>
                <w:rFonts w:cs="Arial"/>
                <w:szCs w:val="20"/>
              </w:rPr>
              <w:t>zeleně</w:t>
            </w:r>
            <w:proofErr w:type="gramEnd"/>
            <w:r>
              <w:rPr>
                <w:rFonts w:cs="Arial"/>
                <w:szCs w:val="20"/>
              </w:rPr>
              <w:t xml:space="preserve"> popř. zahradník</w:t>
            </w:r>
          </w:p>
        </w:tc>
        <w:tc>
          <w:tcPr>
            <w:tcW w:w="1559" w:type="dxa"/>
            <w:gridSpan w:val="2"/>
            <w:tcBorders>
              <w:left w:val="single" w:sz="4" w:space="0" w:color="auto"/>
              <w:right w:val="single" w:sz="4" w:space="0" w:color="auto"/>
            </w:tcBorders>
            <w:tcMar>
              <w:right w:w="454" w:type="dxa"/>
            </w:tcMar>
            <w:vAlign w:val="center"/>
          </w:tcPr>
          <w:p w:rsidR="004A71F9" w:rsidRDefault="004A71F9" w:rsidP="00A520AB">
            <w:pPr>
              <w:spacing w:before="20" w:after="20"/>
              <w:jc w:val="right"/>
              <w:rPr>
                <w:rFonts w:cs="Arial"/>
                <w:szCs w:val="20"/>
              </w:rPr>
            </w:pPr>
          </w:p>
          <w:p w:rsidR="004A71F9" w:rsidRPr="008F1A38" w:rsidRDefault="004A71F9" w:rsidP="00A520AB">
            <w:pPr>
              <w:spacing w:before="20" w:after="20"/>
              <w:jc w:val="right"/>
              <w:rPr>
                <w:rFonts w:cs="Arial"/>
                <w:szCs w:val="20"/>
              </w:rPr>
            </w:pPr>
            <w:r>
              <w:rPr>
                <w:rFonts w:cs="Arial"/>
                <w:szCs w:val="20"/>
              </w:rPr>
              <w:t>3</w:t>
            </w:r>
          </w:p>
        </w:tc>
        <w:tc>
          <w:tcPr>
            <w:tcW w:w="1578" w:type="dxa"/>
            <w:gridSpan w:val="2"/>
            <w:tcBorders>
              <w:left w:val="single" w:sz="4" w:space="0" w:color="auto"/>
              <w:right w:val="single" w:sz="4" w:space="0" w:color="auto"/>
            </w:tcBorders>
          </w:tcPr>
          <w:p w:rsidR="004A71F9" w:rsidRDefault="004A71F9" w:rsidP="00A520AB">
            <w:pPr>
              <w:spacing w:before="20" w:after="20"/>
              <w:jc w:val="right"/>
              <w:rPr>
                <w:rFonts w:cs="Arial"/>
                <w:szCs w:val="20"/>
              </w:rPr>
            </w:pPr>
          </w:p>
          <w:p w:rsidR="004A71F9" w:rsidRPr="00612679" w:rsidRDefault="004A71F9"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4A71F9" w:rsidRDefault="004A71F9" w:rsidP="00A520AB">
            <w:pPr>
              <w:spacing w:before="20" w:after="20"/>
              <w:jc w:val="right"/>
              <w:rPr>
                <w:rFonts w:cs="Arial"/>
                <w:szCs w:val="20"/>
              </w:rPr>
            </w:pPr>
          </w:p>
          <w:p w:rsidR="004A71F9" w:rsidRPr="00612679" w:rsidRDefault="004A71F9" w:rsidP="00A520AB">
            <w:pPr>
              <w:spacing w:before="20" w:after="20"/>
              <w:jc w:val="right"/>
              <w:rPr>
                <w:rFonts w:cs="Arial"/>
                <w:szCs w:val="20"/>
              </w:rPr>
            </w:pPr>
            <w:r>
              <w:rPr>
                <w:rFonts w:cs="Arial"/>
                <w:szCs w:val="20"/>
              </w:rPr>
              <w:t>14 000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w:t>
      </w:r>
      <w:proofErr w:type="gramStart"/>
      <w:r w:rsidRPr="00C041A2">
        <w:rPr>
          <w:rFonts w:ascii="Arial" w:hAnsi="Arial" w:cs="Arial"/>
          <w:sz w:val="20"/>
          <w:szCs w:val="20"/>
        </w:rPr>
        <w:t>nepřekročí</w:t>
      </w:r>
      <w:proofErr w:type="gramEnd"/>
      <w:r w:rsidRPr="00C041A2">
        <w:rPr>
          <w:rFonts w:ascii="Arial" w:hAnsi="Arial" w:cs="Arial"/>
          <w:sz w:val="20"/>
          <w:szCs w:val="20"/>
        </w:rPr>
        <w:t xml:space="preserve"> částku </w:t>
      </w:r>
      <w:r w:rsidR="004A71F9" w:rsidRPr="004A71F9">
        <w:rPr>
          <w:rFonts w:ascii="Arial" w:hAnsi="Arial" w:cs="Arial"/>
          <w:sz w:val="20"/>
          <w:szCs w:val="20"/>
        </w:rPr>
        <w:t>210 000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w:t>
      </w:r>
      <w:proofErr w:type="gramStart"/>
      <w:r w:rsidRPr="004665E2">
        <w:t>skončí</w:t>
      </w:r>
      <w:proofErr w:type="gramEnd"/>
      <w:r w:rsidRPr="004665E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CB3C77">
        <w:t>xxx</w:t>
      </w:r>
      <w:proofErr w:type="spellEnd"/>
      <w:r w:rsidR="00717B29" w:rsidRPr="00755F95">
        <w:t>.</w:t>
      </w:r>
      <w:r w:rsidRPr="00737E22">
        <w:t xml:space="preserve"> </w:t>
      </w:r>
      <w:r w:rsidR="00755F95" w:rsidRPr="00755F95">
        <w:t xml:space="preserve">Příspěvek je splatný do 30 kalendářních dnů ode dne, kdy zaměstnavatel </w:t>
      </w:r>
      <w:proofErr w:type="gramStart"/>
      <w:r w:rsidR="00755F95" w:rsidRPr="00755F95">
        <w:t>doloží</w:t>
      </w:r>
      <w:proofErr w:type="gramEnd"/>
      <w:r w:rsidR="00755F95" w:rsidRPr="00755F95">
        <w:t xml:space="preserve">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 xml:space="preserve">Úřad práce si vyhrazuje právo dohodu vypovědět v případě, že zaměstnavatel </w:t>
      </w:r>
      <w:proofErr w:type="gramStart"/>
      <w:r w:rsidRPr="00D717AE">
        <w:t>nedodrží</w:t>
      </w:r>
      <w:proofErr w:type="gramEnd"/>
      <w:r w:rsidRPr="00D717AE">
        <w:t xml:space="preserve">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 xml:space="preserve">Dohoda je sepsána ve dvou vyhotoveních, z nichž jedno vyhotovení </w:t>
      </w:r>
      <w:proofErr w:type="gramStart"/>
      <w:r w:rsidRPr="009D267F">
        <w:t>obdrží</w:t>
      </w:r>
      <w:proofErr w:type="gramEnd"/>
      <w:r w:rsidRPr="009D267F">
        <w:t xml:space="preserve">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4A71F9" w:rsidP="009B751F">
      <w:pPr>
        <w:keepNext/>
        <w:keepLines/>
        <w:tabs>
          <w:tab w:val="left" w:pos="2520"/>
        </w:tabs>
        <w:rPr>
          <w:rFonts w:cs="Arial"/>
          <w:szCs w:val="20"/>
        </w:rPr>
      </w:pPr>
      <w:r>
        <w:rPr>
          <w:noProof/>
        </w:rPr>
        <w:t>Karviná</w:t>
      </w:r>
      <w:r w:rsidR="000378AA" w:rsidRPr="008F1A38">
        <w:rPr>
          <w:rFonts w:cs="Arial"/>
          <w:szCs w:val="20"/>
        </w:rPr>
        <w:t xml:space="preserve"> dne </w:t>
      </w:r>
      <w:r w:rsidR="00CB3C77">
        <w:rPr>
          <w:rFonts w:cs="Arial"/>
          <w:szCs w:val="20"/>
        </w:rPr>
        <w:t>27.6.2025</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4A71F9">
          <w:footerReference w:type="default" r:id="rId7"/>
          <w:footerReference w:type="first" r:id="rId8"/>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CB3C77" w:rsidP="009B751F">
      <w:pPr>
        <w:keepNext/>
        <w:keepLines/>
        <w:jc w:val="center"/>
        <w:rPr>
          <w:rFonts w:cs="Arial"/>
          <w:szCs w:val="20"/>
        </w:rPr>
      </w:pPr>
      <w:proofErr w:type="spellStart"/>
      <w:r>
        <w:rPr>
          <w:rFonts w:cs="Arial"/>
          <w:szCs w:val="20"/>
        </w:rPr>
        <w:t>xxx</w:t>
      </w:r>
      <w:proofErr w:type="spellEnd"/>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4A71F9" w:rsidP="009B751F">
      <w:pPr>
        <w:keepNext/>
        <w:keepLines/>
        <w:jc w:val="center"/>
        <w:rPr>
          <w:rFonts w:cs="Arial"/>
          <w:szCs w:val="20"/>
        </w:rPr>
      </w:pPr>
      <w:r w:rsidRPr="004A71F9">
        <w:rPr>
          <w:rFonts w:cs="Arial"/>
          <w:szCs w:val="20"/>
        </w:rPr>
        <w:t xml:space="preserve">Mgr. </w:t>
      </w:r>
      <w:r>
        <w:t>Dana Zajícová</w:t>
      </w:r>
    </w:p>
    <w:p w:rsidR="00E73C9C" w:rsidRDefault="004A71F9" w:rsidP="00E73C9C">
      <w:pPr>
        <w:keepNext/>
        <w:keepLines/>
        <w:jc w:val="center"/>
        <w:rPr>
          <w:rFonts w:cs="Arial"/>
          <w:szCs w:val="20"/>
        </w:rPr>
      </w:pPr>
      <w:r w:rsidRPr="004A71F9">
        <w:rPr>
          <w:rFonts w:cs="Arial"/>
          <w:szCs w:val="20"/>
        </w:rPr>
        <w:t>ředitelka Kontaktního</w:t>
      </w:r>
      <w:r>
        <w:t xml:space="preserve"> pracoviště Karviná, Krajské pobočky Úřadu práce ČR v Ostravě</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4A71F9">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CB3C77">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004A71F9">
        <w:rPr>
          <w:rFonts w:cs="Arial"/>
          <w:szCs w:val="20"/>
        </w:rPr>
        <w:tab/>
      </w:r>
      <w:r w:rsidR="00CB3C77">
        <w:rPr>
          <w:rFonts w:cs="Arial"/>
          <w:szCs w:val="20"/>
        </w:rPr>
        <w:t>xxx</w:t>
      </w:r>
      <w:r w:rsidRPr="008F1A38">
        <w:rPr>
          <w:rFonts w:cs="Arial"/>
          <w:szCs w:val="20"/>
        </w:rPr>
        <w:tab/>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4A71F9">
      <w:footerReference w:type="default" r:id="rId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695" w:rsidRDefault="00CB4695">
      <w:r>
        <w:separator/>
      </w:r>
    </w:p>
  </w:endnote>
  <w:endnote w:type="continuationSeparator" w:id="0">
    <w:p w:rsidR="00CB4695" w:rsidRDefault="00CB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695" w:rsidRDefault="00CB4695">
      <w:r>
        <w:separator/>
      </w:r>
    </w:p>
  </w:footnote>
  <w:footnote w:type="continuationSeparator" w:id="0">
    <w:p w:rsidR="00CB4695" w:rsidRDefault="00CB4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1800038">
    <w:abstractNumId w:val="6"/>
    <w:lvlOverride w:ilvl="0">
      <w:startOverride w:val="1"/>
    </w:lvlOverride>
  </w:num>
  <w:num w:numId="2" w16cid:durableId="427164126">
    <w:abstractNumId w:val="6"/>
    <w:lvlOverride w:ilvl="0">
      <w:startOverride w:val="1"/>
    </w:lvlOverride>
  </w:num>
  <w:num w:numId="3" w16cid:durableId="1609922661">
    <w:abstractNumId w:val="6"/>
    <w:lvlOverride w:ilvl="0">
      <w:startOverride w:val="1"/>
    </w:lvlOverride>
  </w:num>
  <w:num w:numId="4" w16cid:durableId="378018410">
    <w:abstractNumId w:val="6"/>
  </w:num>
  <w:num w:numId="5" w16cid:durableId="169301948">
    <w:abstractNumId w:val="6"/>
    <w:lvlOverride w:ilvl="0">
      <w:startOverride w:val="1"/>
    </w:lvlOverride>
  </w:num>
  <w:num w:numId="6" w16cid:durableId="444156007">
    <w:abstractNumId w:val="6"/>
    <w:lvlOverride w:ilvl="0">
      <w:startOverride w:val="1"/>
    </w:lvlOverride>
  </w:num>
  <w:num w:numId="7" w16cid:durableId="1325860359">
    <w:abstractNumId w:val="0"/>
  </w:num>
  <w:num w:numId="8" w16cid:durableId="2100059848">
    <w:abstractNumId w:val="6"/>
    <w:lvlOverride w:ilvl="0">
      <w:startOverride w:val="1"/>
    </w:lvlOverride>
  </w:num>
  <w:num w:numId="9" w16cid:durableId="2062288907">
    <w:abstractNumId w:val="3"/>
  </w:num>
  <w:num w:numId="10" w16cid:durableId="1245263180">
    <w:abstractNumId w:val="4"/>
  </w:num>
  <w:num w:numId="11" w16cid:durableId="1509294889">
    <w:abstractNumId w:val="5"/>
  </w:num>
  <w:num w:numId="12" w16cid:durableId="1985351522">
    <w:abstractNumId w:val="2"/>
  </w:num>
  <w:num w:numId="13" w16cid:durableId="1495028757">
    <w:abstractNumId w:val="1"/>
  </w:num>
  <w:num w:numId="14" w16cid:durableId="185915537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95"/>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A73"/>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471F8"/>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A1394"/>
    <w:rsid w:val="001B606A"/>
    <w:rsid w:val="001B6881"/>
    <w:rsid w:val="001C745C"/>
    <w:rsid w:val="001D121E"/>
    <w:rsid w:val="001D22FC"/>
    <w:rsid w:val="001E62C8"/>
    <w:rsid w:val="0020384A"/>
    <w:rsid w:val="00224DC9"/>
    <w:rsid w:val="002276CC"/>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B59CE"/>
    <w:rsid w:val="003C6435"/>
    <w:rsid w:val="003D0A3B"/>
    <w:rsid w:val="003D703F"/>
    <w:rsid w:val="003D72A2"/>
    <w:rsid w:val="003E3A8A"/>
    <w:rsid w:val="003E3C6B"/>
    <w:rsid w:val="003E7E6F"/>
    <w:rsid w:val="003F3275"/>
    <w:rsid w:val="003F690A"/>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A71F9"/>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314"/>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B3C77"/>
    <w:rsid w:val="00CB4695"/>
    <w:rsid w:val="00CC0D3E"/>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F4EA9"/>
  <w15:chartTrackingRefBased/>
  <w15:docId w15:val="{92B9BB68-8BBB-4EA9-BEF9-5E29CAB2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2939</Words>
  <Characters>17344</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Dymaszová Lucie DiS. (UPT-KAA)</cp:lastModifiedBy>
  <cp:revision>1</cp:revision>
  <cp:lastPrinted>1601-01-01T00:00:00Z</cp:lastPrinted>
  <dcterms:created xsi:type="dcterms:W3CDTF">2025-06-27T08:19:00Z</dcterms:created>
  <dcterms:modified xsi:type="dcterms:W3CDTF">2025-06-27T08:19:00Z</dcterms:modified>
</cp:coreProperties>
</file>