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162EBF80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EC2CF7" w:rsidRPr="00EC2CF7">
        <w:t>JMK097805/25/OŠ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0848318D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54A197A8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28F17E42" w14:textId="77777777" w:rsidR="00690294" w:rsidRDefault="00C00002" w:rsidP="005E3615">
      <w:pPr>
        <w:rPr>
          <w:b/>
        </w:rPr>
      </w:pPr>
      <w:r>
        <w:rPr>
          <w:b/>
        </w:rPr>
        <w:t xml:space="preserve">2. </w:t>
      </w:r>
      <w:r w:rsidR="00C518FE" w:rsidRPr="00C518FE">
        <w:rPr>
          <w:b/>
        </w:rPr>
        <w:t xml:space="preserve">Junák – český skaut, </w:t>
      </w:r>
      <w:r w:rsidR="00690294" w:rsidRPr="00690294">
        <w:rPr>
          <w:b/>
        </w:rPr>
        <w:t>středisko Řehoře Mendla Brno, z. s.</w:t>
      </w:r>
    </w:p>
    <w:p w14:paraId="5F3C0086" w14:textId="77777777" w:rsidR="00C45C18" w:rsidRDefault="00C45C18" w:rsidP="00C45C18">
      <w:r>
        <w:t>zastoupené:</w:t>
      </w:r>
      <w:r>
        <w:tab/>
      </w:r>
      <w:r>
        <w:tab/>
      </w:r>
      <w:r>
        <w:tab/>
        <w:t>Mgr. Alenou Švaříčkovou, vedoucí střediska</w:t>
      </w:r>
      <w:r>
        <w:tab/>
      </w:r>
      <w:r>
        <w:tab/>
      </w:r>
    </w:p>
    <w:p w14:paraId="1BECF62A" w14:textId="77777777" w:rsidR="00C45C18" w:rsidRDefault="00C45C18" w:rsidP="00C45C18">
      <w:r>
        <w:t>sídlo:</w:t>
      </w:r>
      <w:r>
        <w:tab/>
      </w:r>
      <w:r>
        <w:tab/>
      </w:r>
      <w:r>
        <w:tab/>
      </w:r>
      <w:r>
        <w:tab/>
        <w:t>Kampelíkova 124/13, 602 00 Brno</w:t>
      </w:r>
      <w:r>
        <w:tab/>
      </w:r>
      <w:r>
        <w:tab/>
      </w:r>
      <w:r>
        <w:tab/>
      </w:r>
    </w:p>
    <w:p w14:paraId="6CAC68CB" w14:textId="77777777" w:rsidR="00C45C18" w:rsidRDefault="00C45C18" w:rsidP="00C45C18">
      <w:r>
        <w:t>IČO:</w:t>
      </w:r>
      <w:r>
        <w:tab/>
      </w:r>
      <w:r>
        <w:tab/>
      </w:r>
      <w:r>
        <w:tab/>
      </w:r>
      <w:r>
        <w:tab/>
        <w:t>621 57 400</w:t>
      </w:r>
    </w:p>
    <w:p w14:paraId="2D3D3526" w14:textId="0BF28EEE" w:rsidR="00C45C18" w:rsidRDefault="00C45C18" w:rsidP="00C45C18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2CC0F5" w14:textId="7362040B" w:rsidR="00C45C18" w:rsidRDefault="00C45C18" w:rsidP="00C45C18">
      <w:r>
        <w:t>e-mail:</w:t>
      </w:r>
      <w:r>
        <w:tab/>
      </w:r>
      <w:r>
        <w:tab/>
      </w:r>
      <w:r>
        <w:tab/>
      </w:r>
      <w:r>
        <w:tab/>
      </w:r>
    </w:p>
    <w:p w14:paraId="6FF33BC9" w14:textId="77777777" w:rsidR="00C45C18" w:rsidRDefault="00C45C18" w:rsidP="00C45C18">
      <w:r>
        <w:t>bankovní spojení:</w:t>
      </w:r>
      <w:r>
        <w:tab/>
      </w:r>
      <w:r>
        <w:tab/>
        <w:t>Fio banka, a.s.</w:t>
      </w:r>
    </w:p>
    <w:p w14:paraId="52CB627C" w14:textId="77777777" w:rsidR="00C45C18" w:rsidRDefault="00C45C18" w:rsidP="00C45C18">
      <w:r>
        <w:t>číslo účtu:</w:t>
      </w:r>
      <w:r>
        <w:tab/>
      </w:r>
      <w:r>
        <w:tab/>
      </w:r>
      <w:r>
        <w:tab/>
        <w:t>2100791144/2010</w:t>
      </w:r>
      <w:r>
        <w:tab/>
      </w:r>
      <w:r>
        <w:tab/>
      </w:r>
      <w:r>
        <w:tab/>
      </w:r>
      <w:r>
        <w:tab/>
      </w:r>
    </w:p>
    <w:p w14:paraId="5C5CB358" w14:textId="3E28077D" w:rsidR="005E3615" w:rsidRPr="007E5B74" w:rsidRDefault="00C45C18" w:rsidP="00C45C18">
      <w:r>
        <w:t>není</w:t>
      </w:r>
      <w:r w:rsidR="005E3615">
        <w:t xml:space="preserve"> </w:t>
      </w:r>
      <w:r w:rsidR="005E3615" w:rsidRPr="007E5B74">
        <w:t>plátce DPH</w:t>
      </w:r>
      <w:r w:rsidR="005E3615" w:rsidRPr="007E5B74">
        <w:tab/>
      </w:r>
      <w:r w:rsidR="005E3615" w:rsidRPr="007E5B74"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50609817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6772A0" w:rsidRPr="006772A0">
        <w:t>Vybavení nové klubovny v Tuřanech</w:t>
      </w:r>
      <w:r w:rsidR="00E0350A" w:rsidRPr="00E0350A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D046BD">
        <w:t>33498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79F54DB5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3E4F68">
        <w:t>1</w:t>
      </w:r>
      <w:r w:rsidR="00E11882">
        <w:t>0</w:t>
      </w:r>
      <w:r w:rsidR="00CF3A85">
        <w:t>0</w:t>
      </w:r>
      <w:r w:rsidR="003F0536">
        <w:t xml:space="preserve"> 0</w:t>
      </w:r>
      <w:r w:rsidR="00E1123A">
        <w:t>00</w:t>
      </w:r>
      <w:r w:rsidRPr="00AC3A4B">
        <w:t xml:space="preserve"> Kč (slovy: </w:t>
      </w:r>
      <w:r w:rsidR="003E4F68" w:rsidRPr="003E4F68">
        <w:t>jedno sto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2AD7CABB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3E4F68">
        <w:t>35,71</w:t>
      </w:r>
      <w:r w:rsidR="00B55D64" w:rsidRPr="00B55D64">
        <w:t xml:space="preserve"> % (slovy: </w:t>
      </w:r>
      <w:r w:rsidR="003E4F68">
        <w:t>třicet pět celých sedmdesát jedna</w:t>
      </w:r>
      <w:r w:rsidR="00C96E58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3C5E1E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7949003" w14:textId="77777777" w:rsidR="003C5E1E" w:rsidRPr="0021642F" w:rsidRDefault="003C5E1E" w:rsidP="003C5E1E">
      <w:pPr>
        <w:widowControl w:val="0"/>
        <w:ind w:left="720" w:right="74"/>
        <w:rPr>
          <w:i/>
        </w:rPr>
      </w:pP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</w:t>
      </w:r>
      <w:r w:rsidRPr="007F6DA5">
        <w:lastRenderedPageBreak/>
        <w:t xml:space="preserve">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771D4C57" w14:textId="77777777" w:rsidR="003C5E1E" w:rsidRDefault="003C5E1E" w:rsidP="00A4538A">
      <w:pPr>
        <w:keepNext/>
        <w:jc w:val="center"/>
        <w:rPr>
          <w:b/>
        </w:rPr>
      </w:pPr>
    </w:p>
    <w:p w14:paraId="62D235BD" w14:textId="696587F2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5F35D3AA" w14:textId="77777777" w:rsidR="003C5E1E" w:rsidRDefault="003C5E1E" w:rsidP="00A4538A">
      <w:pPr>
        <w:jc w:val="center"/>
        <w:rPr>
          <w:b/>
        </w:rPr>
      </w:pPr>
    </w:p>
    <w:p w14:paraId="4EFA0A76" w14:textId="025A59DB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156B513D" w14:textId="77777777" w:rsidR="003C5E1E" w:rsidRDefault="003C5E1E" w:rsidP="00A4538A">
      <w:pPr>
        <w:keepNext/>
        <w:jc w:val="center"/>
        <w:rPr>
          <w:b/>
        </w:rPr>
      </w:pPr>
    </w:p>
    <w:p w14:paraId="714A155E" w14:textId="2F0607F0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</w:t>
      </w:r>
      <w:r w:rsidRPr="00CF2497">
        <w:lastRenderedPageBreak/>
        <w:t xml:space="preserve">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2EAE691E" w14:textId="77777777" w:rsidR="003C5E1E" w:rsidRDefault="003C5E1E" w:rsidP="00A4538A">
      <w:pPr>
        <w:keepNext/>
        <w:jc w:val="center"/>
        <w:rPr>
          <w:b/>
        </w:rPr>
      </w:pPr>
    </w:p>
    <w:p w14:paraId="6DBA6406" w14:textId="77777777" w:rsidR="00BE5FFD" w:rsidRDefault="00BE5FFD" w:rsidP="00A4538A">
      <w:pPr>
        <w:keepNext/>
        <w:jc w:val="center"/>
        <w:rPr>
          <w:b/>
        </w:rPr>
      </w:pPr>
    </w:p>
    <w:p w14:paraId="08240E5F" w14:textId="41DA45F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 xml:space="preserve">nenachází se podle zákona č. 182/2006 Sb., o úpadku a způsobech jeho řešení (insolvenční zákon), ve znění pozdějších předpisů, v úpadku a nedošlo v jeho případě k </w:t>
      </w:r>
      <w:r>
        <w:lastRenderedPageBreak/>
        <w:t>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495AE23F" w:rsidR="00D05E4A" w:rsidRPr="00525DD4" w:rsidRDefault="00D05E4A" w:rsidP="002A6574">
      <w:pPr>
        <w:numPr>
          <w:ilvl w:val="0"/>
          <w:numId w:val="8"/>
        </w:numPr>
      </w:pPr>
      <w:r w:rsidRPr="00525DD4">
        <w:t xml:space="preserve">Tato smlouva </w:t>
      </w:r>
      <w:r w:rsidR="00173D64" w:rsidRPr="00173D64">
        <w:t>je vyhotovena i podepsána elektronicky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04525F96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1C883B0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526E8C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AE00AC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3B043B5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8AD83EC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782149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49C41A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09435C3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97098C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DC5985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F6C29D0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D7700B5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5FB5A0D7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C153171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6473A7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AFB9B0F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</w:t>
      </w:r>
      <w:r w:rsidR="003000A8">
        <w:t xml:space="preserve"> </w:t>
      </w:r>
      <w:r w:rsidR="003000A8" w:rsidRPr="003000A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60A78790" w:rsidR="002E0EE7" w:rsidRDefault="00BD1AA2" w:rsidP="002E0EE7">
      <w:pPr>
        <w:ind w:left="360"/>
      </w:pPr>
      <w:r w:rsidRPr="00BD1AA2">
        <w:t>V Brně dne</w:t>
      </w:r>
      <w:r w:rsidR="00E5340A">
        <w:t xml:space="preserve"> 24.6.2025</w:t>
      </w:r>
      <w:r w:rsidR="002E0EE7">
        <w:tab/>
      </w:r>
      <w:r w:rsidR="002E0EE7">
        <w:tab/>
      </w:r>
      <w:r w:rsidR="002E0EE7">
        <w:tab/>
      </w:r>
      <w:r w:rsidR="002E0EE7">
        <w:tab/>
      </w:r>
      <w:r>
        <w:t xml:space="preserve">       </w:t>
      </w:r>
      <w:r w:rsidRPr="00BD1AA2">
        <w:t>V Brně dne</w:t>
      </w:r>
      <w:r w:rsidR="00E5340A">
        <w:t xml:space="preserve"> </w:t>
      </w:r>
      <w:r w:rsidR="00FA0547">
        <w:t>26.6.2025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7A761B3B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</w:t>
      </w:r>
      <w:r w:rsidR="00690294">
        <w:rPr>
          <w:b/>
        </w:rPr>
        <w:t xml:space="preserve">           </w:t>
      </w:r>
      <w:r w:rsidR="00EF5071" w:rsidRPr="00C518FE">
        <w:rPr>
          <w:b/>
        </w:rPr>
        <w:t>Junák – český</w:t>
      </w:r>
      <w:r w:rsidR="00C518FE" w:rsidRPr="00C518FE">
        <w:rPr>
          <w:b/>
        </w:rPr>
        <w:t xml:space="preserve"> skaut, </w:t>
      </w:r>
      <w:r w:rsidR="00690294" w:rsidRPr="00690294">
        <w:rPr>
          <w:b/>
        </w:rPr>
        <w:t>středisko</w:t>
      </w:r>
    </w:p>
    <w:p w14:paraId="5AF2345C" w14:textId="62FE8CDA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8B7257">
        <w:t xml:space="preserve">  </w:t>
      </w:r>
      <w:r w:rsidR="00690294" w:rsidRPr="00690294">
        <w:rPr>
          <w:b/>
        </w:rPr>
        <w:t>Řehoře Mendla Brno, z. s</w:t>
      </w:r>
      <w:r w:rsidR="00004609">
        <w:t xml:space="preserve">  </w:t>
      </w:r>
    </w:p>
    <w:p w14:paraId="70397C55" w14:textId="4906BF1B" w:rsidR="00FC4E62" w:rsidRDefault="008B7257" w:rsidP="000E6329">
      <w:pPr>
        <w:ind w:left="6372"/>
      </w:pPr>
      <w:r>
        <w:t xml:space="preserve"> </w:t>
      </w:r>
      <w:r w:rsidR="002A0FCD">
        <w:t xml:space="preserve">  </w:t>
      </w:r>
      <w:r w:rsidR="00785E96">
        <w:t xml:space="preserve"> </w:t>
      </w:r>
      <w:r w:rsidR="00690294"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0BC10832" w14:textId="77777777" w:rsidR="002E0EE7" w:rsidRDefault="002E0EE7" w:rsidP="00004609"/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004609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4C69" w14:textId="77777777" w:rsidR="00D647F6" w:rsidRDefault="00D647F6">
      <w:r>
        <w:separator/>
      </w:r>
    </w:p>
  </w:endnote>
  <w:endnote w:type="continuationSeparator" w:id="0">
    <w:p w14:paraId="5DD2846A" w14:textId="77777777" w:rsidR="00D647F6" w:rsidRDefault="00D6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3C79" w14:textId="77777777" w:rsidR="00D647F6" w:rsidRDefault="00D647F6">
      <w:r>
        <w:separator/>
      </w:r>
    </w:p>
  </w:footnote>
  <w:footnote w:type="continuationSeparator" w:id="0">
    <w:p w14:paraId="327D157E" w14:textId="77777777" w:rsidR="00D647F6" w:rsidRDefault="00D6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04609"/>
    <w:rsid w:val="00005B0F"/>
    <w:rsid w:val="00011963"/>
    <w:rsid w:val="000129F0"/>
    <w:rsid w:val="00014E5D"/>
    <w:rsid w:val="00015094"/>
    <w:rsid w:val="00017AFE"/>
    <w:rsid w:val="000271DB"/>
    <w:rsid w:val="000301B7"/>
    <w:rsid w:val="00031F27"/>
    <w:rsid w:val="00033D1C"/>
    <w:rsid w:val="000351D2"/>
    <w:rsid w:val="00037248"/>
    <w:rsid w:val="00040D9D"/>
    <w:rsid w:val="0004436F"/>
    <w:rsid w:val="0004736D"/>
    <w:rsid w:val="0005358E"/>
    <w:rsid w:val="0007410B"/>
    <w:rsid w:val="00074361"/>
    <w:rsid w:val="000761F8"/>
    <w:rsid w:val="00083009"/>
    <w:rsid w:val="00083B7B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0C29"/>
    <w:rsid w:val="001316C9"/>
    <w:rsid w:val="00132BE9"/>
    <w:rsid w:val="001364EB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4C4E"/>
    <w:rsid w:val="00167EA7"/>
    <w:rsid w:val="001701A7"/>
    <w:rsid w:val="00170388"/>
    <w:rsid w:val="00173D64"/>
    <w:rsid w:val="00184831"/>
    <w:rsid w:val="00185636"/>
    <w:rsid w:val="001920D8"/>
    <w:rsid w:val="001933F3"/>
    <w:rsid w:val="00194375"/>
    <w:rsid w:val="00197BE3"/>
    <w:rsid w:val="001A0302"/>
    <w:rsid w:val="001A4B1C"/>
    <w:rsid w:val="001A63CE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24F9"/>
    <w:rsid w:val="001D36AD"/>
    <w:rsid w:val="001E03B7"/>
    <w:rsid w:val="001E2F42"/>
    <w:rsid w:val="001E42CE"/>
    <w:rsid w:val="001F6DA6"/>
    <w:rsid w:val="00200032"/>
    <w:rsid w:val="002003BE"/>
    <w:rsid w:val="00202524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37D92"/>
    <w:rsid w:val="002528A0"/>
    <w:rsid w:val="0025771E"/>
    <w:rsid w:val="00260233"/>
    <w:rsid w:val="002633CC"/>
    <w:rsid w:val="00265E72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958F1"/>
    <w:rsid w:val="00297B52"/>
    <w:rsid w:val="002A0FCD"/>
    <w:rsid w:val="002A2AC1"/>
    <w:rsid w:val="002A6574"/>
    <w:rsid w:val="002A7922"/>
    <w:rsid w:val="002B4E32"/>
    <w:rsid w:val="002B568B"/>
    <w:rsid w:val="002B5FEB"/>
    <w:rsid w:val="002B7521"/>
    <w:rsid w:val="002C0E85"/>
    <w:rsid w:val="002C43C8"/>
    <w:rsid w:val="002C45CB"/>
    <w:rsid w:val="002C5FF4"/>
    <w:rsid w:val="002C63CB"/>
    <w:rsid w:val="002D349E"/>
    <w:rsid w:val="002D57E4"/>
    <w:rsid w:val="002E0EE7"/>
    <w:rsid w:val="002E3A30"/>
    <w:rsid w:val="002F5624"/>
    <w:rsid w:val="002F64E5"/>
    <w:rsid w:val="003000A8"/>
    <w:rsid w:val="00306986"/>
    <w:rsid w:val="00310265"/>
    <w:rsid w:val="00316363"/>
    <w:rsid w:val="003163E6"/>
    <w:rsid w:val="003164D8"/>
    <w:rsid w:val="00326C04"/>
    <w:rsid w:val="00326F53"/>
    <w:rsid w:val="003305A1"/>
    <w:rsid w:val="0033169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2A00"/>
    <w:rsid w:val="0039430B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5E1E"/>
    <w:rsid w:val="003C6639"/>
    <w:rsid w:val="003D1343"/>
    <w:rsid w:val="003D1C1F"/>
    <w:rsid w:val="003D5F67"/>
    <w:rsid w:val="003D7662"/>
    <w:rsid w:val="003D7733"/>
    <w:rsid w:val="003D7A75"/>
    <w:rsid w:val="003D7BF6"/>
    <w:rsid w:val="003E0374"/>
    <w:rsid w:val="003E2756"/>
    <w:rsid w:val="003E4500"/>
    <w:rsid w:val="003E4F68"/>
    <w:rsid w:val="003F0536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0827"/>
    <w:rsid w:val="00421B91"/>
    <w:rsid w:val="00422A67"/>
    <w:rsid w:val="0042540A"/>
    <w:rsid w:val="00426BC2"/>
    <w:rsid w:val="0043466D"/>
    <w:rsid w:val="004362C4"/>
    <w:rsid w:val="00436BC6"/>
    <w:rsid w:val="004433CA"/>
    <w:rsid w:val="004444DB"/>
    <w:rsid w:val="004447FD"/>
    <w:rsid w:val="00445D72"/>
    <w:rsid w:val="00456D78"/>
    <w:rsid w:val="004626AB"/>
    <w:rsid w:val="00470DC6"/>
    <w:rsid w:val="0047660A"/>
    <w:rsid w:val="00477E06"/>
    <w:rsid w:val="00482B4C"/>
    <w:rsid w:val="00486934"/>
    <w:rsid w:val="00490947"/>
    <w:rsid w:val="00495CE4"/>
    <w:rsid w:val="00495EC9"/>
    <w:rsid w:val="00496843"/>
    <w:rsid w:val="00497155"/>
    <w:rsid w:val="004B1AA9"/>
    <w:rsid w:val="004B2A34"/>
    <w:rsid w:val="004B39E8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741"/>
    <w:rsid w:val="004E5D46"/>
    <w:rsid w:val="004E738A"/>
    <w:rsid w:val="004F0728"/>
    <w:rsid w:val="004F53B7"/>
    <w:rsid w:val="004F5972"/>
    <w:rsid w:val="004F7AD6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4EA8"/>
    <w:rsid w:val="00525DD4"/>
    <w:rsid w:val="00526CB0"/>
    <w:rsid w:val="00535C6F"/>
    <w:rsid w:val="00537E48"/>
    <w:rsid w:val="00543E50"/>
    <w:rsid w:val="00550B9D"/>
    <w:rsid w:val="0055294B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5D9D"/>
    <w:rsid w:val="005765CB"/>
    <w:rsid w:val="00576C8A"/>
    <w:rsid w:val="0058034E"/>
    <w:rsid w:val="005808BD"/>
    <w:rsid w:val="005831B1"/>
    <w:rsid w:val="00583771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3615"/>
    <w:rsid w:val="005E3F02"/>
    <w:rsid w:val="005E44EA"/>
    <w:rsid w:val="005E4F40"/>
    <w:rsid w:val="005E5FBD"/>
    <w:rsid w:val="005E681C"/>
    <w:rsid w:val="005F35AC"/>
    <w:rsid w:val="005F40C9"/>
    <w:rsid w:val="005F4CEE"/>
    <w:rsid w:val="005F5643"/>
    <w:rsid w:val="005F7D3D"/>
    <w:rsid w:val="005F7D72"/>
    <w:rsid w:val="0060094F"/>
    <w:rsid w:val="00610D53"/>
    <w:rsid w:val="0061103D"/>
    <w:rsid w:val="00611213"/>
    <w:rsid w:val="006169C2"/>
    <w:rsid w:val="00621D96"/>
    <w:rsid w:val="0062676F"/>
    <w:rsid w:val="00630A56"/>
    <w:rsid w:val="00632B89"/>
    <w:rsid w:val="00633761"/>
    <w:rsid w:val="00634967"/>
    <w:rsid w:val="00644471"/>
    <w:rsid w:val="00644D6D"/>
    <w:rsid w:val="006460F4"/>
    <w:rsid w:val="0065309A"/>
    <w:rsid w:val="00654F5D"/>
    <w:rsid w:val="00657BC9"/>
    <w:rsid w:val="00657BF7"/>
    <w:rsid w:val="00660954"/>
    <w:rsid w:val="006658F7"/>
    <w:rsid w:val="00665C59"/>
    <w:rsid w:val="00665F03"/>
    <w:rsid w:val="00672F71"/>
    <w:rsid w:val="00673E64"/>
    <w:rsid w:val="006772A0"/>
    <w:rsid w:val="00677C59"/>
    <w:rsid w:val="00681A30"/>
    <w:rsid w:val="0068211D"/>
    <w:rsid w:val="00682B78"/>
    <w:rsid w:val="0068341A"/>
    <w:rsid w:val="0068402C"/>
    <w:rsid w:val="0068415F"/>
    <w:rsid w:val="00690294"/>
    <w:rsid w:val="006919A1"/>
    <w:rsid w:val="00691F1D"/>
    <w:rsid w:val="006939C6"/>
    <w:rsid w:val="00694BF4"/>
    <w:rsid w:val="006963B2"/>
    <w:rsid w:val="006A74F8"/>
    <w:rsid w:val="006B29D1"/>
    <w:rsid w:val="006B2A1C"/>
    <w:rsid w:val="006B31AB"/>
    <w:rsid w:val="006B4CDD"/>
    <w:rsid w:val="006C4489"/>
    <w:rsid w:val="006D19DB"/>
    <w:rsid w:val="006D5B9B"/>
    <w:rsid w:val="006D5E1F"/>
    <w:rsid w:val="006E73FA"/>
    <w:rsid w:val="006F722C"/>
    <w:rsid w:val="0070094D"/>
    <w:rsid w:val="007024BE"/>
    <w:rsid w:val="00703022"/>
    <w:rsid w:val="00703E0F"/>
    <w:rsid w:val="00706261"/>
    <w:rsid w:val="00712340"/>
    <w:rsid w:val="0071395B"/>
    <w:rsid w:val="007166F4"/>
    <w:rsid w:val="0071684F"/>
    <w:rsid w:val="00722893"/>
    <w:rsid w:val="00722F04"/>
    <w:rsid w:val="007232D3"/>
    <w:rsid w:val="00725064"/>
    <w:rsid w:val="00726B24"/>
    <w:rsid w:val="00730269"/>
    <w:rsid w:val="00732159"/>
    <w:rsid w:val="0073582D"/>
    <w:rsid w:val="00737DE3"/>
    <w:rsid w:val="00743964"/>
    <w:rsid w:val="00745C9C"/>
    <w:rsid w:val="0074795B"/>
    <w:rsid w:val="00750222"/>
    <w:rsid w:val="007508C4"/>
    <w:rsid w:val="0075211F"/>
    <w:rsid w:val="00752E37"/>
    <w:rsid w:val="00753AA5"/>
    <w:rsid w:val="00754513"/>
    <w:rsid w:val="00754B94"/>
    <w:rsid w:val="007608BE"/>
    <w:rsid w:val="0076633F"/>
    <w:rsid w:val="00772902"/>
    <w:rsid w:val="00773E1B"/>
    <w:rsid w:val="007836CC"/>
    <w:rsid w:val="00784D14"/>
    <w:rsid w:val="00785E96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432F"/>
    <w:rsid w:val="007D6E72"/>
    <w:rsid w:val="007D7A94"/>
    <w:rsid w:val="007F054E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6F78"/>
    <w:rsid w:val="008374DE"/>
    <w:rsid w:val="00844DC4"/>
    <w:rsid w:val="00845895"/>
    <w:rsid w:val="0084697E"/>
    <w:rsid w:val="00846D18"/>
    <w:rsid w:val="0085099D"/>
    <w:rsid w:val="00862CB1"/>
    <w:rsid w:val="00864BE9"/>
    <w:rsid w:val="0086641F"/>
    <w:rsid w:val="008664A7"/>
    <w:rsid w:val="00866AED"/>
    <w:rsid w:val="00866AF0"/>
    <w:rsid w:val="00873CDF"/>
    <w:rsid w:val="00874979"/>
    <w:rsid w:val="00874A13"/>
    <w:rsid w:val="00876389"/>
    <w:rsid w:val="0088084D"/>
    <w:rsid w:val="00884B31"/>
    <w:rsid w:val="00885007"/>
    <w:rsid w:val="00895442"/>
    <w:rsid w:val="008A294C"/>
    <w:rsid w:val="008A403F"/>
    <w:rsid w:val="008B500C"/>
    <w:rsid w:val="008B7257"/>
    <w:rsid w:val="008B7885"/>
    <w:rsid w:val="008C0BA7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664"/>
    <w:rsid w:val="00906AFD"/>
    <w:rsid w:val="00914224"/>
    <w:rsid w:val="009161A7"/>
    <w:rsid w:val="00916575"/>
    <w:rsid w:val="009251BA"/>
    <w:rsid w:val="009307D4"/>
    <w:rsid w:val="00934740"/>
    <w:rsid w:val="0093656D"/>
    <w:rsid w:val="009402BB"/>
    <w:rsid w:val="009423D1"/>
    <w:rsid w:val="00942942"/>
    <w:rsid w:val="009429CD"/>
    <w:rsid w:val="009445B7"/>
    <w:rsid w:val="0094476D"/>
    <w:rsid w:val="0094583C"/>
    <w:rsid w:val="00947A5D"/>
    <w:rsid w:val="00950F00"/>
    <w:rsid w:val="0095141F"/>
    <w:rsid w:val="009537BA"/>
    <w:rsid w:val="00953C60"/>
    <w:rsid w:val="00953EE6"/>
    <w:rsid w:val="00955E8C"/>
    <w:rsid w:val="00956928"/>
    <w:rsid w:val="00957E87"/>
    <w:rsid w:val="00961210"/>
    <w:rsid w:val="00965838"/>
    <w:rsid w:val="009730E0"/>
    <w:rsid w:val="0097317D"/>
    <w:rsid w:val="00973421"/>
    <w:rsid w:val="00980ED2"/>
    <w:rsid w:val="009834ED"/>
    <w:rsid w:val="0098672C"/>
    <w:rsid w:val="00987137"/>
    <w:rsid w:val="00987C13"/>
    <w:rsid w:val="00987E4B"/>
    <w:rsid w:val="00992FDC"/>
    <w:rsid w:val="0099378E"/>
    <w:rsid w:val="009A45F6"/>
    <w:rsid w:val="009B0236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97"/>
    <w:rsid w:val="00A031BC"/>
    <w:rsid w:val="00A031CE"/>
    <w:rsid w:val="00A05661"/>
    <w:rsid w:val="00A06336"/>
    <w:rsid w:val="00A11A0B"/>
    <w:rsid w:val="00A12BEA"/>
    <w:rsid w:val="00A148B6"/>
    <w:rsid w:val="00A164A9"/>
    <w:rsid w:val="00A23FE1"/>
    <w:rsid w:val="00A249C9"/>
    <w:rsid w:val="00A2585C"/>
    <w:rsid w:val="00A25DA1"/>
    <w:rsid w:val="00A270C8"/>
    <w:rsid w:val="00A307CF"/>
    <w:rsid w:val="00A31230"/>
    <w:rsid w:val="00A330A0"/>
    <w:rsid w:val="00A3560C"/>
    <w:rsid w:val="00A41196"/>
    <w:rsid w:val="00A430CC"/>
    <w:rsid w:val="00A4538A"/>
    <w:rsid w:val="00A50DC5"/>
    <w:rsid w:val="00A53E7C"/>
    <w:rsid w:val="00A61A1D"/>
    <w:rsid w:val="00A62054"/>
    <w:rsid w:val="00A62D93"/>
    <w:rsid w:val="00A65633"/>
    <w:rsid w:val="00A70472"/>
    <w:rsid w:val="00A760D4"/>
    <w:rsid w:val="00A8088B"/>
    <w:rsid w:val="00A81D92"/>
    <w:rsid w:val="00A841D1"/>
    <w:rsid w:val="00A933FC"/>
    <w:rsid w:val="00A937E9"/>
    <w:rsid w:val="00A93878"/>
    <w:rsid w:val="00A94D3F"/>
    <w:rsid w:val="00A96B3F"/>
    <w:rsid w:val="00A9759F"/>
    <w:rsid w:val="00AA1EA9"/>
    <w:rsid w:val="00AA5585"/>
    <w:rsid w:val="00AA67E0"/>
    <w:rsid w:val="00AB1ED7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AF6EFA"/>
    <w:rsid w:val="00B00F4E"/>
    <w:rsid w:val="00B0193D"/>
    <w:rsid w:val="00B02248"/>
    <w:rsid w:val="00B02A63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36C4A"/>
    <w:rsid w:val="00B403C9"/>
    <w:rsid w:val="00B40E59"/>
    <w:rsid w:val="00B41B49"/>
    <w:rsid w:val="00B43A18"/>
    <w:rsid w:val="00B43D73"/>
    <w:rsid w:val="00B44DFE"/>
    <w:rsid w:val="00B45A80"/>
    <w:rsid w:val="00B45B5C"/>
    <w:rsid w:val="00B46878"/>
    <w:rsid w:val="00B55D64"/>
    <w:rsid w:val="00B61823"/>
    <w:rsid w:val="00B71966"/>
    <w:rsid w:val="00B72AA5"/>
    <w:rsid w:val="00B75164"/>
    <w:rsid w:val="00B809C8"/>
    <w:rsid w:val="00B80BDF"/>
    <w:rsid w:val="00B82430"/>
    <w:rsid w:val="00B85175"/>
    <w:rsid w:val="00B87505"/>
    <w:rsid w:val="00B91F76"/>
    <w:rsid w:val="00B943F6"/>
    <w:rsid w:val="00BA1202"/>
    <w:rsid w:val="00BA4803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1AA2"/>
    <w:rsid w:val="00BD423D"/>
    <w:rsid w:val="00BD5AF6"/>
    <w:rsid w:val="00BE1CD9"/>
    <w:rsid w:val="00BE34F2"/>
    <w:rsid w:val="00BE5699"/>
    <w:rsid w:val="00BE5FFD"/>
    <w:rsid w:val="00BE64B5"/>
    <w:rsid w:val="00BF11B4"/>
    <w:rsid w:val="00C00002"/>
    <w:rsid w:val="00C03508"/>
    <w:rsid w:val="00C04358"/>
    <w:rsid w:val="00C04888"/>
    <w:rsid w:val="00C04B1F"/>
    <w:rsid w:val="00C059A6"/>
    <w:rsid w:val="00C05A6C"/>
    <w:rsid w:val="00C061B7"/>
    <w:rsid w:val="00C21A31"/>
    <w:rsid w:val="00C2261C"/>
    <w:rsid w:val="00C249FE"/>
    <w:rsid w:val="00C24E90"/>
    <w:rsid w:val="00C27275"/>
    <w:rsid w:val="00C32EB9"/>
    <w:rsid w:val="00C3384D"/>
    <w:rsid w:val="00C37EEB"/>
    <w:rsid w:val="00C44CF6"/>
    <w:rsid w:val="00C45C18"/>
    <w:rsid w:val="00C518FE"/>
    <w:rsid w:val="00C544CB"/>
    <w:rsid w:val="00C556BD"/>
    <w:rsid w:val="00C60E89"/>
    <w:rsid w:val="00C60EA9"/>
    <w:rsid w:val="00C65B1B"/>
    <w:rsid w:val="00C66D60"/>
    <w:rsid w:val="00C72AC2"/>
    <w:rsid w:val="00C74426"/>
    <w:rsid w:val="00C76214"/>
    <w:rsid w:val="00C82109"/>
    <w:rsid w:val="00C83109"/>
    <w:rsid w:val="00C84129"/>
    <w:rsid w:val="00C84F7E"/>
    <w:rsid w:val="00C85BAE"/>
    <w:rsid w:val="00C85CF6"/>
    <w:rsid w:val="00C87416"/>
    <w:rsid w:val="00C90405"/>
    <w:rsid w:val="00C93FDF"/>
    <w:rsid w:val="00C96E58"/>
    <w:rsid w:val="00C9783B"/>
    <w:rsid w:val="00CA14DE"/>
    <w:rsid w:val="00CA5E65"/>
    <w:rsid w:val="00CA64AD"/>
    <w:rsid w:val="00CB0A8D"/>
    <w:rsid w:val="00CB16F6"/>
    <w:rsid w:val="00CB2FCF"/>
    <w:rsid w:val="00CB348C"/>
    <w:rsid w:val="00CB4E70"/>
    <w:rsid w:val="00CC1359"/>
    <w:rsid w:val="00CC1362"/>
    <w:rsid w:val="00CC596F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3A85"/>
    <w:rsid w:val="00CF6E8E"/>
    <w:rsid w:val="00D004B4"/>
    <w:rsid w:val="00D00758"/>
    <w:rsid w:val="00D02A92"/>
    <w:rsid w:val="00D046BD"/>
    <w:rsid w:val="00D05E4A"/>
    <w:rsid w:val="00D132AF"/>
    <w:rsid w:val="00D20674"/>
    <w:rsid w:val="00D21A21"/>
    <w:rsid w:val="00D24271"/>
    <w:rsid w:val="00D254FE"/>
    <w:rsid w:val="00D25D71"/>
    <w:rsid w:val="00D33C28"/>
    <w:rsid w:val="00D403AB"/>
    <w:rsid w:val="00D41456"/>
    <w:rsid w:val="00D428F6"/>
    <w:rsid w:val="00D44B65"/>
    <w:rsid w:val="00D457F5"/>
    <w:rsid w:val="00D458DC"/>
    <w:rsid w:val="00D47C16"/>
    <w:rsid w:val="00D53C5F"/>
    <w:rsid w:val="00D55D77"/>
    <w:rsid w:val="00D56D60"/>
    <w:rsid w:val="00D628D9"/>
    <w:rsid w:val="00D647F6"/>
    <w:rsid w:val="00D67000"/>
    <w:rsid w:val="00D7203C"/>
    <w:rsid w:val="00D724DC"/>
    <w:rsid w:val="00D72600"/>
    <w:rsid w:val="00D75A91"/>
    <w:rsid w:val="00D772F3"/>
    <w:rsid w:val="00D77F4D"/>
    <w:rsid w:val="00D81309"/>
    <w:rsid w:val="00D82CB6"/>
    <w:rsid w:val="00D84CC5"/>
    <w:rsid w:val="00D872DC"/>
    <w:rsid w:val="00D91F38"/>
    <w:rsid w:val="00D940D2"/>
    <w:rsid w:val="00D9591E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4725"/>
    <w:rsid w:val="00DE5126"/>
    <w:rsid w:val="00DE6161"/>
    <w:rsid w:val="00DF2B93"/>
    <w:rsid w:val="00DF75AE"/>
    <w:rsid w:val="00E01D24"/>
    <w:rsid w:val="00E0350A"/>
    <w:rsid w:val="00E036A6"/>
    <w:rsid w:val="00E0435F"/>
    <w:rsid w:val="00E05290"/>
    <w:rsid w:val="00E0564F"/>
    <w:rsid w:val="00E07E12"/>
    <w:rsid w:val="00E1123A"/>
    <w:rsid w:val="00E11882"/>
    <w:rsid w:val="00E119A9"/>
    <w:rsid w:val="00E11C9F"/>
    <w:rsid w:val="00E12E1E"/>
    <w:rsid w:val="00E13305"/>
    <w:rsid w:val="00E139C5"/>
    <w:rsid w:val="00E15A64"/>
    <w:rsid w:val="00E15DC8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40A"/>
    <w:rsid w:val="00E53D07"/>
    <w:rsid w:val="00E55267"/>
    <w:rsid w:val="00E63A01"/>
    <w:rsid w:val="00E642AB"/>
    <w:rsid w:val="00E674B1"/>
    <w:rsid w:val="00E92D7F"/>
    <w:rsid w:val="00E946F5"/>
    <w:rsid w:val="00E951B6"/>
    <w:rsid w:val="00EA1122"/>
    <w:rsid w:val="00EA3D2D"/>
    <w:rsid w:val="00EA5D73"/>
    <w:rsid w:val="00EB0A21"/>
    <w:rsid w:val="00EB0B64"/>
    <w:rsid w:val="00EB1004"/>
    <w:rsid w:val="00EB1667"/>
    <w:rsid w:val="00EB6C6A"/>
    <w:rsid w:val="00EC2CF7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5071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580B"/>
    <w:rsid w:val="00F358E4"/>
    <w:rsid w:val="00F377EE"/>
    <w:rsid w:val="00F406FE"/>
    <w:rsid w:val="00F45D37"/>
    <w:rsid w:val="00F5257A"/>
    <w:rsid w:val="00F52E99"/>
    <w:rsid w:val="00F55DE0"/>
    <w:rsid w:val="00F619FD"/>
    <w:rsid w:val="00F6654D"/>
    <w:rsid w:val="00F73BBB"/>
    <w:rsid w:val="00F80285"/>
    <w:rsid w:val="00F833D9"/>
    <w:rsid w:val="00F869FF"/>
    <w:rsid w:val="00F870E6"/>
    <w:rsid w:val="00F93526"/>
    <w:rsid w:val="00F963BB"/>
    <w:rsid w:val="00F968A4"/>
    <w:rsid w:val="00FA0547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AB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3365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23178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12</cp:revision>
  <dcterms:created xsi:type="dcterms:W3CDTF">2025-06-03T09:19:00Z</dcterms:created>
  <dcterms:modified xsi:type="dcterms:W3CDTF">2025-06-27T07:39:00Z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