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CF" w:rsidRDefault="00CC5C78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62914690" behindDoc="1" locked="0" layoutInCell="1" allowOverlap="1">
            <wp:simplePos x="0" y="0"/>
            <wp:positionH relativeFrom="page">
              <wp:posOffset>356870</wp:posOffset>
            </wp:positionH>
            <wp:positionV relativeFrom="paragraph">
              <wp:posOffset>12700</wp:posOffset>
            </wp:positionV>
            <wp:extent cx="1847215" cy="11036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307975</wp:posOffset>
                </wp:positionV>
                <wp:extent cx="87185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6DCF" w:rsidRDefault="00CC5C78">
                            <w:pPr>
                              <w:pStyle w:val="Zkladntext1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"http://www.zzsjmk.cz"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Zkladntext"/>
                                <w:sz w:val="19"/>
                                <w:szCs w:val="19"/>
                                <w:lang w:val="en-US" w:eastAsia="en-US" w:bidi="en-US"/>
                              </w:rPr>
                              <w:t>www.zzsjmk.cz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0.40000000000003pt;margin-top:24.25pt;width:68.650000000000006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"http://www.zzsjmk.cz"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sz w:val="19"/>
                          <w:szCs w:val="19"/>
                          <w:lang w:val="en-US" w:eastAsia="en-US" w:bidi="en-US"/>
                        </w:rPr>
                        <w:t>www.zzsjmk.cz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9567545</wp:posOffset>
                </wp:positionV>
                <wp:extent cx="2035810" cy="3232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6DCF" w:rsidRDefault="00CC5C78">
                            <w:pPr>
                              <w:pStyle w:val="Zkladntext20"/>
                              <w:spacing w:line="283" w:lineRule="auto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 xml:space="preserve">Zdravotnická záchranná služba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JmK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.</w:t>
                            </w:r>
                            <w:proofErr w:type="gramEnd"/>
                          </w:p>
                          <w:p w:rsidR="00B66DCF" w:rsidRDefault="00CC5C78">
                            <w:pPr>
                              <w:pStyle w:val="Zkladntext20"/>
                              <w:spacing w:line="283" w:lineRule="auto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IČ: 00546292 se sídlem: Kameníce 798/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ld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. 625 00 Brno zapsaná v OR u rejstříkového soudu v Brně pod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1245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.100000000000001pt;margin-top:753.35000000000002pt;width:160.30000000000001pt;height:25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Zdravotnická záchranná služba JmK p.o.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IČ: 00546292 se sídlem: Kameníce 798/ld. 625 00 Brno zapsaná v OR u rejstříkového soudu v Brně pod zn, Pr 1245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66DCF" w:rsidRDefault="00B66DCF">
      <w:pPr>
        <w:pStyle w:val="Nadpis10"/>
        <w:keepNext/>
        <w:keepLines/>
      </w:pPr>
    </w:p>
    <w:p w:rsidR="00B66DCF" w:rsidRDefault="00CC5C78">
      <w:pPr>
        <w:pStyle w:val="Zkladntext40"/>
      </w:pPr>
      <w:r>
        <w:rPr>
          <w:rStyle w:val="Zkladntext4"/>
        </w:rPr>
        <w:t>2025004941</w:t>
      </w:r>
    </w:p>
    <w:p w:rsidR="00B66DCF" w:rsidRDefault="00CC5C78">
      <w:pPr>
        <w:pStyle w:val="Zkladntext30"/>
      </w:pPr>
      <w:r>
        <w:rPr>
          <w:rStyle w:val="Zkladntext3"/>
        </w:rPr>
        <w:t>Dodatek č. 1</w:t>
      </w:r>
    </w:p>
    <w:p w:rsidR="00B66DCF" w:rsidRDefault="00CC5C78">
      <w:pPr>
        <w:pStyle w:val="Zkladntext1"/>
        <w:spacing w:after="600" w:line="262" w:lineRule="auto"/>
        <w:jc w:val="center"/>
      </w:pPr>
      <w:r>
        <w:rPr>
          <w:rStyle w:val="Zkladntext"/>
        </w:rPr>
        <w:t xml:space="preserve">ke smlouvě </w:t>
      </w:r>
      <w:r>
        <w:rPr>
          <w:rStyle w:val="Zkladntext"/>
        </w:rPr>
        <w:t xml:space="preserve">o vývoji, zajištění provozu a dalším rozvoji aplikace </w:t>
      </w:r>
      <w:proofErr w:type="spellStart"/>
      <w:r>
        <w:rPr>
          <w:rStyle w:val="Zkladntext"/>
        </w:rPr>
        <w:t>MyZZS</w:t>
      </w:r>
      <w:proofErr w:type="spellEnd"/>
      <w:r>
        <w:rPr>
          <w:rStyle w:val="Zkladntext"/>
        </w:rPr>
        <w:t xml:space="preserve"> JMK ze dne 15. 6.</w:t>
      </w:r>
      <w:r>
        <w:rPr>
          <w:rStyle w:val="Zkladntext"/>
        </w:rPr>
        <w:br/>
        <w:t xml:space="preserve">2022 (dále jen </w:t>
      </w:r>
      <w:r>
        <w:rPr>
          <w:rStyle w:val="Zkladntext"/>
          <w:b/>
          <w:bCs/>
        </w:rPr>
        <w:t>„smlouva“)</w:t>
      </w:r>
    </w:p>
    <w:p w:rsidR="00B66DCF" w:rsidRDefault="00CC5C78">
      <w:pPr>
        <w:pStyle w:val="Nadpis30"/>
        <w:keepNext/>
        <w:keepLines/>
        <w:spacing w:after="80"/>
        <w:ind w:left="0"/>
        <w:jc w:val="center"/>
      </w:pPr>
      <w:bookmarkStart w:id="0" w:name="bookmark2"/>
      <w:r>
        <w:rPr>
          <w:rStyle w:val="Nadpis3"/>
          <w:b/>
          <w:bCs/>
        </w:rPr>
        <w:t>Smluvní strany</w:t>
      </w:r>
      <w:bookmarkEnd w:id="0"/>
    </w:p>
    <w:p w:rsidR="00B66DCF" w:rsidRDefault="00CC5C78">
      <w:pPr>
        <w:pStyle w:val="Nadpis30"/>
        <w:keepNext/>
        <w:keepLines/>
        <w:spacing w:line="307" w:lineRule="auto"/>
        <w:ind w:left="0"/>
      </w:pPr>
      <w:r>
        <w:rPr>
          <w:rStyle w:val="Nadpis3"/>
          <w:b/>
          <w:bCs/>
        </w:rPr>
        <w:t>Zdravotnická záchranná služba Jihomoravského kraje, příspěvková organizace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>Sídlo: Kamenice 798/1 d, Brno 62500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>Zastoupena: MUDr. Hanou Al</w:t>
      </w:r>
      <w:r>
        <w:rPr>
          <w:rStyle w:val="Zkladntext"/>
        </w:rPr>
        <w:t>brechtovou, ředitelkou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>IČ: 00346292, DIČ: CZ00346292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Zápis v OR: 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Bankovní spojení: MONETA Money Bank, a. 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117203514/0600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B66DCF" w:rsidRDefault="00CC5C78">
      <w:pPr>
        <w:pStyle w:val="Zkladntext1"/>
        <w:spacing w:after="0"/>
      </w:pPr>
      <w:r>
        <w:rPr>
          <w:rStyle w:val="Zkladntext"/>
          <w:b/>
          <w:bCs/>
        </w:rPr>
        <w:t>a</w:t>
      </w:r>
    </w:p>
    <w:p w:rsidR="00B66DCF" w:rsidRDefault="00CC5C78">
      <w:pPr>
        <w:pStyle w:val="Zkladntext1"/>
        <w:spacing w:after="0"/>
      </w:pPr>
      <w:r>
        <w:rPr>
          <w:rStyle w:val="Zkladntext"/>
          <w:b/>
          <w:bCs/>
        </w:rPr>
        <w:t xml:space="preserve">Medical </w:t>
      </w:r>
      <w:proofErr w:type="spellStart"/>
      <w:r>
        <w:rPr>
          <w:rStyle w:val="Zkladntext"/>
          <w:b/>
          <w:bCs/>
        </w:rPr>
        <w:t>Information</w:t>
      </w:r>
      <w:proofErr w:type="spellEnd"/>
      <w:r>
        <w:rPr>
          <w:rStyle w:val="Zkladntext"/>
          <w:b/>
          <w:bCs/>
        </w:rPr>
        <w:t xml:space="preserve"> Technologies, s. r. o.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>Sídlo: Váchová 43/5,</w:t>
      </w:r>
      <w:r>
        <w:rPr>
          <w:rStyle w:val="Zkladntext"/>
        </w:rPr>
        <w:t xml:space="preserve"> Brno 60200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Zastoupena: Pavlem </w:t>
      </w:r>
      <w:proofErr w:type="spellStart"/>
      <w:r>
        <w:rPr>
          <w:rStyle w:val="Zkladntext"/>
        </w:rPr>
        <w:t>Múllerem</w:t>
      </w:r>
      <w:proofErr w:type="spellEnd"/>
      <w:r>
        <w:rPr>
          <w:rStyle w:val="Zkladntext"/>
        </w:rPr>
        <w:t>, BA, LLM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>IČ: 03759865, DIČ: CZ03759865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Zápis v OR: 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86630</w:t>
      </w:r>
    </w:p>
    <w:p w:rsidR="00B66DCF" w:rsidRDefault="00CC5C78">
      <w:pPr>
        <w:pStyle w:val="Zkladntext1"/>
        <w:spacing w:after="0"/>
      </w:pPr>
      <w:r>
        <w:rPr>
          <w:rStyle w:val="Zkladntext"/>
        </w:rPr>
        <w:t xml:space="preserve">Bankovní spojení: Komerční banka, a. 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107 - 9445700297 / 0100</w:t>
      </w:r>
    </w:p>
    <w:p w:rsidR="00B66DCF" w:rsidRDefault="00CC5C78">
      <w:pPr>
        <w:pStyle w:val="Zkladntext1"/>
        <w:spacing w:after="480"/>
      </w:pPr>
      <w:r>
        <w:rPr>
          <w:rStyle w:val="Zkladntext"/>
          <w:b/>
          <w:bCs/>
        </w:rPr>
        <w:t>(dále jen „zhotovitel“)</w:t>
      </w:r>
    </w:p>
    <w:p w:rsidR="00B66DCF" w:rsidRDefault="00CC5C78">
      <w:pPr>
        <w:pStyle w:val="Nadpis20"/>
        <w:keepNext/>
        <w:keepLines/>
        <w:ind w:left="4440"/>
      </w:pPr>
      <w:bookmarkStart w:id="1" w:name="bookmark5"/>
      <w:r>
        <w:rPr>
          <w:rStyle w:val="Nadpis2"/>
        </w:rPr>
        <w:t>n.</w:t>
      </w:r>
      <w:bookmarkEnd w:id="1"/>
    </w:p>
    <w:p w:rsidR="00B66DCF" w:rsidRDefault="00CC5C78">
      <w:pPr>
        <w:pStyle w:val="Zkladntext1"/>
        <w:spacing w:after="180" w:line="240" w:lineRule="auto"/>
      </w:pPr>
      <w:r>
        <w:rPr>
          <w:rStyle w:val="Zkladntext"/>
        </w:rPr>
        <w:t>ČI. IV. odst. 1. písm. b) smlo</w:t>
      </w:r>
      <w:r>
        <w:rPr>
          <w:rStyle w:val="Zkladntext"/>
        </w:rPr>
        <w:t>uvy se mění a nadále zní takto:</w:t>
      </w:r>
    </w:p>
    <w:p w:rsidR="00B66DCF" w:rsidRDefault="00CC5C78">
      <w:pPr>
        <w:pStyle w:val="Zkladntext1"/>
      </w:pPr>
      <w:r>
        <w:rPr>
          <w:rStyle w:val="Zkladntext"/>
        </w:rPr>
        <w:t>provoz a údržba Aplikace v podobě po Aktualizaci v souladu s čl. I. odst. 1 písm. c) této smlouvy s tím, že tyto služby budou poskytovány do 31. 10. 2026.</w:t>
      </w:r>
    </w:p>
    <w:p w:rsidR="00B66DCF" w:rsidRDefault="00B66DCF">
      <w:pPr>
        <w:pStyle w:val="Nadpis30"/>
        <w:keepNext/>
        <w:keepLines/>
        <w:numPr>
          <w:ilvl w:val="0"/>
          <w:numId w:val="1"/>
        </w:numPr>
        <w:ind w:left="4440"/>
      </w:pPr>
      <w:bookmarkStart w:id="2" w:name="bookmark7"/>
      <w:bookmarkEnd w:id="2"/>
    </w:p>
    <w:p w:rsidR="00B66DCF" w:rsidRDefault="00CC5C78">
      <w:pPr>
        <w:pStyle w:val="Zkladntext1"/>
        <w:spacing w:after="180" w:line="240" w:lineRule="auto"/>
      </w:pPr>
      <w:r>
        <w:rPr>
          <w:rStyle w:val="Zkladntext"/>
        </w:rPr>
        <w:t>Čl. IV. odst. 4. smlouvy se mění a nadále zní takto:</w:t>
      </w:r>
    </w:p>
    <w:p w:rsidR="00B66DCF" w:rsidRDefault="00CC5C78">
      <w:pPr>
        <w:pStyle w:val="Zkladntext1"/>
      </w:pPr>
      <w:r>
        <w:rPr>
          <w:rStyle w:val="Zkladntext"/>
        </w:rPr>
        <w:t>Nad rámec běžné</w:t>
      </w:r>
      <w:r>
        <w:rPr>
          <w:rStyle w:val="Zkladntext"/>
        </w:rPr>
        <w:t xml:space="preserve"> Podpory bude Zhotovitel na žádost Objednatele vyvíjet po vzájemné dohodě nové moduly a funkcionality Aplikace (dále jen </w:t>
      </w:r>
      <w:r>
        <w:rPr>
          <w:rStyle w:val="Zkladntext"/>
          <w:b/>
          <w:bCs/>
        </w:rPr>
        <w:t xml:space="preserve">„Rozvoj“), </w:t>
      </w:r>
      <w:r>
        <w:rPr>
          <w:rStyle w:val="Zkladntext"/>
        </w:rPr>
        <w:t>a to do 31. 10. 2026. Objednatel bere na vědomí, že náklady na Rozvoj mohou být po předchozí dohodě se Zhotovitelem a ostatn</w:t>
      </w:r>
      <w:r>
        <w:rPr>
          <w:rStyle w:val="Zkladntext"/>
        </w:rPr>
        <w:t xml:space="preserve">ími klienty Zhotovitele rovnoměrně rozděleny mezi Objednatele a ostatní klienty </w:t>
      </w:r>
      <w:proofErr w:type="spellStart"/>
      <w:r>
        <w:rPr>
          <w:rStyle w:val="Zkladntext"/>
        </w:rPr>
        <w:t>Zhovovitele</w:t>
      </w:r>
      <w:proofErr w:type="spellEnd"/>
      <w:r>
        <w:rPr>
          <w:rStyle w:val="Zkladntext"/>
        </w:rPr>
        <w:t>.</w:t>
      </w:r>
    </w:p>
    <w:p w:rsidR="00B66DCF" w:rsidRDefault="00B66DCF">
      <w:pPr>
        <w:pStyle w:val="Nadpis30"/>
        <w:keepNext/>
        <w:keepLines/>
        <w:numPr>
          <w:ilvl w:val="0"/>
          <w:numId w:val="1"/>
        </w:numPr>
        <w:ind w:left="4440"/>
      </w:pPr>
      <w:bookmarkStart w:id="3" w:name="bookmark9"/>
      <w:bookmarkEnd w:id="3"/>
    </w:p>
    <w:p w:rsidR="00B66DCF" w:rsidRDefault="00CC5C78">
      <w:pPr>
        <w:pStyle w:val="Zkladntext1"/>
        <w:spacing w:after="180" w:line="240" w:lineRule="auto"/>
      </w:pPr>
      <w:r>
        <w:rPr>
          <w:rStyle w:val="Zkladntext"/>
        </w:rPr>
        <w:t xml:space="preserve">Čl. </w:t>
      </w:r>
      <w:proofErr w:type="gramStart"/>
      <w:r>
        <w:rPr>
          <w:rStyle w:val="Zkladntext"/>
        </w:rPr>
        <w:t>Vlil</w:t>
      </w:r>
      <w:proofErr w:type="gramEnd"/>
      <w:r>
        <w:rPr>
          <w:rStyle w:val="Zkladntext"/>
        </w:rPr>
        <w:t xml:space="preserve">. odst. 1. smlouvy se </w:t>
      </w:r>
      <w:proofErr w:type="gramStart"/>
      <w:r>
        <w:rPr>
          <w:rStyle w:val="Zkladntext"/>
        </w:rPr>
        <w:t>mění</w:t>
      </w:r>
      <w:proofErr w:type="gramEnd"/>
      <w:r>
        <w:rPr>
          <w:rStyle w:val="Zkladntext"/>
        </w:rPr>
        <w:t xml:space="preserve"> a nadále zní takto:</w:t>
      </w:r>
    </w:p>
    <w:p w:rsidR="00B66DCF" w:rsidRDefault="00CC5C78">
      <w:pPr>
        <w:pStyle w:val="Zkladntext1"/>
        <w:spacing w:after="780"/>
      </w:pPr>
      <w:r>
        <w:rPr>
          <w:rStyle w:val="Zkladntext"/>
        </w:rPr>
        <w:t>Tato smlouva nabývá platnosti dnem jejího uzavření a účinnosti dnem jejího uveřejnění v registru smluv podl</w:t>
      </w:r>
      <w:r>
        <w:rPr>
          <w:rStyle w:val="Zkladntext"/>
        </w:rPr>
        <w:t xml:space="preserve">e příslušných ustanovení zákona č. 340/2015 Sb., o registru smluv.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 Tato smlouva se uzavírá na dobu určitou, a to do 31. 10. 2026.</w:t>
      </w:r>
    </w:p>
    <w:p w:rsidR="00B66DCF" w:rsidRDefault="00CC5C78">
      <w:pPr>
        <w:pStyle w:val="Zkladntext20"/>
        <w:tabs>
          <w:tab w:val="left" w:pos="3434"/>
        </w:tabs>
        <w:spacing w:line="240" w:lineRule="auto"/>
        <w:ind w:firstLine="180"/>
      </w:pPr>
      <w:r>
        <w:rPr>
          <w:rStyle w:val="Zkladntext2"/>
        </w:rPr>
        <w:t xml:space="preserve">telefon: +420 545 </w:t>
      </w:r>
      <w:r>
        <w:rPr>
          <w:rStyle w:val="Zkladntext2"/>
        </w:rPr>
        <w:t>115 101 (sekretariát ředitele)</w:t>
      </w:r>
      <w:r>
        <w:rPr>
          <w:rStyle w:val="Zkladntext2"/>
        </w:rPr>
        <w:tab/>
        <w:t>E-mail: infofajzzsjmk.cz</w:t>
      </w:r>
    </w:p>
    <w:p w:rsidR="00B66DCF" w:rsidRDefault="00CC5C78">
      <w:pPr>
        <w:pStyle w:val="Zkladntext20"/>
        <w:tabs>
          <w:tab w:val="left" w:pos="3378"/>
        </w:tabs>
        <w:spacing w:line="240" w:lineRule="auto"/>
        <w:ind w:firstLine="700"/>
      </w:pPr>
      <w:r>
        <w:rPr>
          <w:rStyle w:val="Zkladntext2"/>
        </w:rPr>
        <w:t>+420 545 113 111, 545 113 102 (podatelna)</w:t>
      </w:r>
      <w:r>
        <w:rPr>
          <w:rStyle w:val="Zkladntext2"/>
        </w:rPr>
        <w:tab/>
        <w:t>ID datové schránky: rv5mvri</w:t>
      </w:r>
    </w:p>
    <w:p w:rsidR="00B66DCF" w:rsidRDefault="00B66DCF">
      <w:pPr>
        <w:pStyle w:val="Zkladntext20"/>
        <w:spacing w:after="80" w:line="240" w:lineRule="auto"/>
        <w:ind w:firstLine="180"/>
      </w:pPr>
      <w:bookmarkStart w:id="4" w:name="_GoBack"/>
      <w:bookmarkEnd w:id="4"/>
    </w:p>
    <w:p w:rsidR="00B66DCF" w:rsidRDefault="00CC5C78">
      <w:pPr>
        <w:pStyle w:val="Nadpis20"/>
        <w:keepNext/>
        <w:keepLines/>
        <w:ind w:left="0"/>
        <w:jc w:val="center"/>
      </w:pPr>
      <w:bookmarkStart w:id="5" w:name="bookmark11"/>
      <w:r>
        <w:rPr>
          <w:rStyle w:val="Nadpis2"/>
        </w:rPr>
        <w:t>v.</w:t>
      </w:r>
      <w:bookmarkEnd w:id="5"/>
    </w:p>
    <w:p w:rsidR="00B66DCF" w:rsidRDefault="00CC5C78">
      <w:pPr>
        <w:pStyle w:val="Zkladntext1"/>
        <w:spacing w:after="560" w:line="240" w:lineRule="auto"/>
      </w:pPr>
      <w:r>
        <w:rPr>
          <w:rStyle w:val="Zkladntext"/>
        </w:rPr>
        <w:t>Ostatní ustanovení smlouvy zůstávají beze změny.</w:t>
      </w:r>
    </w:p>
    <w:p w:rsidR="00B66DCF" w:rsidRDefault="00B66DCF">
      <w:pPr>
        <w:pStyle w:val="Nadpis30"/>
        <w:keepNext/>
        <w:keepLines/>
        <w:numPr>
          <w:ilvl w:val="0"/>
          <w:numId w:val="2"/>
        </w:numPr>
        <w:ind w:left="4420"/>
      </w:pPr>
      <w:bookmarkStart w:id="6" w:name="bookmark13"/>
      <w:bookmarkEnd w:id="6"/>
    </w:p>
    <w:p w:rsidR="00B66DCF" w:rsidRDefault="00CC5C78">
      <w:pPr>
        <w:pStyle w:val="Zkladntext1"/>
        <w:spacing w:after="560" w:line="240" w:lineRule="auto"/>
      </w:pPr>
      <w:r>
        <w:rPr>
          <w:rStyle w:val="Zkladntext"/>
        </w:rPr>
        <w:t xml:space="preserve">Tento dodatek lze změnit nebo zrušit pouze jinou </w:t>
      </w:r>
      <w:r>
        <w:rPr>
          <w:rStyle w:val="Zkladntext"/>
        </w:rPr>
        <w:t>písemnou dohodou obou smluvních stran.</w:t>
      </w:r>
    </w:p>
    <w:p w:rsidR="00B66DCF" w:rsidRDefault="00B66DCF">
      <w:pPr>
        <w:pStyle w:val="Nadpis30"/>
        <w:keepNext/>
        <w:keepLines/>
        <w:numPr>
          <w:ilvl w:val="0"/>
          <w:numId w:val="2"/>
        </w:numPr>
        <w:ind w:left="0"/>
        <w:jc w:val="center"/>
      </w:pPr>
      <w:bookmarkStart w:id="7" w:name="bookmark15"/>
      <w:bookmarkEnd w:id="7"/>
    </w:p>
    <w:p w:rsidR="00B66DCF" w:rsidRDefault="00CC5C78">
      <w:pPr>
        <w:pStyle w:val="Zkladntext1"/>
        <w:spacing w:after="160" w:line="240" w:lineRule="auto"/>
      </w:pPr>
      <w:r>
        <w:rPr>
          <w:rStyle w:val="Zkladntext"/>
        </w:rPr>
        <w:t>Tento dodatek nabývá platnosti dnem podpisu obou smluvních stran a účinnosti dnem</w:t>
      </w:r>
    </w:p>
    <w:p w:rsidR="00B66DCF" w:rsidRDefault="00CC5C78">
      <w:pPr>
        <w:pStyle w:val="Zkladntext1"/>
        <w:spacing w:after="480" w:line="240" w:lineRule="auto"/>
      </w:pPr>
      <w:r>
        <w:rPr>
          <w:rStyle w:val="Zkladntext"/>
          <w:b/>
          <w:bCs/>
        </w:rPr>
        <w:t>1. 6. 2025</w:t>
      </w:r>
    </w:p>
    <w:p w:rsidR="00B66DCF" w:rsidRDefault="00CC5C78">
      <w:pPr>
        <w:pStyle w:val="Nadpis30"/>
        <w:keepNext/>
        <w:keepLines/>
        <w:ind w:left="0"/>
        <w:jc w:val="center"/>
      </w:pPr>
      <w:bookmarkStart w:id="8" w:name="bookmark17"/>
      <w:r>
        <w:rPr>
          <w:rStyle w:val="Nadpis3"/>
          <w:b/>
          <w:bCs/>
        </w:rPr>
        <w:t>Vlil.</w:t>
      </w:r>
      <w:bookmarkEnd w:id="8"/>
    </w:p>
    <w:p w:rsidR="00B66DCF" w:rsidRDefault="00CC5C78">
      <w:pPr>
        <w:pStyle w:val="Zkladntext1"/>
        <w:spacing w:after="1280"/>
      </w:pPr>
      <w:r>
        <w:rPr>
          <w:rStyle w:val="Zkladntext"/>
        </w:rPr>
        <w:t>Tento dodatek se vyhotovuje ve dvou stejnopisech s platností originálu, z nich každá ze stran obdrží jedno jeho vyhot</w:t>
      </w:r>
      <w:r>
        <w:rPr>
          <w:rStyle w:val="Zkladntext"/>
        </w:rPr>
        <w:t>ovení.</w:t>
      </w:r>
    </w:p>
    <w:p w:rsidR="00B66DCF" w:rsidRDefault="00CC5C78">
      <w:pPr>
        <w:pStyle w:val="Zkladntext1"/>
        <w:spacing w:after="0" w:line="240" w:lineRule="auto"/>
        <w:jc w:val="both"/>
        <w:sectPr w:rsidR="00B66DCF">
          <w:footerReference w:type="even" r:id="rId8"/>
          <w:footerReference w:type="default" r:id="rId9"/>
          <w:pgSz w:w="11900" w:h="16840"/>
          <w:pgMar w:top="1164" w:right="999" w:bottom="778" w:left="136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Brně dne 30. 5. 2025</w:t>
      </w:r>
    </w:p>
    <w:p w:rsidR="00B66DCF" w:rsidRDefault="00CC5C78">
      <w:pPr>
        <w:pStyle w:val="Titulekobrzku0"/>
        <w:framePr w:w="1061" w:h="259" w:wrap="none" w:vAnchor="text" w:hAnchor="page" w:x="2262" w:y="1629"/>
      </w:pPr>
      <w:r>
        <w:rPr>
          <w:rStyle w:val="Titulekobrzku"/>
        </w:rPr>
        <w:t>objednatel</w:t>
      </w:r>
    </w:p>
    <w:p w:rsidR="00B66DCF" w:rsidRDefault="00CC5C78">
      <w:pPr>
        <w:pStyle w:val="Titulekobrzku0"/>
        <w:framePr w:w="979" w:h="254" w:wrap="none" w:vAnchor="text" w:hAnchor="page" w:x="8190" w:y="1663"/>
      </w:pPr>
      <w:r>
        <w:rPr>
          <w:rStyle w:val="Titulekobrzku"/>
          <w:shd w:val="clear" w:color="auto" w:fill="000000"/>
        </w:rPr>
        <w:t>...........</w:t>
      </w:r>
      <w:r>
        <w:rPr>
          <w:rStyle w:val="Titulekobrzku"/>
          <w:spacing w:val="1"/>
          <w:shd w:val="clear" w:color="auto" w:fill="000000"/>
        </w:rPr>
        <w:t>....</w:t>
      </w:r>
    </w:p>
    <w:p w:rsidR="00B66DCF" w:rsidRDefault="00CC5C7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158750</wp:posOffset>
            </wp:positionV>
            <wp:extent cx="2048510" cy="11036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485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4645025</wp:posOffset>
            </wp:positionH>
            <wp:positionV relativeFrom="paragraph">
              <wp:posOffset>12700</wp:posOffset>
            </wp:positionV>
            <wp:extent cx="1889760" cy="12617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8976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DCF" w:rsidRDefault="00B66DCF">
      <w:pPr>
        <w:spacing w:line="360" w:lineRule="exact"/>
      </w:pPr>
    </w:p>
    <w:p w:rsidR="00B66DCF" w:rsidRDefault="00B66DCF">
      <w:pPr>
        <w:spacing w:line="360" w:lineRule="exact"/>
      </w:pPr>
    </w:p>
    <w:p w:rsidR="00B66DCF" w:rsidRDefault="00B66DCF">
      <w:pPr>
        <w:spacing w:line="360" w:lineRule="exact"/>
      </w:pPr>
    </w:p>
    <w:p w:rsidR="00B66DCF" w:rsidRDefault="00B66DCF">
      <w:pPr>
        <w:spacing w:after="546" w:line="1" w:lineRule="exact"/>
      </w:pPr>
    </w:p>
    <w:p w:rsidR="00B66DCF" w:rsidRDefault="00B66DCF">
      <w:pPr>
        <w:spacing w:line="1" w:lineRule="exact"/>
      </w:pPr>
    </w:p>
    <w:sectPr w:rsidR="00B66DCF">
      <w:type w:val="continuous"/>
      <w:pgSz w:w="11900" w:h="16840"/>
      <w:pgMar w:top="2184" w:right="666" w:bottom="699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78" w:rsidRDefault="00CC5C78">
      <w:r>
        <w:separator/>
      </w:r>
    </w:p>
  </w:endnote>
  <w:endnote w:type="continuationSeparator" w:id="0">
    <w:p w:rsidR="00CC5C78" w:rsidRDefault="00C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CF" w:rsidRDefault="00CC5C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6165850</wp:posOffset>
              </wp:positionH>
              <wp:positionV relativeFrom="page">
                <wp:posOffset>10262870</wp:posOffset>
              </wp:positionV>
              <wp:extent cx="969010" cy="1949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6DCF" w:rsidRDefault="00CC5C78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E27FA2"/>
                              <w:sz w:val="12"/>
                              <w:szCs w:val="12"/>
                            </w:rPr>
                            <w:t>ý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E27FA2"/>
                              <w:sz w:val="12"/>
                              <w:szCs w:val="12"/>
                            </w:rPr>
                            <w:t xml:space="preserve"> tísňová linka </w:t>
                          </w:r>
                          <w:r>
                            <w:rPr>
                              <w:rStyle w:val="Zhlavnebozpat2"/>
                              <w:color w:val="E27FA2"/>
                              <w:sz w:val="28"/>
                              <w:szCs w:val="28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5.5pt;margin-top:808.10000000000002pt;width:76.299999999999997pt;height:15.3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i/>
                        <w:iCs/>
                        <w:color w:val="E27FA2"/>
                        <w:sz w:val="12"/>
                        <w:szCs w:val="12"/>
                      </w:rPr>
                      <w:t>ý</w:t>
                    </w: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E27FA2"/>
                        <w:sz w:val="12"/>
                        <w:szCs w:val="12"/>
                      </w:rPr>
                      <w:t xml:space="preserve"> tísňová linka </w:t>
                    </w:r>
                    <w:r>
                      <w:rPr>
                        <w:rStyle w:val="CharStyle10"/>
                        <w:color w:val="E27FA2"/>
                        <w:sz w:val="28"/>
                        <w:szCs w:val="28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CF" w:rsidRDefault="00CC5C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10078085</wp:posOffset>
              </wp:positionV>
              <wp:extent cx="77724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6DCF" w:rsidRDefault="00CC5C78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E27FA2"/>
                              <w:sz w:val="12"/>
                              <w:szCs w:val="12"/>
                            </w:rPr>
                            <w:t xml:space="preserve">tísňová linka </w:t>
                          </w:r>
                          <w:r>
                            <w:rPr>
                              <w:rStyle w:val="Zhlavnebozpat2"/>
                              <w:color w:val="E27FA2"/>
                              <w:sz w:val="28"/>
                              <w:szCs w:val="28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01.35000000000002pt;margin-top:793.55000000000007pt;width:61.200000000000003pt;height:9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E27FA2"/>
                        <w:sz w:val="12"/>
                        <w:szCs w:val="12"/>
                      </w:rPr>
                      <w:t xml:space="preserve">tísňová linka </w:t>
                    </w:r>
                    <w:r>
                      <w:rPr>
                        <w:rStyle w:val="CharStyle10"/>
                        <w:color w:val="E27FA2"/>
                        <w:sz w:val="28"/>
                        <w:szCs w:val="28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78" w:rsidRDefault="00CC5C78"/>
  </w:footnote>
  <w:footnote w:type="continuationSeparator" w:id="0">
    <w:p w:rsidR="00CC5C78" w:rsidRDefault="00CC5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7C"/>
    <w:multiLevelType w:val="multilevel"/>
    <w:tmpl w:val="7EB42EA8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F3956"/>
    <w:multiLevelType w:val="multilevel"/>
    <w:tmpl w:val="CAC46A7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CF"/>
    <w:rsid w:val="00B66DCF"/>
    <w:rsid w:val="00C30C14"/>
    <w:rsid w:val="00C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6C80"/>
  <w15:docId w15:val="{E50AE878-2DD9-4AF0-83A9-E42018E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8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62" w:lineRule="auto"/>
      <w:ind w:firstLine="9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80"/>
      <w:ind w:right="1200"/>
      <w:jc w:val="right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80"/>
      <w:ind w:right="12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Nadpis30">
    <w:name w:val="Nadpis #3"/>
    <w:basedOn w:val="Normln"/>
    <w:link w:val="Nadpis3"/>
    <w:pPr>
      <w:ind w:left="22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ind w:left="222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2037</Characters>
  <Application>Microsoft Office Word</Application>
  <DocSecurity>0</DocSecurity>
  <Lines>16</Lines>
  <Paragraphs>4</Paragraphs>
  <ScaleCrop>false</ScaleCrop>
  <Company>HP Inc.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2025-06-26T12:11:00Z</dcterms:created>
  <dcterms:modified xsi:type="dcterms:W3CDTF">2025-06-26T12:11:00Z</dcterms:modified>
</cp:coreProperties>
</file>