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B9BB" w14:textId="77777777" w:rsidR="00D22B5D" w:rsidRPr="0021162C" w:rsidRDefault="00D22B5D" w:rsidP="00D22B5D">
      <w:pPr>
        <w:pStyle w:val="Nzev"/>
        <w:keepNext/>
        <w:keepLines/>
        <w:jc w:val="center"/>
        <w:rPr>
          <w:sz w:val="40"/>
          <w:szCs w:val="40"/>
        </w:rPr>
      </w:pPr>
      <w:r w:rsidRPr="46910292">
        <w:rPr>
          <w:sz w:val="40"/>
          <w:szCs w:val="40"/>
        </w:rPr>
        <w:t xml:space="preserve">Smlouva o podmínkách spolupráce </w:t>
      </w:r>
      <w:r>
        <w:br/>
      </w:r>
      <w:r w:rsidRPr="46910292">
        <w:rPr>
          <w:sz w:val="40"/>
          <w:szCs w:val="40"/>
        </w:rPr>
        <w:t>při poskytování služeb společnosti Microsoft</w:t>
      </w:r>
    </w:p>
    <w:p w14:paraId="610DCB0C" w14:textId="12B423B9" w:rsidR="00D22B5D" w:rsidRDefault="15D16213" w:rsidP="0019068A">
      <w:pPr>
        <w:keepNext/>
        <w:keepLines/>
        <w:spacing w:line="257" w:lineRule="auto"/>
        <w:rPr>
          <w:rFonts w:ascii="Calibri" w:eastAsia="Calibri" w:hAnsi="Calibri" w:cs="Calibri"/>
        </w:rPr>
      </w:pPr>
      <w:r w:rsidRPr="46910292">
        <w:rPr>
          <w:rFonts w:ascii="Calibri" w:eastAsia="Calibri" w:hAnsi="Calibri" w:cs="Calibri"/>
        </w:rPr>
        <w:t>uzavřená ve smyslu § 1746 odst. 2 zákona č. 89/2012 Sb., občanského zákoníku mezi</w:t>
      </w:r>
    </w:p>
    <w:p w14:paraId="67CDBC27" w14:textId="77777777" w:rsidR="0015441E" w:rsidRDefault="0015441E" w:rsidP="0019068A">
      <w:pPr>
        <w:keepNext/>
        <w:keepLines/>
        <w:spacing w:line="257" w:lineRule="auto"/>
        <w:rPr>
          <w:rFonts w:ascii="Calibri" w:eastAsia="Calibri" w:hAnsi="Calibri" w:cs="Calibri"/>
        </w:rPr>
      </w:pPr>
    </w:p>
    <w:p w14:paraId="03073975" w14:textId="69DC39B9" w:rsidR="00D22B5D" w:rsidRDefault="15D16213" w:rsidP="0019068A">
      <w:pPr>
        <w:keepNext/>
        <w:keepLines/>
        <w:tabs>
          <w:tab w:val="left" w:pos="1701"/>
        </w:tabs>
        <w:spacing w:after="0" w:line="276" w:lineRule="auto"/>
        <w:rPr>
          <w:rFonts w:ascii="Calibri" w:eastAsia="Calibri" w:hAnsi="Calibri" w:cs="Calibri"/>
          <w:b/>
          <w:bCs/>
        </w:rPr>
      </w:pPr>
      <w:r w:rsidRPr="46910292">
        <w:rPr>
          <w:rFonts w:ascii="Calibri" w:eastAsia="Calibri" w:hAnsi="Calibri" w:cs="Calibri"/>
        </w:rPr>
        <w:t xml:space="preserve">společností </w:t>
      </w:r>
      <w:r w:rsidR="00585BA7" w:rsidRPr="00585BA7">
        <w:rPr>
          <w:rFonts w:ascii="Calibri" w:eastAsia="Calibri" w:hAnsi="Calibri" w:cs="Calibri"/>
          <w:b/>
          <w:bCs/>
        </w:rPr>
        <w:t>Národní informační a poradenské středisko pro kulturu</w:t>
      </w:r>
      <w:r w:rsidR="00585BA7">
        <w:rPr>
          <w:rFonts w:ascii="Calibri" w:eastAsia="Calibri" w:hAnsi="Calibri" w:cs="Calibri"/>
          <w:b/>
          <w:bCs/>
        </w:rPr>
        <w:t xml:space="preserve">, zkráceně NIPOS </w:t>
      </w:r>
      <w:r w:rsidRPr="46910292">
        <w:rPr>
          <w:rFonts w:ascii="Calibri" w:eastAsia="Calibri" w:hAnsi="Calibri" w:cs="Calibri"/>
          <w:b/>
          <w:bCs/>
        </w:rPr>
        <w:t>(</w:t>
      </w:r>
      <w:r w:rsidRPr="46910292">
        <w:rPr>
          <w:rFonts w:ascii="Calibri" w:eastAsia="Calibri" w:hAnsi="Calibri" w:cs="Calibri"/>
        </w:rPr>
        <w:t>dále jen „</w:t>
      </w:r>
      <w:r w:rsidRPr="46910292">
        <w:rPr>
          <w:rFonts w:ascii="Calibri" w:eastAsia="Calibri" w:hAnsi="Calibri" w:cs="Calibri"/>
          <w:b/>
          <w:bCs/>
        </w:rPr>
        <w:t>Zákazník“)</w:t>
      </w:r>
    </w:p>
    <w:p w14:paraId="6FD3DD6D" w14:textId="436AFB1C" w:rsidR="00D22B5D" w:rsidRPr="002B0582" w:rsidRDefault="15D16213" w:rsidP="0019068A">
      <w:pPr>
        <w:keepNext/>
        <w:keepLines/>
        <w:tabs>
          <w:tab w:val="left" w:pos="1701"/>
        </w:tabs>
        <w:spacing w:after="0" w:line="276" w:lineRule="auto"/>
        <w:rPr>
          <w:rFonts w:ascii="Calibri" w:eastAsia="Calibri" w:hAnsi="Calibri" w:cs="Calibri"/>
          <w:highlight w:val="yellow"/>
        </w:rPr>
      </w:pPr>
      <w:r w:rsidRPr="002B0582">
        <w:rPr>
          <w:rFonts w:ascii="Calibri" w:eastAsia="Calibri" w:hAnsi="Calibri" w:cs="Calibri"/>
        </w:rPr>
        <w:t xml:space="preserve">se sídlem: </w:t>
      </w:r>
      <w:r w:rsidR="00585BA7" w:rsidRPr="002B0582">
        <w:rPr>
          <w:rFonts w:ascii="Calibri" w:eastAsia="Calibri" w:hAnsi="Calibri" w:cs="Calibri"/>
        </w:rPr>
        <w:t>Fügnerovo náměstí 1866/5, 120 21 Praha 2</w:t>
      </w:r>
    </w:p>
    <w:p w14:paraId="515A937B" w14:textId="4C2645C8" w:rsidR="002B0582" w:rsidRDefault="00585BA7" w:rsidP="0019068A">
      <w:pPr>
        <w:keepNext/>
        <w:keepLines/>
        <w:tabs>
          <w:tab w:val="left" w:pos="1701"/>
        </w:tabs>
        <w:spacing w:after="0" w:line="276" w:lineRule="auto"/>
        <w:rPr>
          <w:rFonts w:ascii="Calibri" w:eastAsia="Calibri" w:hAnsi="Calibri" w:cs="Calibri"/>
        </w:rPr>
      </w:pPr>
      <w:r w:rsidRPr="002B0582">
        <w:rPr>
          <w:rFonts w:ascii="Calibri" w:eastAsia="Calibri" w:hAnsi="Calibri" w:cs="Calibri"/>
        </w:rPr>
        <w:t xml:space="preserve">IČ: 14450551 (neplátce DPH), zástupce: Mgr. </w:t>
      </w:r>
      <w:r w:rsidR="00CC77A2">
        <w:rPr>
          <w:rFonts w:ascii="Calibri" w:eastAsia="Calibri" w:hAnsi="Calibri" w:cs="Calibri"/>
        </w:rPr>
        <w:t>Barbora</w:t>
      </w:r>
      <w:r w:rsidRPr="002B0582">
        <w:rPr>
          <w:rFonts w:ascii="Calibri" w:eastAsia="Calibri" w:hAnsi="Calibri" w:cs="Calibri"/>
        </w:rPr>
        <w:t xml:space="preserve"> </w:t>
      </w:r>
      <w:r w:rsidR="00CC77A2">
        <w:rPr>
          <w:rFonts w:ascii="Calibri" w:eastAsia="Calibri" w:hAnsi="Calibri" w:cs="Calibri"/>
        </w:rPr>
        <w:t xml:space="preserve">Hanslianová </w:t>
      </w:r>
      <w:r w:rsidRPr="002B0582">
        <w:rPr>
          <w:rFonts w:ascii="Calibri" w:eastAsia="Calibri" w:hAnsi="Calibri" w:cs="Calibri"/>
        </w:rPr>
        <w:t>(</w:t>
      </w:r>
      <w:r w:rsidR="00C665AA">
        <w:rPr>
          <w:rFonts w:ascii="Calibri" w:eastAsia="Calibri" w:hAnsi="Calibri" w:cs="Calibri"/>
        </w:rPr>
        <w:t xml:space="preserve">pověřená </w:t>
      </w:r>
      <w:r w:rsidRPr="002B0582">
        <w:rPr>
          <w:rFonts w:ascii="Calibri" w:eastAsia="Calibri" w:hAnsi="Calibri" w:cs="Calibri"/>
        </w:rPr>
        <w:t>ředitelka).</w:t>
      </w:r>
    </w:p>
    <w:p w14:paraId="16C264ED" w14:textId="77777777" w:rsidR="002E53D0" w:rsidRDefault="002E53D0" w:rsidP="002B0582">
      <w:pPr>
        <w:keepNext/>
        <w:keepLines/>
        <w:spacing w:after="0" w:line="240" w:lineRule="auto"/>
        <w:rPr>
          <w:rFonts w:ascii="Calibri" w:eastAsia="Calibri" w:hAnsi="Calibri" w:cs="Calibri"/>
        </w:rPr>
      </w:pPr>
    </w:p>
    <w:p w14:paraId="5EB6A18F" w14:textId="57313B72" w:rsidR="00D22B5D" w:rsidRDefault="15D16213" w:rsidP="002B0582">
      <w:pPr>
        <w:keepNext/>
        <w:keepLines/>
        <w:spacing w:after="0" w:line="240" w:lineRule="auto"/>
        <w:rPr>
          <w:rFonts w:ascii="Calibri" w:eastAsia="Calibri" w:hAnsi="Calibri" w:cs="Calibri"/>
        </w:rPr>
      </w:pPr>
      <w:r w:rsidRPr="46910292">
        <w:rPr>
          <w:rFonts w:ascii="Calibri" w:eastAsia="Calibri" w:hAnsi="Calibri" w:cs="Calibri"/>
        </w:rPr>
        <w:t>a</w:t>
      </w:r>
    </w:p>
    <w:p w14:paraId="22005B2E" w14:textId="77777777" w:rsidR="002E53D0" w:rsidRDefault="002E53D0" w:rsidP="0019068A">
      <w:pPr>
        <w:keepNext/>
        <w:keepLines/>
        <w:spacing w:after="0" w:line="257" w:lineRule="auto"/>
        <w:jc w:val="both"/>
        <w:rPr>
          <w:rFonts w:ascii="Calibri" w:eastAsia="Calibri" w:hAnsi="Calibri" w:cs="Calibri"/>
        </w:rPr>
      </w:pPr>
    </w:p>
    <w:p w14:paraId="17266821" w14:textId="3AA689C7" w:rsidR="00D22B5D" w:rsidRDefault="15D16213" w:rsidP="0019068A">
      <w:pPr>
        <w:keepNext/>
        <w:keepLines/>
        <w:spacing w:after="0" w:line="257" w:lineRule="auto"/>
        <w:jc w:val="both"/>
        <w:rPr>
          <w:rFonts w:ascii="Calibri" w:eastAsia="Calibri" w:hAnsi="Calibri" w:cs="Calibri"/>
        </w:rPr>
      </w:pPr>
      <w:r w:rsidRPr="46910292">
        <w:rPr>
          <w:rFonts w:ascii="Calibri" w:eastAsia="Calibri" w:hAnsi="Calibri" w:cs="Calibri"/>
        </w:rPr>
        <w:t xml:space="preserve">společností </w:t>
      </w:r>
      <w:r w:rsidRPr="46910292">
        <w:rPr>
          <w:rFonts w:ascii="Calibri" w:eastAsia="Calibri" w:hAnsi="Calibri" w:cs="Calibri"/>
          <w:b/>
          <w:bCs/>
        </w:rPr>
        <w:t xml:space="preserve">ARTEX informační systémy spol. s r.o. </w:t>
      </w:r>
      <w:r w:rsidRPr="46910292">
        <w:rPr>
          <w:rFonts w:ascii="Calibri" w:eastAsia="Calibri" w:hAnsi="Calibri" w:cs="Calibri"/>
        </w:rPr>
        <w:t>(dále jen „</w:t>
      </w:r>
      <w:r w:rsidRPr="46910292">
        <w:rPr>
          <w:rFonts w:ascii="Calibri" w:eastAsia="Calibri" w:hAnsi="Calibri" w:cs="Calibri"/>
          <w:b/>
          <w:bCs/>
        </w:rPr>
        <w:t>Artex</w:t>
      </w:r>
      <w:r w:rsidRPr="46910292">
        <w:rPr>
          <w:rFonts w:ascii="Calibri" w:eastAsia="Calibri" w:hAnsi="Calibri" w:cs="Calibri"/>
        </w:rPr>
        <w:t xml:space="preserve">“) </w:t>
      </w:r>
    </w:p>
    <w:p w14:paraId="22E9C9E0" w14:textId="77716A7E" w:rsidR="00D22B5D" w:rsidRPr="002B0582" w:rsidRDefault="02CB977C" w:rsidP="0019068A">
      <w:pPr>
        <w:keepNext/>
        <w:keepLines/>
        <w:spacing w:after="0" w:line="257" w:lineRule="auto"/>
        <w:jc w:val="both"/>
        <w:rPr>
          <w:rFonts w:ascii="Calibri" w:eastAsia="Calibri" w:hAnsi="Calibri" w:cs="Calibri"/>
        </w:rPr>
      </w:pPr>
      <w:r w:rsidRPr="002B0582">
        <w:rPr>
          <w:rFonts w:ascii="Calibri" w:eastAsia="Calibri" w:hAnsi="Calibri" w:cs="Calibri"/>
        </w:rPr>
        <w:t xml:space="preserve">zapsaná: </w:t>
      </w:r>
      <w:r w:rsidR="15D16213" w:rsidRPr="002B0582">
        <w:rPr>
          <w:rFonts w:ascii="Calibri" w:eastAsia="Calibri" w:hAnsi="Calibri" w:cs="Calibri"/>
        </w:rPr>
        <w:t>C 56355 vedená u Městského soudu v Praze</w:t>
      </w:r>
      <w:r w:rsidR="207A1752" w:rsidRPr="002B0582">
        <w:rPr>
          <w:rFonts w:ascii="Calibri" w:eastAsia="Calibri" w:hAnsi="Calibri" w:cs="Calibri"/>
        </w:rPr>
        <w:t>,</w:t>
      </w:r>
    </w:p>
    <w:p w14:paraId="627EBCA7" w14:textId="190B25F0" w:rsidR="00D22B5D" w:rsidRPr="002B0582" w:rsidRDefault="15D16213" w:rsidP="0019068A">
      <w:pPr>
        <w:keepNext/>
        <w:keepLines/>
        <w:spacing w:after="0" w:line="257" w:lineRule="auto"/>
        <w:jc w:val="both"/>
        <w:rPr>
          <w:rFonts w:ascii="Calibri" w:eastAsia="Calibri" w:hAnsi="Calibri" w:cs="Calibri"/>
        </w:rPr>
      </w:pPr>
      <w:r w:rsidRPr="002B0582">
        <w:rPr>
          <w:rFonts w:ascii="Calibri" w:eastAsia="Calibri" w:hAnsi="Calibri" w:cs="Calibri"/>
        </w:rPr>
        <w:t>se sídlem Praha 5, Štefánikova 248/32, PSČ 15000</w:t>
      </w:r>
    </w:p>
    <w:p w14:paraId="4D2D5E87" w14:textId="50989A9E" w:rsidR="00D22B5D" w:rsidRPr="002B0582" w:rsidRDefault="15D16213" w:rsidP="0019068A">
      <w:pPr>
        <w:keepNext/>
        <w:keepLines/>
        <w:spacing w:after="0" w:line="257" w:lineRule="auto"/>
        <w:jc w:val="both"/>
        <w:rPr>
          <w:rFonts w:ascii="Calibri" w:eastAsia="Calibri" w:hAnsi="Calibri" w:cs="Calibri"/>
        </w:rPr>
      </w:pPr>
      <w:r w:rsidRPr="002B0582">
        <w:rPr>
          <w:rFonts w:ascii="Calibri" w:eastAsia="Calibri" w:hAnsi="Calibri" w:cs="Calibri"/>
        </w:rPr>
        <w:t>IČ: 25631047, zástupce: Ing. Lukáš Příklenk,</w:t>
      </w:r>
      <w:r w:rsidRPr="002B0582">
        <w:rPr>
          <w:rFonts w:ascii="Verdana" w:eastAsia="Verdana" w:hAnsi="Verdana" w:cs="Verdana"/>
          <w:color w:val="333333"/>
          <w:sz w:val="18"/>
          <w:szCs w:val="18"/>
        </w:rPr>
        <w:t xml:space="preserve"> </w:t>
      </w:r>
      <w:r w:rsidRPr="002B0582">
        <w:rPr>
          <w:rFonts w:ascii="Calibri" w:eastAsia="Calibri" w:hAnsi="Calibri" w:cs="Calibri"/>
        </w:rPr>
        <w:t>jednatel</w:t>
      </w:r>
    </w:p>
    <w:p w14:paraId="29FA4CA4" w14:textId="3BAAB528" w:rsidR="00D22B5D" w:rsidRDefault="15D16213" w:rsidP="0019068A">
      <w:pPr>
        <w:keepNext/>
        <w:keepLines/>
        <w:spacing w:after="0" w:line="257" w:lineRule="auto"/>
        <w:jc w:val="both"/>
        <w:rPr>
          <w:rFonts w:ascii="Calibri" w:eastAsia="Calibri" w:hAnsi="Calibri" w:cs="Calibri"/>
          <w:b/>
          <w:bCs/>
        </w:rPr>
      </w:pPr>
      <w:r w:rsidRPr="46910292">
        <w:rPr>
          <w:rFonts w:ascii="Calibri" w:eastAsia="Calibri" w:hAnsi="Calibri" w:cs="Calibri"/>
          <w:b/>
          <w:bCs/>
        </w:rPr>
        <w:t xml:space="preserve"> </w:t>
      </w:r>
    </w:p>
    <w:p w14:paraId="15BC65CF" w14:textId="07F4C4C1" w:rsidR="00D22B5D" w:rsidRDefault="15D16213" w:rsidP="0019068A">
      <w:pPr>
        <w:keepNext/>
        <w:keepLines/>
        <w:spacing w:after="0" w:line="257" w:lineRule="auto"/>
        <w:jc w:val="both"/>
        <w:rPr>
          <w:rFonts w:ascii="Calibri" w:eastAsia="Calibri" w:hAnsi="Calibri" w:cs="Calibri"/>
        </w:rPr>
      </w:pPr>
      <w:r w:rsidRPr="46910292">
        <w:rPr>
          <w:rFonts w:ascii="Calibri" w:eastAsia="Calibri" w:hAnsi="Calibri" w:cs="Calibri"/>
        </w:rPr>
        <w:t>(Zákazník a společnost Artex společně dále jen „</w:t>
      </w:r>
      <w:r w:rsidRPr="46910292">
        <w:rPr>
          <w:rFonts w:ascii="Calibri" w:eastAsia="Calibri" w:hAnsi="Calibri" w:cs="Calibri"/>
          <w:b/>
          <w:bCs/>
        </w:rPr>
        <w:t>Smluvní strany</w:t>
      </w:r>
      <w:r w:rsidRPr="46910292">
        <w:rPr>
          <w:rFonts w:ascii="Calibri" w:eastAsia="Calibri" w:hAnsi="Calibri" w:cs="Calibri"/>
        </w:rPr>
        <w:t>“ a jednotlivě „</w:t>
      </w:r>
      <w:r w:rsidRPr="46910292">
        <w:rPr>
          <w:rFonts w:ascii="Calibri" w:eastAsia="Calibri" w:hAnsi="Calibri" w:cs="Calibri"/>
          <w:b/>
          <w:bCs/>
        </w:rPr>
        <w:t>Smluvní strana</w:t>
      </w:r>
      <w:r w:rsidRPr="46910292">
        <w:rPr>
          <w:rFonts w:ascii="Calibri" w:eastAsia="Calibri" w:hAnsi="Calibri" w:cs="Calibri"/>
        </w:rPr>
        <w:t xml:space="preserve">“). </w:t>
      </w:r>
    </w:p>
    <w:p w14:paraId="6F07B9D8" w14:textId="77777777" w:rsidR="00D22B5D" w:rsidRPr="00C97DB3" w:rsidRDefault="00D22B5D" w:rsidP="00783027">
      <w:pPr>
        <w:pStyle w:val="Nadpis1"/>
        <w:spacing w:before="240"/>
        <w:jc w:val="left"/>
      </w:pPr>
      <w:r>
        <w:t>Úvodní ustanovení</w:t>
      </w:r>
    </w:p>
    <w:p w14:paraId="167174BB" w14:textId="4C59E4D6" w:rsidR="00D22B5D" w:rsidRDefault="00D22B5D" w:rsidP="00783027">
      <w:pPr>
        <w:pStyle w:val="Nadpis2"/>
        <w:ind w:left="927"/>
      </w:pPr>
      <w:r w:rsidRPr="00783027">
        <w:t xml:space="preserve">Společnost Artex je vázána smluvním vztahem se společností MICROSOFT s.r.o., IČO 47123737, zapsanou v obchodním rejstříku pod spisovou značkou C 12821 vedená u Městského soudu v Praze, sídlem Vyskočilova 1561/4a, Michle, 140 00 Praha 4 (dále jen „Microsoft“) </w:t>
      </w:r>
      <w:r w:rsidR="002B0582" w:rsidRPr="00783027">
        <w:t>a TD SYNNEX Czech, s.r.o., IČO 40767701, zapsanou v obchodním rejstříku pod spisovou značkou C 2571 vedená u Městského soudu v Praze, sídlem Líbalova 2348/1, Chodov, 149 00 Praha 4 (dále jen „TD SYNNEX Czech“), na základě kterého je společnost Artex oprávněna nabízet služby, resp. licence k jednotlivým produktům společnosti Microsoft Zákazníkovi. Službami se</w:t>
      </w:r>
      <w:r w:rsidR="002B0582" w:rsidRPr="002B0582">
        <w:t xml:space="preserve"> rozumí předplatná cloudových služeb společnosti Microsoft nebo trvalé licence společnosti Microsoft (dále jen „Služby“).</w:t>
      </w:r>
      <w:r w:rsidR="002B0582">
        <w:t xml:space="preserve"> </w:t>
      </w:r>
    </w:p>
    <w:p w14:paraId="3F666762" w14:textId="77777777" w:rsidR="0015441E" w:rsidRPr="0015441E" w:rsidRDefault="0015441E" w:rsidP="0015441E">
      <w:pPr>
        <w:rPr>
          <w:lang w:eastAsia="en-US"/>
        </w:rPr>
      </w:pPr>
    </w:p>
    <w:p w14:paraId="1997D4B8" w14:textId="77777777" w:rsidR="00D22B5D" w:rsidRDefault="00D22B5D" w:rsidP="00D22B5D">
      <w:pPr>
        <w:pStyle w:val="Nadpis1"/>
        <w:spacing w:before="240"/>
        <w:jc w:val="left"/>
      </w:pPr>
      <w:r>
        <w:t>Předmět smlouvy</w:t>
      </w:r>
    </w:p>
    <w:p w14:paraId="70C865D1" w14:textId="77777777" w:rsidR="00D22B5D" w:rsidRDefault="00D22B5D" w:rsidP="00783027">
      <w:pPr>
        <w:pStyle w:val="Nadpis2"/>
        <w:ind w:left="927"/>
      </w:pPr>
      <w:r>
        <w:t>Předmětem této Smlouvy o podmínkách spolupráce při poskytování služeb (dále jen „</w:t>
      </w:r>
      <w:r w:rsidRPr="10026D32">
        <w:rPr>
          <w:b/>
        </w:rPr>
        <w:t>Smlouva</w:t>
      </w:r>
      <w:r>
        <w:t>“) je stanovení práv a povinností Smluvních stran při poskytování Služeb Zákazníkovi, které si Zákazník na základě této Smlouvy u společnosti Artex objednal.</w:t>
      </w:r>
    </w:p>
    <w:p w14:paraId="6E384F77" w14:textId="77777777" w:rsidR="002B0582" w:rsidRDefault="00D22B5D" w:rsidP="00783027">
      <w:pPr>
        <w:pStyle w:val="Nadpis2"/>
        <w:ind w:left="927"/>
      </w:pPr>
      <w:r>
        <w:t xml:space="preserve">Společnost Artex poskytuje konkrétní objednané Služby Zákazníkovi </w:t>
      </w:r>
      <w:r w:rsidRPr="00AB0A0F">
        <w:t>na dobu určitou, a to 1 měsíce, 1</w:t>
      </w:r>
      <w:r w:rsidRPr="00AB0A0F">
        <w:rPr>
          <w:b/>
          <w:bCs w:val="0"/>
        </w:rPr>
        <w:t xml:space="preserve"> </w:t>
      </w:r>
      <w:r w:rsidR="009B028F" w:rsidRPr="00AB0A0F">
        <w:t>roku, nebo</w:t>
      </w:r>
      <w:r w:rsidR="00AB0A0F">
        <w:t xml:space="preserve"> 3 let,</w:t>
      </w:r>
      <w:r w:rsidRPr="00AB0A0F">
        <w:t xml:space="preserve"> případně na</w:t>
      </w:r>
      <w:r>
        <w:t xml:space="preserve"> jinou dobu stanovenou společností Microsoft na základě objednávky Zákazníka.</w:t>
      </w:r>
    </w:p>
    <w:p w14:paraId="04BB03CC" w14:textId="49557362" w:rsidR="002B0582" w:rsidRDefault="002B0582" w:rsidP="00783027">
      <w:pPr>
        <w:pStyle w:val="Nadpis2"/>
        <w:ind w:left="927"/>
      </w:pPr>
      <w:r w:rsidRPr="002B0582">
        <w:t>Doba poskytování každé Služby se po jejím uplynutí automaticky neprodlužuje a je stanovena na pevné období jeden rok od  pořízení licencí.</w:t>
      </w:r>
    </w:p>
    <w:p w14:paraId="1FA2BBF1" w14:textId="77777777" w:rsidR="0015441E" w:rsidRPr="0015441E" w:rsidRDefault="0015441E" w:rsidP="0015441E">
      <w:pPr>
        <w:rPr>
          <w:lang w:eastAsia="en-US"/>
        </w:rPr>
      </w:pPr>
    </w:p>
    <w:p w14:paraId="5BDB23F4" w14:textId="77777777" w:rsidR="00D22B5D" w:rsidRDefault="00D22B5D" w:rsidP="00D22B5D">
      <w:pPr>
        <w:pStyle w:val="Nadpis1"/>
        <w:spacing w:before="240"/>
        <w:jc w:val="left"/>
      </w:pPr>
      <w:r>
        <w:t>Práva a povinnosti smluvních stran</w:t>
      </w:r>
    </w:p>
    <w:p w14:paraId="00FF35CA" w14:textId="60F9E0F9" w:rsidR="00D22B5D" w:rsidRDefault="00D22B5D" w:rsidP="0015441E">
      <w:pPr>
        <w:pStyle w:val="Nadpis2"/>
      </w:pPr>
      <w:r>
        <w:t xml:space="preserve">Práva a povinnosti </w:t>
      </w:r>
      <w:r w:rsidRPr="00F7143F">
        <w:rPr>
          <w:b/>
        </w:rPr>
        <w:t>Artexu</w:t>
      </w:r>
      <w:r>
        <w:t xml:space="preserve"> a </w:t>
      </w:r>
      <w:r w:rsidRPr="00F7143F">
        <w:rPr>
          <w:b/>
        </w:rPr>
        <w:t>Zákazníka</w:t>
      </w:r>
      <w:r>
        <w:t xml:space="preserve"> jsou uvedeny v </w:t>
      </w:r>
      <w:r w:rsidRPr="00F7143F">
        <w:rPr>
          <w:u w:val="single"/>
        </w:rPr>
        <w:t>příloze č. 1</w:t>
      </w:r>
      <w:r>
        <w:t xml:space="preserve"> této Smlouvy.</w:t>
      </w:r>
    </w:p>
    <w:p w14:paraId="1E8EA26D" w14:textId="77777777" w:rsidR="0015441E" w:rsidRPr="0015441E" w:rsidRDefault="0015441E" w:rsidP="0015441E">
      <w:pPr>
        <w:rPr>
          <w:lang w:eastAsia="en-US"/>
        </w:rPr>
      </w:pPr>
    </w:p>
    <w:p w14:paraId="59BF3A4F" w14:textId="77777777" w:rsidR="00D22B5D" w:rsidRPr="00456CDA" w:rsidRDefault="00D22B5D" w:rsidP="00D22B5D">
      <w:pPr>
        <w:pStyle w:val="Nadpis1"/>
        <w:spacing w:before="240"/>
        <w:jc w:val="left"/>
      </w:pPr>
      <w:r>
        <w:lastRenderedPageBreak/>
        <w:t>Platební podmínky</w:t>
      </w:r>
    </w:p>
    <w:p w14:paraId="182CBDD2" w14:textId="77777777" w:rsidR="00D22B5D" w:rsidRDefault="00D22B5D" w:rsidP="00783027">
      <w:pPr>
        <w:pStyle w:val="Nadpis2"/>
        <w:ind w:left="927"/>
      </w:pPr>
      <w:r>
        <w:t xml:space="preserve">Za využití Služeb je povinen Zákazník hradit společnosti Artex odměnu odpovídající cenám za poskytování Služeb a dle podmínek poskytování Služeb uvedených v </w:t>
      </w:r>
      <w:r w:rsidRPr="10026D32">
        <w:rPr>
          <w:u w:val="single"/>
        </w:rPr>
        <w:t>příloze č. 2</w:t>
      </w:r>
      <w:r>
        <w:t xml:space="preserve"> této Smlouvy, a to splatnou:</w:t>
      </w:r>
    </w:p>
    <w:p w14:paraId="077AED6C" w14:textId="77777777" w:rsidR="00D22B5D" w:rsidRPr="00F36778" w:rsidRDefault="00D22B5D" w:rsidP="00783027">
      <w:pPr>
        <w:pStyle w:val="Nadpis2"/>
        <w:keepNext w:val="0"/>
        <w:keepLines w:val="0"/>
        <w:numPr>
          <w:ilvl w:val="0"/>
          <w:numId w:val="4"/>
        </w:numPr>
        <w:rPr>
          <w:color w:val="000000" w:themeColor="text1"/>
        </w:rPr>
      </w:pPr>
      <w:r w:rsidRPr="001F3827">
        <w:rPr>
          <w:color w:val="000000" w:themeColor="text1"/>
        </w:rPr>
        <w:t>měsíčně za Službu objednanou Zákazníkem na dobu nejméně 1 měsíce (dále „</w:t>
      </w:r>
      <w:r w:rsidRPr="001F3827">
        <w:rPr>
          <w:b/>
          <w:bCs w:val="0"/>
          <w:color w:val="000000" w:themeColor="text1"/>
        </w:rPr>
        <w:t>Měsíční předplatné</w:t>
      </w:r>
      <w:r w:rsidRPr="001F3827">
        <w:rPr>
          <w:color w:val="000000" w:themeColor="text1"/>
        </w:rPr>
        <w:t>“)</w:t>
      </w:r>
      <w:r>
        <w:rPr>
          <w:color w:val="000000" w:themeColor="text1"/>
        </w:rPr>
        <w:t>,</w:t>
      </w:r>
    </w:p>
    <w:p w14:paraId="11F2EA54" w14:textId="77777777" w:rsidR="00D22B5D" w:rsidRPr="00B20536" w:rsidRDefault="00D22B5D" w:rsidP="00783027">
      <w:pPr>
        <w:pStyle w:val="Nadpis2"/>
        <w:keepNext w:val="0"/>
        <w:keepLines w:val="0"/>
        <w:numPr>
          <w:ilvl w:val="0"/>
          <w:numId w:val="4"/>
        </w:numPr>
        <w:rPr>
          <w:color w:val="000000" w:themeColor="text1"/>
        </w:rPr>
      </w:pPr>
      <w:r w:rsidRPr="001F3827">
        <w:rPr>
          <w:color w:val="000000" w:themeColor="text1"/>
        </w:rPr>
        <w:t>měsíčně za Službu objednanou Zákazníkem na dobu nejméně 1 roku (dále „</w:t>
      </w:r>
      <w:r w:rsidRPr="001F3827">
        <w:rPr>
          <w:b/>
          <w:bCs w:val="0"/>
          <w:color w:val="000000" w:themeColor="text1"/>
        </w:rPr>
        <w:t>Roční splátkové předplatné</w:t>
      </w:r>
      <w:r w:rsidRPr="001F3827">
        <w:rPr>
          <w:color w:val="000000" w:themeColor="text1"/>
        </w:rPr>
        <w:t>“)</w:t>
      </w:r>
      <w:r>
        <w:rPr>
          <w:color w:val="000000" w:themeColor="text1"/>
        </w:rPr>
        <w:t>, nebo</w:t>
      </w:r>
      <w:r w:rsidRPr="001F3827">
        <w:rPr>
          <w:color w:val="000000" w:themeColor="text1"/>
        </w:rPr>
        <w:t xml:space="preserve"> </w:t>
      </w:r>
    </w:p>
    <w:p w14:paraId="4B8C5497" w14:textId="769C7EC0" w:rsidR="00D00507" w:rsidRDefault="00D22B5D" w:rsidP="00783027">
      <w:pPr>
        <w:pStyle w:val="Nadpis2"/>
        <w:keepNext w:val="0"/>
        <w:keepLines w:val="0"/>
        <w:numPr>
          <w:ilvl w:val="0"/>
          <w:numId w:val="4"/>
        </w:numPr>
      </w:pPr>
      <w:r w:rsidRPr="001F3827">
        <w:rPr>
          <w:color w:val="000000" w:themeColor="text1"/>
        </w:rPr>
        <w:t>ročně</w:t>
      </w:r>
      <w:r>
        <w:t xml:space="preserve"> za Službu objednanou Zákazníkem na dobu nejméně 1 roku (dále „</w:t>
      </w:r>
      <w:r>
        <w:rPr>
          <w:b/>
        </w:rPr>
        <w:t>Roční předplatné</w:t>
      </w:r>
      <w:r>
        <w:t>“),</w:t>
      </w:r>
    </w:p>
    <w:p w14:paraId="53B69F5C" w14:textId="7C46DB35" w:rsidR="00D00507" w:rsidRPr="002B0582" w:rsidRDefault="00D00507" w:rsidP="00783027">
      <w:pPr>
        <w:ind w:left="567"/>
        <w:jc w:val="both"/>
        <w:rPr>
          <w:rFonts w:eastAsiaTheme="majorEastAsia" w:cstheme="majorBidi"/>
          <w:bCs/>
          <w:color w:val="000000" w:themeColor="text1"/>
          <w:lang w:eastAsia="en-US"/>
        </w:rPr>
      </w:pPr>
      <w:r>
        <w:rPr>
          <w:rFonts w:eastAsiaTheme="majorEastAsia" w:cstheme="majorBidi"/>
          <w:bCs/>
          <w:color w:val="000000" w:themeColor="text1"/>
          <w:lang w:eastAsia="en-US"/>
        </w:rPr>
        <w:br/>
        <w:t>(iv)</w:t>
      </w:r>
      <w:r w:rsidR="002E53D0">
        <w:rPr>
          <w:rFonts w:eastAsiaTheme="majorEastAsia" w:cstheme="majorBidi"/>
          <w:bCs/>
          <w:color w:val="000000" w:themeColor="text1"/>
          <w:lang w:eastAsia="en-US"/>
        </w:rPr>
        <w:t xml:space="preserve">         </w:t>
      </w:r>
      <w:r>
        <w:rPr>
          <w:rFonts w:eastAsiaTheme="majorEastAsia" w:cstheme="majorBidi"/>
          <w:bCs/>
          <w:color w:val="000000" w:themeColor="text1"/>
          <w:lang w:eastAsia="en-US"/>
        </w:rPr>
        <w:t xml:space="preserve">měsíčně, dle reálné spotřeby (dále </w:t>
      </w:r>
      <w:r w:rsidRPr="00D00507">
        <w:rPr>
          <w:rFonts w:eastAsiaTheme="majorEastAsia" w:cstheme="majorBidi"/>
          <w:b/>
          <w:color w:val="000000" w:themeColor="text1"/>
          <w:lang w:eastAsia="en-US"/>
        </w:rPr>
        <w:t>„dle spotřeby“</w:t>
      </w:r>
      <w:r w:rsidRPr="00D00507">
        <w:rPr>
          <w:rFonts w:eastAsiaTheme="majorEastAsia" w:cstheme="majorBidi"/>
          <w:bCs/>
          <w:color w:val="000000" w:themeColor="text1"/>
          <w:lang w:eastAsia="en-US"/>
        </w:rPr>
        <w:t>)</w:t>
      </w:r>
    </w:p>
    <w:p w14:paraId="3C6B9624" w14:textId="77777777" w:rsidR="00D22B5D" w:rsidRDefault="00D22B5D" w:rsidP="00783027">
      <w:pPr>
        <w:pStyle w:val="Nadpis2"/>
        <w:keepNext w:val="0"/>
        <w:keepLines w:val="0"/>
        <w:numPr>
          <w:ilvl w:val="0"/>
          <w:numId w:val="0"/>
        </w:numPr>
        <w:ind w:left="578"/>
        <w:rPr>
          <w:color w:val="000000" w:themeColor="text1"/>
        </w:rPr>
      </w:pPr>
      <w:r>
        <w:t xml:space="preserve">vše </w:t>
      </w:r>
      <w:r w:rsidRPr="00625442">
        <w:rPr>
          <w:color w:val="000000" w:themeColor="text1"/>
        </w:rPr>
        <w:t>se splatností 14 dní ode dne vystavení faktury společností Artex.</w:t>
      </w:r>
      <w:r w:rsidRPr="00AA088D">
        <w:rPr>
          <w:color w:val="000000" w:themeColor="text1"/>
        </w:rPr>
        <w:t xml:space="preserve"> </w:t>
      </w:r>
      <w:r w:rsidRPr="00AB0A0F">
        <w:rPr>
          <w:color w:val="000000" w:themeColor="text1"/>
        </w:rPr>
        <w:t>Předčasným ukončením čerpání Služby v režimu Ročního splátkového předplatného nebo Ročního předplatného u závazku čerpání Služby na delší období než 1 rok není dotčena povinnost Zákazníka uhradit společnosti Artex zbývající splátky ceny za celé sjednané období trvání závazku čerpání dané Služby. Společnost Artex je v takovém případě</w:t>
      </w:r>
      <w:r>
        <w:rPr>
          <w:color w:val="000000" w:themeColor="text1"/>
        </w:rPr>
        <w:t xml:space="preserve"> oprávněna požadovat platbu zbývajících splátek ceny příslušné Služby jednorázově.</w:t>
      </w:r>
    </w:p>
    <w:p w14:paraId="066BA71E" w14:textId="77777777" w:rsidR="00D22B5D" w:rsidRDefault="00D22B5D" w:rsidP="00783027">
      <w:pPr>
        <w:pStyle w:val="Nadpis2"/>
        <w:ind w:left="927"/>
      </w:pPr>
      <w:r>
        <w:t xml:space="preserve">Společnost Artex je oprávněna </w:t>
      </w:r>
      <w:r w:rsidRPr="10026D32">
        <w:rPr>
          <w:u w:val="single"/>
        </w:rPr>
        <w:t>přílohu č. 2</w:t>
      </w:r>
      <w:r>
        <w:t xml:space="preserve"> jednostranně změnit v závislosti na změnách provedených společností Microsoft. O změnách bude společnost Artex </w:t>
      </w:r>
      <w:r w:rsidRPr="10026D32">
        <w:rPr>
          <w:color w:val="000000" w:themeColor="text1"/>
        </w:rPr>
        <w:t xml:space="preserve">písemně </w:t>
      </w:r>
      <w:r>
        <w:t xml:space="preserve">informovat Zákazníka předem. V případě, že Zákazník nebude ochoten akceptovat změny </w:t>
      </w:r>
      <w:r w:rsidRPr="10026D32">
        <w:rPr>
          <w:u w:val="single"/>
        </w:rPr>
        <w:t>přílohy č. 2</w:t>
      </w:r>
      <w:r>
        <w:t xml:space="preserve">, zaniká tato Smlouva okamžikem účinnosti změny přílohy č. 2, kterou Zákazník odmítl akceptovat. </w:t>
      </w:r>
    </w:p>
    <w:p w14:paraId="6AF6DAAD" w14:textId="77777777" w:rsidR="00D22B5D" w:rsidRDefault="00D22B5D" w:rsidP="00783027">
      <w:pPr>
        <w:pStyle w:val="Nadpis2"/>
        <w:keepNext w:val="0"/>
        <w:keepLines w:val="0"/>
        <w:ind w:left="927" w:hanging="567"/>
        <w:rPr>
          <w:color w:val="000000" w:themeColor="text1"/>
        </w:rPr>
      </w:pPr>
      <w:r w:rsidRPr="10026D32">
        <w:rPr>
          <w:color w:val="000000" w:themeColor="text1"/>
        </w:rPr>
        <w:t xml:space="preserve">Zákazník může čerpání Služeb, zejména počty uživatelů u licencí v příloze č. 2 měnit </w:t>
      </w:r>
    </w:p>
    <w:p w14:paraId="1B300235" w14:textId="77777777" w:rsidR="00D22B5D" w:rsidRDefault="00D22B5D" w:rsidP="00783027">
      <w:pPr>
        <w:pStyle w:val="Nadpis2"/>
        <w:keepNext w:val="0"/>
        <w:keepLines w:val="0"/>
        <w:numPr>
          <w:ilvl w:val="0"/>
          <w:numId w:val="7"/>
        </w:numPr>
        <w:ind w:left="720" w:hanging="360"/>
        <w:rPr>
          <w:color w:val="000000" w:themeColor="text1"/>
        </w:rPr>
      </w:pPr>
      <w:r w:rsidRPr="001F3827">
        <w:rPr>
          <w:color w:val="000000" w:themeColor="text1"/>
        </w:rPr>
        <w:t>v případě Měsíčního předplatného každý měsíc, a to na základě oznámení doručeného společnosti Artex vždy do 20. dne předchozího měsíce</w:t>
      </w:r>
      <w:r>
        <w:rPr>
          <w:color w:val="000000" w:themeColor="text1"/>
        </w:rPr>
        <w:t>;</w:t>
      </w:r>
    </w:p>
    <w:p w14:paraId="1BD15956" w14:textId="77777777" w:rsidR="00D22B5D" w:rsidRDefault="00D22B5D" w:rsidP="00783027">
      <w:pPr>
        <w:pStyle w:val="Nadpis2"/>
        <w:keepNext w:val="0"/>
        <w:keepLines w:val="0"/>
        <w:numPr>
          <w:ilvl w:val="0"/>
          <w:numId w:val="7"/>
        </w:numPr>
        <w:ind w:left="720" w:hanging="360"/>
        <w:rPr>
          <w:color w:val="000000" w:themeColor="text1"/>
        </w:rPr>
      </w:pPr>
      <w:r w:rsidRPr="001F3827">
        <w:rPr>
          <w:color w:val="000000" w:themeColor="text1"/>
        </w:rPr>
        <w:t xml:space="preserve">v případě Ročního předplatného a Ročního splátkového předplatného každý rok na základě oznámení doručeného společnosti Artex vždy do 1 měsíce před uplynutím příslušného ročního období předplatného. </w:t>
      </w:r>
    </w:p>
    <w:p w14:paraId="495D06EB" w14:textId="2D15B956" w:rsidR="00D22B5D" w:rsidRDefault="00D22B5D" w:rsidP="00783027">
      <w:pPr>
        <w:pStyle w:val="Nadpis2"/>
        <w:keepNext w:val="0"/>
        <w:keepLines w:val="0"/>
        <w:numPr>
          <w:ilvl w:val="0"/>
          <w:numId w:val="0"/>
        </w:numPr>
        <w:ind w:left="567"/>
        <w:rPr>
          <w:color w:val="000000" w:themeColor="text1"/>
        </w:rPr>
      </w:pPr>
      <w:r w:rsidRPr="60309124">
        <w:rPr>
          <w:color w:val="000000" w:themeColor="text1"/>
        </w:rPr>
        <w:t xml:space="preserve">Zákazník je dále oprávněn navyšovat počty uživatelů licencí v příloze č. 2 nebo měnit typy čerpaných Služeb z levnějších na dražší, a to oznámením doručeným společnosti Artex. Navýšením počtu licencí stejného typu v průběhu období sjednaného ročního závazku není dotčen původní termín skončení tohoto ročního závazku. Naopak v případě změny co do typu čerpané licence běží pro každý tento typ licence příslušné roční období zvlášť. </w:t>
      </w:r>
    </w:p>
    <w:p w14:paraId="10DF3493" w14:textId="77777777" w:rsidR="00D22B5D" w:rsidRPr="001F3827" w:rsidRDefault="00D22B5D" w:rsidP="00783027">
      <w:pPr>
        <w:pStyle w:val="Nadpis2"/>
        <w:keepNext w:val="0"/>
        <w:keepLines w:val="0"/>
        <w:numPr>
          <w:ilvl w:val="0"/>
          <w:numId w:val="0"/>
        </w:numPr>
        <w:ind w:left="567"/>
        <w:rPr>
          <w:color w:val="000000" w:themeColor="text1"/>
        </w:rPr>
      </w:pPr>
      <w:r w:rsidRPr="001F3827">
        <w:rPr>
          <w:color w:val="000000" w:themeColor="text1"/>
        </w:rPr>
        <w:t xml:space="preserve">Pro tyto změny není třeba uzavírat dodatek smlouvy, postačí oboustranně potvrzená elektronická komunikace. </w:t>
      </w:r>
    </w:p>
    <w:p w14:paraId="5DF09EA7" w14:textId="77777777" w:rsidR="00D22B5D" w:rsidRPr="00467BA8" w:rsidRDefault="00D22B5D" w:rsidP="00783027">
      <w:pPr>
        <w:pStyle w:val="Nadpis2"/>
        <w:keepNext w:val="0"/>
        <w:keepLines w:val="0"/>
        <w:ind w:left="927" w:hanging="567"/>
      </w:pPr>
      <w:r>
        <w:t xml:space="preserve">Společnost Artex je </w:t>
      </w:r>
      <w:r w:rsidRPr="10026D32">
        <w:rPr>
          <w:color w:val="000000" w:themeColor="text1"/>
        </w:rPr>
        <w:t xml:space="preserve">oprávněna vystavit fakturu za poskytnutí Služeb zákazníkovi přijetím jeho objednávky na dané Služby a dále </w:t>
      </w:r>
    </w:p>
    <w:p w14:paraId="73034FCC" w14:textId="77777777" w:rsidR="00D22B5D" w:rsidRDefault="00D22B5D" w:rsidP="00783027">
      <w:pPr>
        <w:pStyle w:val="Nadpis2"/>
        <w:keepNext w:val="0"/>
        <w:keepLines w:val="0"/>
        <w:numPr>
          <w:ilvl w:val="0"/>
          <w:numId w:val="6"/>
        </w:numPr>
        <w:rPr>
          <w:color w:val="000000" w:themeColor="text1"/>
        </w:rPr>
      </w:pPr>
      <w:r>
        <w:rPr>
          <w:color w:val="000000" w:themeColor="text1"/>
        </w:rPr>
        <w:t xml:space="preserve">v případě Měsíčního předplatného a Roční splátkového předplatného </w:t>
      </w:r>
      <w:r w:rsidRPr="009A42E7">
        <w:rPr>
          <w:color w:val="000000" w:themeColor="text1"/>
        </w:rPr>
        <w:t>každý měsíc</w:t>
      </w:r>
      <w:r>
        <w:rPr>
          <w:color w:val="000000" w:themeColor="text1"/>
        </w:rPr>
        <w:t xml:space="preserve"> počínaje 1. dnem příslušného měsíce, za který je platba určena;</w:t>
      </w:r>
    </w:p>
    <w:p w14:paraId="61192ADC" w14:textId="77777777" w:rsidR="00D22B5D" w:rsidRPr="009A42E7" w:rsidRDefault="00D22B5D" w:rsidP="00783027">
      <w:pPr>
        <w:pStyle w:val="Nadpis2"/>
        <w:keepNext w:val="0"/>
        <w:keepLines w:val="0"/>
        <w:numPr>
          <w:ilvl w:val="0"/>
          <w:numId w:val="6"/>
        </w:numPr>
      </w:pPr>
      <w:r>
        <w:rPr>
          <w:color w:val="000000" w:themeColor="text1"/>
        </w:rPr>
        <w:t>v případě Ročního předplatného počínaje 1. dnem příslušného roku, za který je platba určena</w:t>
      </w:r>
      <w:r w:rsidRPr="009A42E7">
        <w:rPr>
          <w:color w:val="000000" w:themeColor="text1"/>
        </w:rPr>
        <w:t xml:space="preserve">. </w:t>
      </w:r>
    </w:p>
    <w:p w14:paraId="1D8E2D8A" w14:textId="77777777" w:rsidR="00D22B5D" w:rsidRPr="0075558D" w:rsidRDefault="00D22B5D" w:rsidP="00783027">
      <w:pPr>
        <w:pStyle w:val="Nadpis2"/>
        <w:keepNext w:val="0"/>
        <w:keepLines w:val="0"/>
        <w:ind w:left="927" w:hanging="567"/>
      </w:pPr>
      <w:r>
        <w:t>Zákazník souhlasí se zasíláním daňových dokladů elektronickou cestou na fakturační e-mailovou adresu uvedenou v hlavičce této Smlouvy. V případě změny fakturační e-mailové adresy je Zákazník povinen tuto skutečnost bezodkladně oznámit Artexu. Elektronická pošta je považována za doručenou okamžikem odesláním zprávy z e-mailové schránky Artexu.</w:t>
      </w:r>
    </w:p>
    <w:p w14:paraId="7275C505" w14:textId="77777777" w:rsidR="00D22B5D" w:rsidRPr="00FC66DB" w:rsidRDefault="00D22B5D" w:rsidP="00783027">
      <w:pPr>
        <w:pStyle w:val="Nadpis2"/>
        <w:keepNext w:val="0"/>
        <w:keepLines w:val="0"/>
        <w:ind w:left="927" w:hanging="567"/>
        <w:rPr>
          <w:color w:val="000000" w:themeColor="text1"/>
        </w:rPr>
      </w:pPr>
      <w:r>
        <w:lastRenderedPageBreak/>
        <w:t xml:space="preserve">Zákazník bere na vědomí, že v důsledku neuhrazení faktury vystavené společností </w:t>
      </w:r>
      <w:r w:rsidRPr="10026D32">
        <w:rPr>
          <w:color w:val="000000" w:themeColor="text1"/>
        </w:rPr>
        <w:t xml:space="preserve">Artex v plné výši a </w:t>
      </w:r>
      <w:r>
        <w:t xml:space="preserve">ve lhůtě stanovené touto Smlouvou je společnost Artex oprávněna: </w:t>
      </w:r>
    </w:p>
    <w:p w14:paraId="2B14525E" w14:textId="77777777" w:rsidR="00D22B5D" w:rsidRPr="00FC66DB" w:rsidRDefault="00D22B5D" w:rsidP="00783027">
      <w:pPr>
        <w:pStyle w:val="Nadpis2"/>
        <w:keepNext w:val="0"/>
        <w:keepLines w:val="0"/>
        <w:numPr>
          <w:ilvl w:val="0"/>
          <w:numId w:val="5"/>
        </w:numPr>
        <w:rPr>
          <w:color w:val="000000" w:themeColor="text1"/>
        </w:rPr>
      </w:pPr>
      <w:r w:rsidRPr="00C6093D">
        <w:t xml:space="preserve">pozastavit </w:t>
      </w:r>
      <w:r>
        <w:t>čerpání S</w:t>
      </w:r>
      <w:r w:rsidRPr="00C6093D">
        <w:t>luž</w:t>
      </w:r>
      <w:r>
        <w:t>e</w:t>
      </w:r>
      <w:r w:rsidRPr="00C6093D">
        <w:t>b až do okamžiku uhrazení faktury</w:t>
      </w:r>
      <w:r>
        <w:t xml:space="preserve">; pokud Artex neuplatní předmětné právo na pozastavení Služby, nevzdává se tím tohoto práva do budoucna. Sjednanou cenu je Zákazník povinen hradit i v případě tohoto pozastavení Služby; anebo </w:t>
      </w:r>
    </w:p>
    <w:p w14:paraId="45A8BC3C" w14:textId="77777777" w:rsidR="00D22B5D" w:rsidRDefault="00D22B5D" w:rsidP="00783027">
      <w:pPr>
        <w:pStyle w:val="Nadpis2"/>
        <w:keepNext w:val="0"/>
        <w:keepLines w:val="0"/>
        <w:numPr>
          <w:ilvl w:val="0"/>
          <w:numId w:val="5"/>
        </w:numPr>
        <w:rPr>
          <w:color w:val="000000" w:themeColor="text1"/>
        </w:rPr>
      </w:pPr>
      <w:r>
        <w:rPr>
          <w:color w:val="000000" w:themeColor="text1"/>
        </w:rPr>
        <w:t xml:space="preserve">požadovat po Zákazníkovi zálohu na všechny budoucí platby za sjednané závazky čerpání Služeb, </w:t>
      </w:r>
    </w:p>
    <w:p w14:paraId="754A2CB3" w14:textId="77777777" w:rsidR="00D22B5D" w:rsidRPr="00F51D4A" w:rsidRDefault="00D22B5D" w:rsidP="00783027">
      <w:pPr>
        <w:pStyle w:val="Nadpis2"/>
        <w:keepNext w:val="0"/>
        <w:keepLines w:val="0"/>
        <w:numPr>
          <w:ilvl w:val="0"/>
          <w:numId w:val="5"/>
        </w:numPr>
        <w:rPr>
          <w:color w:val="000000" w:themeColor="text1"/>
        </w:rPr>
      </w:pPr>
      <w:r>
        <w:rPr>
          <w:color w:val="000000" w:themeColor="text1"/>
        </w:rPr>
        <w:t>případně pokud se platební morálka Zákazníka podstatně zhorší, je společnost Artex současně oprávněna požadovat i jinou záruku splnění platebních povinností Zákazníka (např. směnkou ve prospěch společnosti Artex)</w:t>
      </w:r>
      <w:r>
        <w:rPr>
          <w:rFonts w:cs="Calibri"/>
        </w:rPr>
        <w:t>.</w:t>
      </w:r>
    </w:p>
    <w:p w14:paraId="39A1C63D" w14:textId="77777777" w:rsidR="00D22B5D" w:rsidRDefault="00D22B5D" w:rsidP="00783027">
      <w:pPr>
        <w:pStyle w:val="Nadpis2"/>
        <w:keepNext w:val="0"/>
        <w:keepLines w:val="0"/>
      </w:pPr>
      <w:r>
        <w:t>V případě prodlení Zákazníka s úhradou vystavené faktury je společnost Artex oprávněna vyúčtovat Zákazníkovi smluvní úrok z prodlení ve výši 0,1 % z dlužné částky denně do úplného zaplacení. V případě prodlení Zákazníka s úhradou faktury delšího než 60 dní může společnost Artex vyúčtovat Zákazníkovi smluvní pokutu ve výši 0,2 % denně z dlužné částky až do úplného zaplacení. Smluvní pokuta nenahrazuje nárok na úhradu vzniklých škod způsobených Artexu Zákazníkem. V případě, že je na Zákazníka podán insolvenční návrh zveřejněný ve veřejném rejstříku, stávají se veškeré závazky z této Smlouvy splatnými v den, který předchází podání tohoto návrhu k příslušnému soudu.</w:t>
      </w:r>
    </w:p>
    <w:p w14:paraId="0E3EEBB4" w14:textId="77777777" w:rsidR="00D22B5D" w:rsidRPr="00CD1C4B" w:rsidRDefault="00D22B5D" w:rsidP="00783027">
      <w:pPr>
        <w:pStyle w:val="Nadpis2"/>
        <w:keepNext w:val="0"/>
        <w:keepLines w:val="0"/>
      </w:pPr>
      <w:r>
        <w:t xml:space="preserve">V </w:t>
      </w:r>
      <w:r w:rsidRPr="00084E35">
        <w:t xml:space="preserve">případě, že je na Zákazníka podán insolvenční návrh zveřejněný ve veřejném rejstříku, stávají se veškeré závazky z této </w:t>
      </w:r>
      <w:r>
        <w:t>S</w:t>
      </w:r>
      <w:r w:rsidRPr="00084E35">
        <w:t>mlouvy splatnými v den, který předchází podání tohoto návrhu k příslušnému soudu.</w:t>
      </w:r>
      <w:r w:rsidRPr="10026D32">
        <w:rPr>
          <w:rFonts w:eastAsiaTheme="minorEastAsia" w:hAnsi="Calibri" w:cstheme="minorBidi"/>
          <w:color w:val="000000" w:themeColor="text1"/>
          <w:kern w:val="24"/>
          <w:sz w:val="36"/>
          <w:szCs w:val="36"/>
          <w:lang w:eastAsia="cs-CZ"/>
        </w:rPr>
        <w:t xml:space="preserve"> </w:t>
      </w:r>
    </w:p>
    <w:p w14:paraId="1EE50E31" w14:textId="77777777" w:rsidR="00D22B5D" w:rsidRPr="00513917" w:rsidRDefault="00D22B5D" w:rsidP="00783027">
      <w:pPr>
        <w:pStyle w:val="Nadpis2"/>
        <w:keepNext w:val="0"/>
        <w:keepLines w:val="0"/>
      </w:pPr>
      <w:r w:rsidRPr="00CD1C4B">
        <w:t xml:space="preserve">Vznikne-li společnosti </w:t>
      </w:r>
      <w:r>
        <w:t xml:space="preserve">Artex </w:t>
      </w:r>
      <w:r w:rsidRPr="00CD1C4B">
        <w:t xml:space="preserve">újma v důsledku nedodržení podmínek této </w:t>
      </w:r>
      <w:r>
        <w:t>Smlouvy ze strany Zákazníka</w:t>
      </w:r>
      <w:r w:rsidRPr="00CD1C4B">
        <w:t xml:space="preserve">, zavazuje se Zákazník, že společnosti </w:t>
      </w:r>
      <w:r>
        <w:t>Artex</w:t>
      </w:r>
      <w:r w:rsidRPr="00CD1C4B">
        <w:t xml:space="preserve"> veškerou takovou újmu </w:t>
      </w:r>
      <w:r>
        <w:t xml:space="preserve">neprodleně a </w:t>
      </w:r>
      <w:r w:rsidRPr="00CD1C4B">
        <w:t>v plné výši</w:t>
      </w:r>
      <w:r w:rsidRPr="004E6060">
        <w:t xml:space="preserve"> </w:t>
      </w:r>
      <w:r w:rsidRPr="00CD1C4B">
        <w:t>nahradí.</w:t>
      </w:r>
      <w:r w:rsidRPr="10026D32">
        <w:rPr>
          <w:rFonts w:eastAsiaTheme="minorEastAsia" w:hAnsi="Calibri" w:cstheme="minorBidi"/>
          <w:color w:val="000000" w:themeColor="text1"/>
          <w:kern w:val="24"/>
          <w:sz w:val="36"/>
          <w:szCs w:val="36"/>
        </w:rPr>
        <w:t xml:space="preserve"> </w:t>
      </w:r>
    </w:p>
    <w:p w14:paraId="3C9696CA" w14:textId="29E285AA" w:rsidR="00D22B5D" w:rsidRDefault="00D22B5D" w:rsidP="00783027">
      <w:pPr>
        <w:pStyle w:val="Nadpis2"/>
        <w:keepNext w:val="0"/>
        <w:keepLines w:val="0"/>
      </w:pPr>
      <w:r>
        <w:t>Zákazník není oprávněn započítat žádnou ze svých pohledávek za společností Artex proti jakémukoliv svému dluhu vůči společnosti Artex.</w:t>
      </w:r>
    </w:p>
    <w:p w14:paraId="5CA213CE" w14:textId="77777777" w:rsidR="0015441E" w:rsidRPr="0015441E" w:rsidRDefault="0015441E" w:rsidP="0015441E">
      <w:pPr>
        <w:rPr>
          <w:lang w:eastAsia="en-US"/>
        </w:rPr>
      </w:pPr>
    </w:p>
    <w:p w14:paraId="78239D38" w14:textId="77777777" w:rsidR="00D22B5D" w:rsidRDefault="00D22B5D" w:rsidP="00D22B5D">
      <w:pPr>
        <w:pStyle w:val="Nadpis1"/>
        <w:spacing w:before="240"/>
        <w:jc w:val="left"/>
      </w:pPr>
      <w:r>
        <w:t>Trvání Smlouvy</w:t>
      </w:r>
    </w:p>
    <w:p w14:paraId="727D44E2" w14:textId="77777777" w:rsidR="002E53D0" w:rsidRPr="002E53D0" w:rsidRDefault="002E53D0" w:rsidP="00783027">
      <w:pPr>
        <w:pStyle w:val="Nadpis2"/>
        <w:rPr>
          <w:color w:val="000000" w:themeColor="text1"/>
        </w:rPr>
      </w:pPr>
      <w:r w:rsidRPr="002E53D0">
        <w:t xml:space="preserve">Tato Smlouva se uzavírá na dobu určitou. Trvání je v délce 1 rok od započatí platnosti licencí.  </w:t>
      </w:r>
    </w:p>
    <w:p w14:paraId="5F6513C7" w14:textId="372A72A7" w:rsidR="00D22B5D" w:rsidRDefault="00D22B5D" w:rsidP="00783027">
      <w:pPr>
        <w:pStyle w:val="Nadpis2"/>
        <w:rPr>
          <w:color w:val="000000" w:themeColor="text1"/>
        </w:rPr>
      </w:pPr>
      <w:r w:rsidRPr="10026D32">
        <w:rPr>
          <w:color w:val="000000" w:themeColor="text1"/>
        </w:rPr>
        <w:t>Tato Smlouva může být ukončena písemnou výpovědí smluvních stran. Smluvní strany si stanovují výpovědní lhůtu jednoho měsíce, která počne běžet 1. dnem měsíce následujícího po doručení výpovědi druhé smluvní straně.</w:t>
      </w:r>
    </w:p>
    <w:p w14:paraId="43B49574" w14:textId="77777777" w:rsidR="00D22B5D" w:rsidRPr="00403AED" w:rsidRDefault="00D22B5D" w:rsidP="00783027">
      <w:pPr>
        <w:pStyle w:val="Nadpis2"/>
        <w:rPr>
          <w:color w:val="000000" w:themeColor="text1"/>
        </w:rPr>
      </w:pPr>
      <w:r w:rsidRPr="10026D32">
        <w:rPr>
          <w:color w:val="000000" w:themeColor="text1"/>
        </w:rPr>
        <w:t>Od této Smlouvy jsou smluvní strany oprávněny odstoupit okamžitě v případě opakovaného porušení povinností druhé smluvní strany.</w:t>
      </w:r>
    </w:p>
    <w:p w14:paraId="1A20FF2F" w14:textId="26557A13" w:rsidR="00D22B5D" w:rsidRDefault="00D22B5D" w:rsidP="00783027">
      <w:pPr>
        <w:pStyle w:val="Nadpis2"/>
      </w:pPr>
      <w:r>
        <w:t>Společnost Artex je oprávněna tuto Smlouvu jednostranně vypovědět s okamžitou účinností v případě prodlení Zákazníka s úhradou faktury delší než 30 kalendářních dnů.</w:t>
      </w:r>
    </w:p>
    <w:p w14:paraId="096C6CD5" w14:textId="77777777" w:rsidR="0015441E" w:rsidRPr="0015441E" w:rsidRDefault="0015441E" w:rsidP="0015441E">
      <w:pPr>
        <w:rPr>
          <w:lang w:eastAsia="en-US"/>
        </w:rPr>
      </w:pPr>
    </w:p>
    <w:p w14:paraId="7EEA618C" w14:textId="77777777" w:rsidR="00D22B5D" w:rsidRPr="00456CDA" w:rsidRDefault="00D22B5D" w:rsidP="00D22B5D">
      <w:pPr>
        <w:pStyle w:val="Nadpis1"/>
        <w:spacing w:before="240"/>
        <w:jc w:val="left"/>
      </w:pPr>
      <w:r>
        <w:lastRenderedPageBreak/>
        <w:t>Ostatní ustanovení</w:t>
      </w:r>
    </w:p>
    <w:p w14:paraId="00AD46E7" w14:textId="77777777" w:rsidR="00D22B5D" w:rsidRPr="00C97DB3" w:rsidRDefault="00D22B5D" w:rsidP="00783027">
      <w:pPr>
        <w:pStyle w:val="Nadpis2"/>
      </w:pPr>
      <w:r>
        <w:t>Tato Smlouva je sepsána ve dvou stejnopisech s platností originálu, z nichž každá smluvní strana obdrží po jednom vyhotovení.</w:t>
      </w:r>
    </w:p>
    <w:p w14:paraId="1285B5F5" w14:textId="77777777" w:rsidR="00D22B5D" w:rsidRPr="00C97DB3" w:rsidRDefault="00D22B5D" w:rsidP="00783027">
      <w:pPr>
        <w:pStyle w:val="Nadpis2"/>
      </w:pPr>
      <w:r>
        <w:t>Jsou-li nebo stanou-li se některá ustanovení této Smlouvy zcela nebo zčásti neplatnými, nebo pokud by některá ustanovení chyběla, není tím dotčena platnost zbývajících ustanovení. Místo neplatného nebo chybějícího ustanovení dohodnou smluvní strany takové platné ustanovení, které nejvíce odpovídá smyslu a účelu neplatného či chybějícího ustanovení.</w:t>
      </w:r>
    </w:p>
    <w:p w14:paraId="2EA227A9" w14:textId="77777777" w:rsidR="00D22B5D" w:rsidRDefault="00D22B5D" w:rsidP="00783027">
      <w:pPr>
        <w:pStyle w:val="Nadpis2"/>
      </w:pPr>
      <w:r>
        <w:t>Vedlejší ústní dohody k této Smlouvě nebyly učiněny. Změny nebo doplňky této Smlouvy musí být provedeny písemnou formou.</w:t>
      </w:r>
    </w:p>
    <w:p w14:paraId="5D3F7FB7" w14:textId="77777777" w:rsidR="0015441E" w:rsidRDefault="0015441E" w:rsidP="0015441E">
      <w:pPr>
        <w:rPr>
          <w:lang w:eastAsia="en-US"/>
        </w:rPr>
      </w:pPr>
    </w:p>
    <w:p w14:paraId="4FCFB184" w14:textId="77777777" w:rsidR="0015441E" w:rsidRPr="0015441E" w:rsidRDefault="0015441E" w:rsidP="0015441E">
      <w:pPr>
        <w:rPr>
          <w:lang w:eastAsia="en-US"/>
        </w:rPr>
      </w:pPr>
    </w:p>
    <w:p w14:paraId="1DD85174" w14:textId="77777777" w:rsidR="00D22B5D" w:rsidRPr="000F019F" w:rsidRDefault="00D22B5D" w:rsidP="00D22B5D">
      <w:pPr>
        <w:spacing w:after="120"/>
      </w:pPr>
    </w:p>
    <w:p w14:paraId="6F1D91BF" w14:textId="4AB2F085" w:rsidR="00B51743" w:rsidRPr="000D0457" w:rsidRDefault="00B51743" w:rsidP="00B51743">
      <w:pPr>
        <w:spacing w:after="200" w:line="276" w:lineRule="auto"/>
        <w:rPr>
          <w:rFonts w:ascii="Calibri" w:eastAsia="Calibri" w:hAnsi="Calibri" w:cs="Times New Roman"/>
          <w:lang w:eastAsia="en-US"/>
        </w:rPr>
      </w:pPr>
      <w:r w:rsidRPr="473E7646">
        <w:rPr>
          <w:rFonts w:ascii="Calibri" w:eastAsia="Calibri" w:hAnsi="Calibri" w:cs="Times New Roman"/>
          <w:lang w:eastAsia="en-US"/>
        </w:rPr>
        <w:t>V Praze, dne</w:t>
      </w:r>
      <w:r w:rsidR="462063A1" w:rsidRPr="473E7646">
        <w:rPr>
          <w:rFonts w:ascii="Calibri" w:eastAsia="Calibri" w:hAnsi="Calibri" w:cs="Times New Roman"/>
          <w:lang w:eastAsia="en-US"/>
        </w:rPr>
        <w:t>:</w:t>
      </w:r>
      <w:r>
        <w:tab/>
      </w:r>
      <w:r w:rsidR="00763DA9">
        <w:t xml:space="preserve">26.06.2025 </w:t>
      </w:r>
      <w:r w:rsidRPr="473E7646">
        <w:rPr>
          <w:rFonts w:ascii="Calibri" w:eastAsia="Calibri" w:hAnsi="Calibri" w:cs="Times New Roman"/>
          <w:lang w:eastAsia="en-US"/>
        </w:rPr>
        <w:t xml:space="preserve">                          </w:t>
      </w:r>
      <w:r w:rsidR="002E53D0">
        <w:rPr>
          <w:rFonts w:ascii="Calibri" w:eastAsia="Calibri" w:hAnsi="Calibri" w:cs="Times New Roman"/>
          <w:lang w:eastAsia="en-US"/>
        </w:rPr>
        <w:t xml:space="preserve">                                       </w:t>
      </w:r>
      <w:r w:rsidRPr="473E7646">
        <w:rPr>
          <w:rFonts w:ascii="Calibri" w:eastAsia="Calibri" w:hAnsi="Calibri" w:cs="Times New Roman"/>
          <w:lang w:eastAsia="en-US"/>
        </w:rPr>
        <w:t>V Praze, dne</w:t>
      </w:r>
      <w:r w:rsidR="00FB3853" w:rsidRPr="473E7646">
        <w:rPr>
          <w:rFonts w:ascii="Calibri" w:eastAsia="Calibri" w:hAnsi="Calibri" w:cs="Times New Roman"/>
          <w:lang w:eastAsia="en-US"/>
        </w:rPr>
        <w:t>:</w:t>
      </w:r>
      <w:r w:rsidR="00850CF6">
        <w:rPr>
          <w:rFonts w:ascii="Calibri" w:eastAsia="Calibri" w:hAnsi="Calibri" w:cs="Times New Roman"/>
          <w:lang w:eastAsia="en-US"/>
        </w:rPr>
        <w:t xml:space="preserve"> 25.06.2025</w:t>
      </w:r>
      <w:r w:rsidR="00763DA9">
        <w:rPr>
          <w:rFonts w:ascii="Calibri" w:eastAsia="Calibri" w:hAnsi="Calibri" w:cs="Times New Roman"/>
          <w:lang w:eastAsia="en-US"/>
        </w:rPr>
        <w:t xml:space="preserve"> </w:t>
      </w:r>
      <w:bookmarkStart w:id="0" w:name="_GoBack"/>
      <w:bookmarkEnd w:id="0"/>
    </w:p>
    <w:p w14:paraId="5C6D3F53" w14:textId="77777777" w:rsidR="00B51743" w:rsidRPr="006A302F" w:rsidRDefault="00B51743" w:rsidP="00B51743">
      <w:pPr>
        <w:spacing w:after="200" w:line="276" w:lineRule="auto"/>
        <w:rPr>
          <w:rFonts w:ascii="Calibri" w:eastAsia="Calibri" w:hAnsi="Calibri" w:cs="Times New Roman"/>
          <w:lang w:eastAsia="en-US"/>
        </w:rPr>
      </w:pPr>
      <w:r w:rsidRPr="006A302F">
        <w:rPr>
          <w:rFonts w:ascii="Calibri" w:eastAsia="Calibri" w:hAnsi="Calibri" w:cs="Times New Roman"/>
          <w:lang w:eastAsia="en-US"/>
        </w:rPr>
        <w:t xml:space="preserve"> </w:t>
      </w:r>
    </w:p>
    <w:p w14:paraId="66234591" w14:textId="77777777" w:rsidR="00B51743" w:rsidRPr="006A302F" w:rsidRDefault="00B51743" w:rsidP="00B51743">
      <w:pPr>
        <w:spacing w:after="200" w:line="276" w:lineRule="auto"/>
        <w:rPr>
          <w:rFonts w:ascii="Calibri" w:eastAsia="Calibri" w:hAnsi="Calibri" w:cs="Times New Roman"/>
          <w:lang w:eastAsia="en-US"/>
        </w:rPr>
      </w:pPr>
      <w:r w:rsidRPr="006A302F">
        <w:rPr>
          <w:rFonts w:ascii="Calibri" w:eastAsia="Calibri" w:hAnsi="Calibri" w:cs="Times New Roman"/>
          <w:lang w:eastAsia="en-US"/>
        </w:rPr>
        <w:t xml:space="preserve">………………………………………………………..     </w:t>
      </w:r>
      <w:r w:rsidRPr="006A302F">
        <w:rPr>
          <w:rFonts w:ascii="Calibri" w:eastAsia="Calibri" w:hAnsi="Calibri" w:cs="Times New Roman"/>
          <w:lang w:eastAsia="en-US"/>
        </w:rPr>
        <w:tab/>
      </w:r>
      <w:r w:rsidRPr="006A302F">
        <w:rPr>
          <w:rFonts w:ascii="Calibri" w:eastAsia="Calibri" w:hAnsi="Calibri" w:cs="Times New Roman"/>
          <w:lang w:eastAsia="en-US"/>
        </w:rPr>
        <w:tab/>
        <w:t>…………………………………………………………..</w:t>
      </w:r>
      <w:r w:rsidRPr="006A302F">
        <w:rPr>
          <w:rFonts w:ascii="Calibri" w:eastAsia="Calibri" w:hAnsi="Calibri" w:cs="Times New Roman"/>
          <w:lang w:eastAsia="en-US"/>
        </w:rPr>
        <w:tab/>
      </w:r>
    </w:p>
    <w:p w14:paraId="7230B386" w14:textId="1D9E2F09" w:rsidR="00B51743" w:rsidRPr="002E53D0" w:rsidRDefault="00B51743" w:rsidP="00B51743">
      <w:pPr>
        <w:spacing w:after="200" w:line="276" w:lineRule="auto"/>
        <w:rPr>
          <w:rFonts w:ascii="Calibri" w:eastAsia="Calibri" w:hAnsi="Calibri" w:cs="Times New Roman"/>
          <w:lang w:eastAsia="en-US"/>
        </w:rPr>
      </w:pPr>
      <w:r w:rsidRPr="002E53D0">
        <w:rPr>
          <w:rFonts w:ascii="Calibri" w:eastAsia="Calibri" w:hAnsi="Calibri" w:cs="Times New Roman"/>
          <w:lang w:eastAsia="en-US"/>
        </w:rPr>
        <w:t xml:space="preserve">Ing. Lukáš Příklenk                                            </w:t>
      </w:r>
      <w:r w:rsidRPr="002E53D0">
        <w:rPr>
          <w:rFonts w:ascii="Calibri" w:eastAsia="Calibri" w:hAnsi="Calibri" w:cs="Times New Roman"/>
          <w:lang w:eastAsia="en-US"/>
        </w:rPr>
        <w:tab/>
      </w:r>
      <w:r w:rsidRPr="002E53D0">
        <w:rPr>
          <w:rFonts w:ascii="Calibri" w:eastAsia="Calibri" w:hAnsi="Calibri" w:cs="Times New Roman"/>
          <w:lang w:eastAsia="en-US"/>
        </w:rPr>
        <w:tab/>
      </w:r>
      <w:r w:rsidR="00CC77A2" w:rsidRPr="002B0582">
        <w:rPr>
          <w:rFonts w:ascii="Calibri" w:eastAsia="Calibri" w:hAnsi="Calibri" w:cs="Calibri"/>
        </w:rPr>
        <w:t xml:space="preserve">Mgr. </w:t>
      </w:r>
      <w:r w:rsidR="00CC77A2">
        <w:rPr>
          <w:rFonts w:ascii="Calibri" w:eastAsia="Calibri" w:hAnsi="Calibri" w:cs="Calibri"/>
        </w:rPr>
        <w:t>Barbora</w:t>
      </w:r>
      <w:r w:rsidR="00CC77A2" w:rsidRPr="002B0582">
        <w:rPr>
          <w:rFonts w:ascii="Calibri" w:eastAsia="Calibri" w:hAnsi="Calibri" w:cs="Calibri"/>
        </w:rPr>
        <w:t xml:space="preserve"> </w:t>
      </w:r>
      <w:r w:rsidR="00CC77A2">
        <w:rPr>
          <w:rFonts w:ascii="Calibri" w:eastAsia="Calibri" w:hAnsi="Calibri" w:cs="Calibri"/>
        </w:rPr>
        <w:t>Hanslianová</w:t>
      </w:r>
      <w:r w:rsidR="002E53D0" w:rsidRPr="002E53D0">
        <w:rPr>
          <w:rFonts w:ascii="Calibri" w:eastAsia="Calibri" w:hAnsi="Calibri" w:cs="Times New Roman"/>
          <w:lang w:eastAsia="en-US"/>
        </w:rPr>
        <w:t xml:space="preserve">                                               </w:t>
      </w:r>
    </w:p>
    <w:p w14:paraId="7C132485" w14:textId="0B6A92D7" w:rsidR="00D22B5D" w:rsidRPr="009B028F" w:rsidRDefault="00B51743" w:rsidP="009B028F">
      <w:pPr>
        <w:rPr>
          <w:rStyle w:val="preformatted"/>
          <w:rFonts w:ascii="Calibri" w:eastAsia="Calibri" w:hAnsi="Calibri" w:cs="Times New Roman"/>
          <w:b/>
          <w:bCs/>
          <w:lang w:eastAsia="en-US"/>
        </w:rPr>
      </w:pPr>
      <w:r w:rsidRPr="002E53D0">
        <w:rPr>
          <w:rFonts w:ascii="Calibri" w:eastAsia="Calibri" w:hAnsi="Calibri" w:cs="Times New Roman"/>
          <w:lang w:eastAsia="en-US"/>
        </w:rPr>
        <w:t xml:space="preserve">ARTEX informační systémy spol. s r.o   </w:t>
      </w:r>
      <w:r w:rsidR="002E53D0">
        <w:rPr>
          <w:rFonts w:ascii="Calibri" w:eastAsia="Calibri" w:hAnsi="Calibri" w:cs="Times New Roman"/>
          <w:lang w:eastAsia="en-US"/>
        </w:rPr>
        <w:t xml:space="preserve"> </w:t>
      </w:r>
      <w:r w:rsidRPr="002E53D0">
        <w:rPr>
          <w:rFonts w:ascii="Calibri" w:eastAsia="Calibri" w:hAnsi="Calibri" w:cs="Times New Roman"/>
          <w:lang w:eastAsia="en-US"/>
        </w:rPr>
        <w:t xml:space="preserve">                              </w:t>
      </w:r>
      <w:r w:rsidR="004D2286">
        <w:rPr>
          <w:rFonts w:ascii="Calibri" w:eastAsia="Calibri" w:hAnsi="Calibri" w:cs="Times New Roman"/>
          <w:lang w:eastAsia="en-US"/>
        </w:rPr>
        <w:t xml:space="preserve">Pověřená ředitelka, </w:t>
      </w:r>
      <w:r w:rsidR="002E53D0" w:rsidRPr="002E53D0">
        <w:rPr>
          <w:rFonts w:ascii="Calibri" w:eastAsia="Calibri" w:hAnsi="Calibri" w:cs="Times New Roman"/>
          <w:lang w:eastAsia="en-US"/>
        </w:rPr>
        <w:t>NIPOS</w:t>
      </w:r>
      <w:r w:rsidR="00D22B5D" w:rsidRPr="002E53D0">
        <w:tab/>
      </w:r>
      <w:r w:rsidR="00D22B5D" w:rsidRPr="6801D3C1">
        <w:rPr>
          <w:rStyle w:val="preformatted"/>
        </w:rPr>
        <w:br w:type="page"/>
      </w:r>
    </w:p>
    <w:p w14:paraId="056CF08A" w14:textId="77777777" w:rsidR="00D22B5D" w:rsidRDefault="00D22B5D" w:rsidP="00D22B5D">
      <w:pPr>
        <w:pStyle w:val="Zhlav"/>
      </w:pPr>
      <w:r w:rsidRPr="00131C41">
        <w:lastRenderedPageBreak/>
        <w:t xml:space="preserve">Příloha č.1 </w:t>
      </w:r>
      <w:r>
        <w:t>Smlouvy</w:t>
      </w:r>
      <w:r w:rsidRPr="00131C41">
        <w:t xml:space="preserve"> o podmínkách spolupráce při poskytování </w:t>
      </w:r>
      <w:r>
        <w:t xml:space="preserve">služeb </w:t>
      </w:r>
      <w:r w:rsidRPr="00131C41">
        <w:t>společnosti Microsoft</w:t>
      </w:r>
    </w:p>
    <w:p w14:paraId="3F54991A" w14:textId="77777777" w:rsidR="00D22B5D" w:rsidRDefault="00D22B5D" w:rsidP="00D22B5D">
      <w:pPr>
        <w:pStyle w:val="BlueRule"/>
        <w:rPr>
          <w:lang w:val="cs-CZ"/>
        </w:rPr>
      </w:pPr>
    </w:p>
    <w:p w14:paraId="2B82526A" w14:textId="54204037" w:rsidR="00D22B5D" w:rsidRPr="001B6270" w:rsidRDefault="00D22B5D" w:rsidP="6889EEBC">
      <w:pPr>
        <w:pStyle w:val="BlueRule"/>
        <w:rPr>
          <w:sz w:val="22"/>
          <w:lang w:val="cs-CZ"/>
        </w:rPr>
      </w:pPr>
      <w:r w:rsidRPr="6889EEBC">
        <w:rPr>
          <w:sz w:val="22"/>
          <w:lang w:val="cs-CZ"/>
        </w:rPr>
        <w:t xml:space="preserve">Práva a povinnosti společnosti Artex a </w:t>
      </w:r>
      <w:r w:rsidR="2990A0F0" w:rsidRPr="6889EEBC">
        <w:rPr>
          <w:sz w:val="22"/>
          <w:lang w:val="cs-CZ"/>
        </w:rPr>
        <w:t>Z</w:t>
      </w:r>
      <w:r w:rsidRPr="6889EEBC">
        <w:rPr>
          <w:sz w:val="22"/>
          <w:lang w:val="cs-CZ"/>
        </w:rPr>
        <w:t>ákazníka jsou:</w:t>
      </w:r>
    </w:p>
    <w:p w14:paraId="41A0696D" w14:textId="77777777" w:rsidR="00D22B5D" w:rsidRDefault="00D22B5D" w:rsidP="00D22B5D">
      <w:pPr>
        <w:pStyle w:val="Odstavecseseznamem"/>
        <w:numPr>
          <w:ilvl w:val="0"/>
          <w:numId w:val="3"/>
        </w:numPr>
        <w:spacing w:after="0" w:line="250" w:lineRule="atLeast"/>
      </w:pPr>
      <w:r w:rsidRPr="008D16C0">
        <w:rPr>
          <w:b/>
        </w:rPr>
        <w:t>Zákazník</w:t>
      </w:r>
      <w:r>
        <w:t xml:space="preserve"> se zavazuje platit za Služby, jejichž skladbu si objedná.</w:t>
      </w:r>
    </w:p>
    <w:p w14:paraId="41F947ED" w14:textId="77777777" w:rsidR="00D22B5D" w:rsidRDefault="00D22B5D" w:rsidP="00D22B5D">
      <w:pPr>
        <w:pStyle w:val="Odstavecseseznamem"/>
        <w:numPr>
          <w:ilvl w:val="0"/>
          <w:numId w:val="3"/>
        </w:numPr>
        <w:spacing w:after="0" w:line="250" w:lineRule="atLeast"/>
      </w:pPr>
      <w:r w:rsidRPr="00316B6D">
        <w:t xml:space="preserve">Společnost </w:t>
      </w:r>
      <w:r>
        <w:t>Artex</w:t>
      </w:r>
      <w:r w:rsidRPr="00316B6D">
        <w:t xml:space="preserve"> se zavazuje poskytnout </w:t>
      </w:r>
      <w:r w:rsidRPr="008D16C0">
        <w:rPr>
          <w:b/>
        </w:rPr>
        <w:t>Zákazníkovi</w:t>
      </w:r>
      <w:r>
        <w:t xml:space="preserve"> </w:t>
      </w:r>
      <w:r w:rsidRPr="00316B6D">
        <w:t>jím objednané Služby za podmínek stanovených v</w:t>
      </w:r>
      <w:r>
        <w:t>e Smlouvě.</w:t>
      </w:r>
    </w:p>
    <w:p w14:paraId="758F7511" w14:textId="55FABDE0" w:rsidR="00D22B5D" w:rsidRDefault="00D22B5D" w:rsidP="00D22B5D">
      <w:pPr>
        <w:pStyle w:val="Odstavecseseznamem"/>
        <w:numPr>
          <w:ilvl w:val="0"/>
          <w:numId w:val="3"/>
        </w:numPr>
        <w:spacing w:after="0" w:line="250" w:lineRule="atLeast"/>
      </w:pPr>
      <w:r w:rsidRPr="00104AEE">
        <w:t xml:space="preserve">Společnost </w:t>
      </w:r>
      <w:r w:rsidRPr="008D16C0">
        <w:rPr>
          <w:b/>
        </w:rPr>
        <w:t>Artex</w:t>
      </w:r>
      <w:r>
        <w:t xml:space="preserve"> </w:t>
      </w:r>
      <w:r w:rsidRPr="00104AEE">
        <w:t xml:space="preserve">je povinna poskytnout </w:t>
      </w:r>
      <w:r w:rsidRPr="008D16C0">
        <w:rPr>
          <w:b/>
        </w:rPr>
        <w:t>Zákazníkovi</w:t>
      </w:r>
      <w:r w:rsidRPr="00104AEE">
        <w:t xml:space="preserve"> podporu v rozsahu </w:t>
      </w:r>
      <w:r>
        <w:t>domluveném ve Smlouvě.</w:t>
      </w:r>
    </w:p>
    <w:p w14:paraId="1B8B0FEE" w14:textId="77777777" w:rsidR="00D22B5D" w:rsidRDefault="00D22B5D" w:rsidP="00D22B5D">
      <w:pPr>
        <w:pStyle w:val="Odstavecseseznamem"/>
        <w:numPr>
          <w:ilvl w:val="0"/>
          <w:numId w:val="3"/>
        </w:numPr>
        <w:spacing w:after="0" w:line="250" w:lineRule="atLeast"/>
      </w:pPr>
      <w:r>
        <w:t>Artex</w:t>
      </w:r>
      <w:r w:rsidRPr="00C21E21">
        <w:t xml:space="preserve"> je povinen poskytnout </w:t>
      </w:r>
      <w:r>
        <w:t xml:space="preserve">Zákazníkovi </w:t>
      </w:r>
      <w:r w:rsidRPr="00C21E21">
        <w:t>podporu v běžné pracovní dob</w:t>
      </w:r>
      <w:r>
        <w:t>ě</w:t>
      </w:r>
      <w:r w:rsidRPr="00C21E21">
        <w:t xml:space="preserve">, </w:t>
      </w:r>
      <w:r>
        <w:t>to je</w:t>
      </w:r>
      <w:r w:rsidRPr="00C21E21">
        <w:t xml:space="preserve"> v pracovních dnech </w:t>
      </w:r>
      <w:r>
        <w:t>od 8.</w:t>
      </w:r>
      <w:r w:rsidRPr="00C21E21">
        <w:t xml:space="preserve">00 </w:t>
      </w:r>
      <w:r>
        <w:t>do</w:t>
      </w:r>
      <w:r w:rsidRPr="00C21E21">
        <w:t xml:space="preserve"> 17</w:t>
      </w:r>
      <w:r>
        <w:t>.</w:t>
      </w:r>
      <w:r w:rsidRPr="00C21E21">
        <w:t>00</w:t>
      </w:r>
      <w:r>
        <w:t xml:space="preserve"> hodin.</w:t>
      </w:r>
    </w:p>
    <w:p w14:paraId="40EECF97" w14:textId="77777777" w:rsidR="00D22B5D" w:rsidRPr="008D16C0" w:rsidRDefault="00D22B5D" w:rsidP="00D22B5D">
      <w:pPr>
        <w:pStyle w:val="Odstavecseseznamem"/>
        <w:numPr>
          <w:ilvl w:val="0"/>
          <w:numId w:val="3"/>
        </w:numPr>
        <w:spacing w:after="0" w:line="250" w:lineRule="atLeast"/>
      </w:pPr>
      <w:r w:rsidRPr="008D16C0">
        <w:t xml:space="preserve">Typy incidentů a reakční doby incidentů </w:t>
      </w:r>
      <w:r w:rsidRPr="008D16C0">
        <w:br/>
      </w:r>
      <w:r w:rsidRPr="008D16C0">
        <w:br/>
        <w:t xml:space="preserve">Každý požadavek, ať už je zadán telefonicky, prostřednictvím </w:t>
      </w:r>
      <w:r>
        <w:t>s</w:t>
      </w:r>
      <w:r w:rsidRPr="008D16C0">
        <w:t>ystému nebo dohodnutou komunikační cestou, bude řešitelem vyhodnocen a klasifikován dle následující tabulky, která zároveň určuje očekávanou reakční dobu po přijetí požadavku a intervaly komunikace až do jeho uzavření.</w:t>
      </w:r>
    </w:p>
    <w:p w14:paraId="249E9B30" w14:textId="77777777" w:rsidR="00D22B5D" w:rsidRPr="00891629" w:rsidRDefault="00D22B5D" w:rsidP="00D22B5D">
      <w:pPr>
        <w:pStyle w:val="Odstavecseseznamem"/>
        <w:rPr>
          <w:szCs w:val="18"/>
        </w:rPr>
      </w:pPr>
    </w:p>
    <w:tbl>
      <w:tblPr>
        <w:tblStyle w:val="Mkatabulky"/>
        <w:tblW w:w="0" w:type="auto"/>
        <w:tblInd w:w="720" w:type="dxa"/>
        <w:tblLook w:val="04A0" w:firstRow="1" w:lastRow="0" w:firstColumn="1" w:lastColumn="0" w:noHBand="0" w:noVBand="1"/>
      </w:tblPr>
      <w:tblGrid>
        <w:gridCol w:w="1402"/>
        <w:gridCol w:w="4252"/>
        <w:gridCol w:w="1418"/>
        <w:gridCol w:w="2551"/>
      </w:tblGrid>
      <w:tr w:rsidR="00D22B5D" w:rsidRPr="001510B2" w14:paraId="0EAFC0B0" w14:textId="77777777" w:rsidTr="0015441E">
        <w:tc>
          <w:tcPr>
            <w:tcW w:w="1402" w:type="dxa"/>
            <w:vAlign w:val="center"/>
          </w:tcPr>
          <w:p w14:paraId="73B45747" w14:textId="77777777" w:rsidR="00D22B5D" w:rsidRDefault="00D22B5D" w:rsidP="0015441E">
            <w:pPr>
              <w:pStyle w:val="Odstavecseseznamem"/>
              <w:jc w:val="center"/>
            </w:pPr>
            <w:r>
              <w:t>Závažnost</w:t>
            </w:r>
          </w:p>
        </w:tc>
        <w:tc>
          <w:tcPr>
            <w:tcW w:w="4252" w:type="dxa"/>
            <w:vAlign w:val="center"/>
          </w:tcPr>
          <w:p w14:paraId="68852CA3" w14:textId="77777777" w:rsidR="00D22B5D" w:rsidRDefault="00D22B5D" w:rsidP="0015441E">
            <w:pPr>
              <w:pStyle w:val="Odstavecseseznamem"/>
              <w:jc w:val="center"/>
            </w:pPr>
            <w:r>
              <w:t>Definice</w:t>
            </w:r>
          </w:p>
        </w:tc>
        <w:tc>
          <w:tcPr>
            <w:tcW w:w="1418" w:type="dxa"/>
            <w:vAlign w:val="center"/>
          </w:tcPr>
          <w:p w14:paraId="580E4E24" w14:textId="77777777" w:rsidR="00D22B5D" w:rsidRDefault="00D22B5D" w:rsidP="0015441E">
            <w:pPr>
              <w:pStyle w:val="Odstavecseseznamem"/>
              <w:jc w:val="center"/>
            </w:pPr>
            <w:r>
              <w:t>Optimální reakční doba</w:t>
            </w:r>
          </w:p>
        </w:tc>
        <w:tc>
          <w:tcPr>
            <w:tcW w:w="2551" w:type="dxa"/>
            <w:vAlign w:val="center"/>
          </w:tcPr>
          <w:p w14:paraId="37D8AE9E" w14:textId="77777777" w:rsidR="00D22B5D" w:rsidRDefault="00D22B5D" w:rsidP="0015441E">
            <w:pPr>
              <w:pStyle w:val="Odstavecseseznamem"/>
              <w:jc w:val="center"/>
            </w:pPr>
            <w:r>
              <w:t>Komunikace až do vyřešení problému</w:t>
            </w:r>
          </w:p>
        </w:tc>
      </w:tr>
      <w:tr w:rsidR="00D22B5D" w:rsidRPr="001510B2" w14:paraId="2A11AFE1" w14:textId="77777777" w:rsidTr="0015441E">
        <w:tc>
          <w:tcPr>
            <w:tcW w:w="1402" w:type="dxa"/>
            <w:vAlign w:val="center"/>
          </w:tcPr>
          <w:p w14:paraId="077FD8E3" w14:textId="77777777" w:rsidR="00D22B5D" w:rsidRPr="001510B2" w:rsidRDefault="00D22B5D" w:rsidP="0015441E">
            <w:pPr>
              <w:pStyle w:val="Odstavecseseznamem"/>
              <w:jc w:val="center"/>
              <w:rPr>
                <w:b/>
                <w:sz w:val="16"/>
                <w:szCs w:val="16"/>
              </w:rPr>
            </w:pPr>
            <w:r w:rsidRPr="001510B2">
              <w:rPr>
                <w:b/>
                <w:sz w:val="16"/>
                <w:szCs w:val="16"/>
              </w:rPr>
              <w:t>A - kritický</w:t>
            </w:r>
          </w:p>
          <w:p w14:paraId="4EB031BD" w14:textId="77777777" w:rsidR="00D22B5D" w:rsidRPr="003C78AC" w:rsidRDefault="00D22B5D" w:rsidP="0015441E">
            <w:pPr>
              <w:pStyle w:val="Odstavecseseznamem"/>
              <w:jc w:val="center"/>
              <w:rPr>
                <w:sz w:val="16"/>
                <w:szCs w:val="16"/>
              </w:rPr>
            </w:pPr>
            <w:r>
              <w:rPr>
                <w:sz w:val="16"/>
                <w:szCs w:val="16"/>
              </w:rPr>
              <w:t>(Immediate)</w:t>
            </w:r>
          </w:p>
        </w:tc>
        <w:tc>
          <w:tcPr>
            <w:tcW w:w="4252" w:type="dxa"/>
            <w:vAlign w:val="center"/>
          </w:tcPr>
          <w:p w14:paraId="5870FF1E" w14:textId="77777777" w:rsidR="00D22B5D" w:rsidRPr="00095EDD" w:rsidRDefault="00D22B5D" w:rsidP="0015441E">
            <w:pPr>
              <w:pStyle w:val="Default"/>
              <w:jc w:val="center"/>
              <w:rPr>
                <w:sz w:val="16"/>
                <w:szCs w:val="16"/>
              </w:rPr>
            </w:pPr>
            <w:r w:rsidRPr="005D488A">
              <w:rPr>
                <w:sz w:val="16"/>
                <w:szCs w:val="16"/>
              </w:rPr>
              <w:t xml:space="preserve">Služba (či více Služeb) je nedostupná nebo ji nelze používat. Jsou zásadně ohroženy termíny a fungování kritických obchodních a výrobních procesů, což může mít za následek vážný dopad na výnosy společnosti Zákazníka. </w:t>
            </w:r>
            <w:r>
              <w:rPr>
                <w:sz w:val="16"/>
                <w:szCs w:val="16"/>
              </w:rPr>
              <w:t>Problém zasáhl několik uživatelů.</w:t>
            </w:r>
          </w:p>
          <w:p w14:paraId="01F80B7A" w14:textId="77777777" w:rsidR="00D22B5D" w:rsidRPr="00095EDD" w:rsidRDefault="00D22B5D" w:rsidP="0015441E">
            <w:pPr>
              <w:pStyle w:val="Odstavecseseznamem"/>
              <w:jc w:val="center"/>
              <w:rPr>
                <w:sz w:val="16"/>
                <w:szCs w:val="16"/>
              </w:rPr>
            </w:pPr>
          </w:p>
        </w:tc>
        <w:tc>
          <w:tcPr>
            <w:tcW w:w="1418" w:type="dxa"/>
            <w:vAlign w:val="center"/>
          </w:tcPr>
          <w:p w14:paraId="23DCF82D" w14:textId="77777777" w:rsidR="00D22B5D" w:rsidRPr="003C78AC" w:rsidRDefault="00D22B5D" w:rsidP="0015441E">
            <w:pPr>
              <w:pStyle w:val="Odstavecseseznamem"/>
              <w:jc w:val="center"/>
              <w:rPr>
                <w:sz w:val="16"/>
                <w:szCs w:val="16"/>
              </w:rPr>
            </w:pPr>
            <w:r>
              <w:rPr>
                <w:sz w:val="16"/>
                <w:szCs w:val="16"/>
              </w:rPr>
              <w:t>4 hodiny</w:t>
            </w:r>
          </w:p>
        </w:tc>
        <w:tc>
          <w:tcPr>
            <w:tcW w:w="2551" w:type="dxa"/>
            <w:vAlign w:val="center"/>
          </w:tcPr>
          <w:p w14:paraId="6F299A4F" w14:textId="77777777" w:rsidR="00D22B5D" w:rsidRPr="003C78AC" w:rsidRDefault="00D22B5D" w:rsidP="0015441E">
            <w:pPr>
              <w:pStyle w:val="Odstavecseseznamem"/>
              <w:jc w:val="center"/>
              <w:rPr>
                <w:sz w:val="16"/>
                <w:szCs w:val="16"/>
              </w:rPr>
            </w:pPr>
            <w:r>
              <w:rPr>
                <w:sz w:val="16"/>
                <w:szCs w:val="16"/>
              </w:rPr>
              <w:t>Obě strany si vyměňují aktuální informace každé 4 hodiny</w:t>
            </w:r>
          </w:p>
        </w:tc>
      </w:tr>
      <w:tr w:rsidR="00D22B5D" w:rsidRPr="001510B2" w14:paraId="6221E61F" w14:textId="77777777" w:rsidTr="0015441E">
        <w:tc>
          <w:tcPr>
            <w:tcW w:w="1402" w:type="dxa"/>
            <w:vAlign w:val="center"/>
          </w:tcPr>
          <w:p w14:paraId="039502DD" w14:textId="77777777" w:rsidR="00D22B5D" w:rsidRPr="001510B2" w:rsidRDefault="00D22B5D" w:rsidP="0015441E">
            <w:pPr>
              <w:pStyle w:val="Odstavecseseznamem"/>
              <w:jc w:val="center"/>
              <w:rPr>
                <w:b/>
                <w:sz w:val="16"/>
                <w:szCs w:val="16"/>
              </w:rPr>
            </w:pPr>
            <w:r w:rsidRPr="001510B2">
              <w:rPr>
                <w:b/>
                <w:sz w:val="16"/>
                <w:szCs w:val="16"/>
              </w:rPr>
              <w:t>B - urgentní</w:t>
            </w:r>
          </w:p>
          <w:p w14:paraId="069B8DA3" w14:textId="77777777" w:rsidR="00D22B5D" w:rsidRPr="003C78AC" w:rsidRDefault="00D22B5D" w:rsidP="0015441E">
            <w:pPr>
              <w:pStyle w:val="Odstavecseseznamem"/>
              <w:jc w:val="center"/>
              <w:rPr>
                <w:sz w:val="16"/>
                <w:szCs w:val="16"/>
              </w:rPr>
            </w:pPr>
            <w:r>
              <w:rPr>
                <w:sz w:val="16"/>
                <w:szCs w:val="16"/>
              </w:rPr>
              <w:t>(High)</w:t>
            </w:r>
          </w:p>
        </w:tc>
        <w:tc>
          <w:tcPr>
            <w:tcW w:w="4252" w:type="dxa"/>
            <w:vAlign w:val="center"/>
          </w:tcPr>
          <w:p w14:paraId="18956648" w14:textId="0C00A8CD" w:rsidR="00D22B5D" w:rsidRPr="003C78AC" w:rsidRDefault="00D22B5D" w:rsidP="0015441E">
            <w:pPr>
              <w:pStyle w:val="Default"/>
              <w:jc w:val="center"/>
              <w:rPr>
                <w:sz w:val="16"/>
                <w:szCs w:val="16"/>
              </w:rPr>
            </w:pPr>
            <w:r w:rsidRPr="005D488A">
              <w:rPr>
                <w:sz w:val="16"/>
                <w:szCs w:val="16"/>
                <w:lang w:val="pl-PL"/>
              </w:rPr>
              <w:t xml:space="preserve">Služba je dostupná, ale nefunguje správně. Situace má středně velký dopad na fungování obchodních a výrobních procesů a může být řešena v běžné pracovní době. </w:t>
            </w:r>
            <w:r>
              <w:rPr>
                <w:sz w:val="16"/>
                <w:szCs w:val="16"/>
              </w:rPr>
              <w:t>Problém ovlivňuje jednoho uživatele, Zákazníka nebo Službu.</w:t>
            </w:r>
          </w:p>
        </w:tc>
        <w:tc>
          <w:tcPr>
            <w:tcW w:w="1418" w:type="dxa"/>
            <w:vAlign w:val="center"/>
          </w:tcPr>
          <w:p w14:paraId="3681973F" w14:textId="77777777" w:rsidR="00D22B5D" w:rsidRPr="003C78AC" w:rsidRDefault="00D22B5D" w:rsidP="0015441E">
            <w:pPr>
              <w:pStyle w:val="Odstavecseseznamem"/>
              <w:jc w:val="center"/>
              <w:rPr>
                <w:sz w:val="16"/>
                <w:szCs w:val="16"/>
              </w:rPr>
            </w:pPr>
            <w:r>
              <w:rPr>
                <w:sz w:val="16"/>
                <w:szCs w:val="16"/>
              </w:rPr>
              <w:t>8 hodin</w:t>
            </w:r>
          </w:p>
        </w:tc>
        <w:tc>
          <w:tcPr>
            <w:tcW w:w="2551" w:type="dxa"/>
            <w:vAlign w:val="center"/>
          </w:tcPr>
          <w:p w14:paraId="2494237B" w14:textId="77777777" w:rsidR="00D22B5D" w:rsidRPr="003C78AC" w:rsidRDefault="00D22B5D" w:rsidP="0015441E">
            <w:pPr>
              <w:pStyle w:val="Odstavecseseznamem"/>
              <w:jc w:val="center"/>
              <w:rPr>
                <w:sz w:val="16"/>
                <w:szCs w:val="16"/>
              </w:rPr>
            </w:pPr>
            <w:r>
              <w:rPr>
                <w:sz w:val="16"/>
                <w:szCs w:val="16"/>
              </w:rPr>
              <w:t>Zákazník dostává aktuální informace každý pracovní den</w:t>
            </w:r>
          </w:p>
        </w:tc>
      </w:tr>
      <w:tr w:rsidR="00D22B5D" w:rsidRPr="001510B2" w14:paraId="37D28078" w14:textId="77777777" w:rsidTr="0015441E">
        <w:tc>
          <w:tcPr>
            <w:tcW w:w="1402" w:type="dxa"/>
            <w:vAlign w:val="center"/>
          </w:tcPr>
          <w:p w14:paraId="49861531" w14:textId="77777777" w:rsidR="00D22B5D" w:rsidRPr="001510B2" w:rsidRDefault="00D22B5D" w:rsidP="0015441E">
            <w:pPr>
              <w:pStyle w:val="Odstavecseseznamem"/>
              <w:jc w:val="center"/>
              <w:rPr>
                <w:b/>
                <w:sz w:val="16"/>
                <w:szCs w:val="16"/>
              </w:rPr>
            </w:pPr>
            <w:r w:rsidRPr="001510B2">
              <w:rPr>
                <w:b/>
                <w:sz w:val="16"/>
                <w:szCs w:val="16"/>
              </w:rPr>
              <w:t>C – důležitý</w:t>
            </w:r>
          </w:p>
          <w:p w14:paraId="37E7E227" w14:textId="77777777" w:rsidR="00D22B5D" w:rsidRPr="003C78AC" w:rsidRDefault="00D22B5D" w:rsidP="0015441E">
            <w:pPr>
              <w:pStyle w:val="Odstavecseseznamem"/>
              <w:jc w:val="center"/>
              <w:rPr>
                <w:sz w:val="16"/>
                <w:szCs w:val="16"/>
              </w:rPr>
            </w:pPr>
            <w:r>
              <w:rPr>
                <w:sz w:val="16"/>
                <w:szCs w:val="16"/>
              </w:rPr>
              <w:t>(Medium)</w:t>
            </w:r>
          </w:p>
        </w:tc>
        <w:tc>
          <w:tcPr>
            <w:tcW w:w="4252" w:type="dxa"/>
            <w:vAlign w:val="center"/>
          </w:tcPr>
          <w:p w14:paraId="55DBB47A" w14:textId="77777777" w:rsidR="00D22B5D" w:rsidRPr="005D488A" w:rsidRDefault="00D22B5D" w:rsidP="0015441E">
            <w:pPr>
              <w:pStyle w:val="Default"/>
              <w:jc w:val="center"/>
              <w:rPr>
                <w:sz w:val="22"/>
                <w:szCs w:val="18"/>
              </w:rPr>
            </w:pPr>
            <w:r w:rsidRPr="005D488A">
              <w:rPr>
                <w:sz w:val="16"/>
                <w:szCs w:val="18"/>
              </w:rPr>
              <w:t>Situace nemá zásadní vliv na okamžité fungování obchodních a výrobních procesů u Zákazníka. Obvykle se dotýká jednotlivého uživatele a existuje použitelné náhradní řešení problému.</w:t>
            </w:r>
          </w:p>
          <w:p w14:paraId="68A7A301" w14:textId="77777777" w:rsidR="00D22B5D" w:rsidRPr="003C78AC" w:rsidRDefault="00D22B5D" w:rsidP="0015441E">
            <w:pPr>
              <w:pStyle w:val="Odstavecseseznamem"/>
              <w:jc w:val="center"/>
              <w:rPr>
                <w:sz w:val="16"/>
                <w:szCs w:val="16"/>
              </w:rPr>
            </w:pPr>
          </w:p>
        </w:tc>
        <w:tc>
          <w:tcPr>
            <w:tcW w:w="1418" w:type="dxa"/>
            <w:vAlign w:val="center"/>
          </w:tcPr>
          <w:p w14:paraId="022552C8" w14:textId="77777777" w:rsidR="00D22B5D" w:rsidRPr="003C78AC" w:rsidRDefault="00D22B5D" w:rsidP="0015441E">
            <w:pPr>
              <w:pStyle w:val="Odstavecseseznamem"/>
              <w:jc w:val="center"/>
              <w:rPr>
                <w:sz w:val="16"/>
                <w:szCs w:val="16"/>
              </w:rPr>
            </w:pPr>
            <w:r>
              <w:rPr>
                <w:sz w:val="16"/>
                <w:szCs w:val="16"/>
              </w:rPr>
              <w:t>8 hodin</w:t>
            </w:r>
          </w:p>
        </w:tc>
        <w:tc>
          <w:tcPr>
            <w:tcW w:w="2551" w:type="dxa"/>
            <w:vAlign w:val="center"/>
          </w:tcPr>
          <w:p w14:paraId="6CE567F8" w14:textId="77777777" w:rsidR="00D22B5D" w:rsidRPr="003C78AC" w:rsidRDefault="00D22B5D" w:rsidP="0015441E">
            <w:pPr>
              <w:pStyle w:val="Odstavecseseznamem"/>
              <w:jc w:val="center"/>
              <w:rPr>
                <w:sz w:val="16"/>
                <w:szCs w:val="16"/>
              </w:rPr>
            </w:pPr>
            <w:r>
              <w:rPr>
                <w:sz w:val="16"/>
                <w:szCs w:val="16"/>
              </w:rPr>
              <w:t>Zákazník dostává aktuální informace nejpozději po třech pracovních dnech</w:t>
            </w:r>
          </w:p>
        </w:tc>
      </w:tr>
      <w:tr w:rsidR="00D22B5D" w:rsidRPr="001510B2" w14:paraId="5325876F" w14:textId="77777777" w:rsidTr="0015441E">
        <w:tc>
          <w:tcPr>
            <w:tcW w:w="1402" w:type="dxa"/>
            <w:vAlign w:val="center"/>
          </w:tcPr>
          <w:p w14:paraId="2197513D" w14:textId="77777777" w:rsidR="00D22B5D" w:rsidRPr="001510B2" w:rsidRDefault="00D22B5D" w:rsidP="0015441E">
            <w:pPr>
              <w:pStyle w:val="Odstavecseseznamem"/>
              <w:jc w:val="center"/>
              <w:rPr>
                <w:b/>
                <w:sz w:val="16"/>
                <w:szCs w:val="16"/>
              </w:rPr>
            </w:pPr>
            <w:r w:rsidRPr="001510B2">
              <w:rPr>
                <w:b/>
                <w:sz w:val="16"/>
                <w:szCs w:val="16"/>
              </w:rPr>
              <w:t>D - konzultace</w:t>
            </w:r>
          </w:p>
          <w:p w14:paraId="45145C3D" w14:textId="77777777" w:rsidR="00D22B5D" w:rsidRPr="003C78AC" w:rsidRDefault="00D22B5D" w:rsidP="0015441E">
            <w:pPr>
              <w:pStyle w:val="Odstavecseseznamem"/>
              <w:jc w:val="center"/>
              <w:rPr>
                <w:sz w:val="16"/>
                <w:szCs w:val="16"/>
              </w:rPr>
            </w:pPr>
            <w:r>
              <w:rPr>
                <w:sz w:val="16"/>
                <w:szCs w:val="16"/>
              </w:rPr>
              <w:t>(Low)</w:t>
            </w:r>
          </w:p>
        </w:tc>
        <w:tc>
          <w:tcPr>
            <w:tcW w:w="4252" w:type="dxa"/>
            <w:vAlign w:val="center"/>
          </w:tcPr>
          <w:p w14:paraId="39236A26" w14:textId="10587DB1" w:rsidR="00D22B5D" w:rsidRPr="005D488A" w:rsidRDefault="00D22B5D" w:rsidP="0015441E">
            <w:pPr>
              <w:pStyle w:val="Default"/>
              <w:jc w:val="center"/>
              <w:rPr>
                <w:sz w:val="22"/>
                <w:szCs w:val="18"/>
                <w:lang w:val="pl-PL"/>
              </w:rPr>
            </w:pPr>
            <w:r w:rsidRPr="005D488A">
              <w:rPr>
                <w:sz w:val="16"/>
                <w:szCs w:val="18"/>
                <w:lang w:val="pl-PL"/>
              </w:rPr>
              <w:t>Náměty a požadavky na zlepšení, dotazy na funkcionalitu, informace o budoucích verzích, atd.</w:t>
            </w:r>
          </w:p>
          <w:p w14:paraId="1EAC136A" w14:textId="77777777" w:rsidR="00D22B5D" w:rsidRPr="003C78AC" w:rsidRDefault="00D22B5D" w:rsidP="0015441E">
            <w:pPr>
              <w:pStyle w:val="Odstavecseseznamem"/>
              <w:jc w:val="center"/>
              <w:rPr>
                <w:sz w:val="16"/>
                <w:szCs w:val="16"/>
              </w:rPr>
            </w:pPr>
          </w:p>
        </w:tc>
        <w:tc>
          <w:tcPr>
            <w:tcW w:w="1418" w:type="dxa"/>
            <w:vAlign w:val="center"/>
          </w:tcPr>
          <w:p w14:paraId="4A719AA8" w14:textId="77777777" w:rsidR="00D22B5D" w:rsidRPr="003C78AC" w:rsidRDefault="00D22B5D" w:rsidP="0015441E">
            <w:pPr>
              <w:pStyle w:val="Odstavecseseznamem"/>
              <w:jc w:val="center"/>
              <w:rPr>
                <w:sz w:val="16"/>
                <w:szCs w:val="16"/>
              </w:rPr>
            </w:pPr>
            <w:r>
              <w:rPr>
                <w:sz w:val="16"/>
                <w:szCs w:val="16"/>
              </w:rPr>
              <w:t>není určeno</w:t>
            </w:r>
          </w:p>
        </w:tc>
        <w:tc>
          <w:tcPr>
            <w:tcW w:w="2551" w:type="dxa"/>
            <w:vAlign w:val="center"/>
          </w:tcPr>
          <w:p w14:paraId="0346EE02" w14:textId="77777777" w:rsidR="00D22B5D" w:rsidRPr="003C78AC" w:rsidRDefault="00D22B5D" w:rsidP="0015441E">
            <w:pPr>
              <w:pStyle w:val="Odstavecseseznamem"/>
              <w:jc w:val="center"/>
              <w:rPr>
                <w:sz w:val="16"/>
                <w:szCs w:val="16"/>
              </w:rPr>
            </w:pPr>
            <w:r>
              <w:rPr>
                <w:sz w:val="16"/>
                <w:szCs w:val="16"/>
              </w:rPr>
              <w:t>Zákazník dostane aktuální informace, pokud nastane změna nebo dle dohody</w:t>
            </w:r>
          </w:p>
        </w:tc>
      </w:tr>
    </w:tbl>
    <w:p w14:paraId="61C99CD1" w14:textId="77777777" w:rsidR="00D22B5D" w:rsidRDefault="00D22B5D" w:rsidP="00D22B5D">
      <w:pPr>
        <w:pStyle w:val="Odstavecseseznamem"/>
      </w:pPr>
    </w:p>
    <w:p w14:paraId="0E91F990" w14:textId="77777777" w:rsidR="00D22B5D" w:rsidRDefault="00D22B5D" w:rsidP="00D22B5D">
      <w:pPr>
        <w:pStyle w:val="Odstavecseseznamem"/>
        <w:numPr>
          <w:ilvl w:val="0"/>
          <w:numId w:val="3"/>
        </w:numPr>
        <w:spacing w:after="0" w:line="250" w:lineRule="atLeast"/>
        <w:rPr>
          <w:rFonts w:ascii="Verdana" w:hAnsi="Verdana"/>
          <w:color w:val="333333"/>
          <w:sz w:val="18"/>
          <w:szCs w:val="18"/>
        </w:rPr>
      </w:pPr>
      <w:r>
        <w:t xml:space="preserve">Společnost Artex se zavazuje zpracovávat osobní údaje Zákazníka v souladu s ustanoveními zákona č. </w:t>
      </w:r>
      <w:r w:rsidRPr="00F67A70">
        <w:t>101/2000 Sb.</w:t>
      </w:r>
      <w:r>
        <w:t>, o ochraně osobních údajů, přičemž Zákazník bere na vědomí, že osobní údaje budou zpřístupněny osobám poskytujícím podporu Služeb Zákazníkům a společnosti Microsoft a společnosti            ALSO Czech Republic, s.r.o.</w:t>
      </w:r>
    </w:p>
    <w:p w14:paraId="111FB18D" w14:textId="0F53297F" w:rsidR="00D22B5D" w:rsidRDefault="00D22B5D" w:rsidP="6889EEBC">
      <w:pPr>
        <w:pStyle w:val="Odstavecseseznamem"/>
        <w:numPr>
          <w:ilvl w:val="0"/>
          <w:numId w:val="3"/>
        </w:numPr>
        <w:spacing w:after="0" w:line="250" w:lineRule="atLeast"/>
      </w:pPr>
      <w:r>
        <w:t>Zákazník užíváním Služeb akceptuje Microsoft Cloud Agreement</w:t>
      </w:r>
      <w:r w:rsidR="32858F9B">
        <w:t xml:space="preserve"> určený pro Purchase Channel: CSP Partner</w:t>
      </w:r>
      <w:r>
        <w:t xml:space="preserve"> (aktuální znění této smlouvy je dostupné na adrese </w:t>
      </w:r>
      <w:r w:rsidR="14025A6D" w:rsidRPr="6889EEBC">
        <w:rPr>
          <w:rStyle w:val="Hypertextovodkaz"/>
        </w:rPr>
        <w:t>https://www.microsoft.com/licensing/docs/customeragreement</w:t>
      </w:r>
      <w:r>
        <w:t xml:space="preserve">). </w:t>
      </w:r>
    </w:p>
    <w:p w14:paraId="07EB3675" w14:textId="77777777" w:rsidR="00D22B5D" w:rsidRDefault="00D22B5D" w:rsidP="00D22B5D">
      <w:pPr>
        <w:pStyle w:val="Odstavecseseznamem"/>
        <w:numPr>
          <w:ilvl w:val="0"/>
          <w:numId w:val="3"/>
        </w:numPr>
        <w:spacing w:after="0" w:line="250" w:lineRule="atLeast"/>
      </w:pPr>
      <w:r w:rsidRPr="00656C3F">
        <w:t xml:space="preserve">Artex ani Zákazník není oprávněn při poskytování Služeb provádět zpětnou analýzu </w:t>
      </w:r>
      <w:r>
        <w:t>p</w:t>
      </w:r>
      <w:r w:rsidRPr="00656C3F">
        <w:t xml:space="preserve">roduktů, dekompilovat je, rozkládat ani překonávat jejich technická omezení. </w:t>
      </w:r>
    </w:p>
    <w:p w14:paraId="6594DDE0" w14:textId="77777777" w:rsidR="00D22B5D" w:rsidRDefault="00D22B5D" w:rsidP="00D22B5D">
      <w:pPr>
        <w:pStyle w:val="Odstavecseseznamem"/>
        <w:numPr>
          <w:ilvl w:val="0"/>
          <w:numId w:val="3"/>
        </w:numPr>
        <w:spacing w:after="0" w:line="250" w:lineRule="atLeast"/>
      </w:pPr>
      <w:r>
        <w:t xml:space="preserve">Zákazník ani Artex není oprávněn užívat Služby způsobem, </w:t>
      </w:r>
      <w:r w:rsidRPr="00E56701">
        <w:t>který je zakázán zákonem, předpisem, vládním nařízením či vyhláškou</w:t>
      </w:r>
      <w:r>
        <w:t>.</w:t>
      </w:r>
    </w:p>
    <w:p w14:paraId="1B10BD22" w14:textId="77777777" w:rsidR="00D22B5D" w:rsidRDefault="00D22B5D" w:rsidP="00D22B5D">
      <w:pPr>
        <w:pStyle w:val="Odstavecseseznamem"/>
        <w:numPr>
          <w:ilvl w:val="0"/>
          <w:numId w:val="3"/>
        </w:numPr>
        <w:spacing w:after="0" w:line="250" w:lineRule="atLeast"/>
      </w:pPr>
      <w:r>
        <w:t>Artex a Zákazník bere na vědomí, že společnost Microsoft smí kdykoli změnit své produkty nebo uvést jejich nové verze. Taková změna může obnášet odstranění některých dříve dostupných funkcí.</w:t>
      </w:r>
    </w:p>
    <w:p w14:paraId="6C348443" w14:textId="77777777" w:rsidR="00D22B5D" w:rsidRDefault="00D22B5D" w:rsidP="00D22B5D">
      <w:pPr>
        <w:pStyle w:val="Odstavecseseznamem"/>
        <w:numPr>
          <w:ilvl w:val="0"/>
          <w:numId w:val="3"/>
        </w:numPr>
        <w:spacing w:after="0" w:line="250" w:lineRule="atLeast"/>
      </w:pPr>
      <w:r>
        <w:t>Zákazník</w:t>
      </w:r>
      <w:r w:rsidRPr="00656C3F">
        <w:t xml:space="preserve"> </w:t>
      </w:r>
      <w:r>
        <w:t>souhlasí s</w:t>
      </w:r>
      <w:r w:rsidRPr="00656C3F">
        <w:t> pozastavením poskytování Služeb v případě, že toto pozastavení je vyžadováno zákonnými požadavky, potřebami společnosti Microsoft nebo z důvodu porušení povinností.</w:t>
      </w:r>
    </w:p>
    <w:p w14:paraId="35C2E00C" w14:textId="77777777" w:rsidR="00D22B5D" w:rsidRDefault="00D22B5D" w:rsidP="00D22B5D">
      <w:pPr>
        <w:pStyle w:val="Odstavecseseznamem"/>
        <w:numPr>
          <w:ilvl w:val="0"/>
          <w:numId w:val="3"/>
        </w:numPr>
        <w:spacing w:after="0" w:line="250" w:lineRule="atLeast"/>
      </w:pPr>
      <w:r>
        <w:t>Zákazník je informován o tom, že společnost Microsoft je oprávněna ukončit poskytování Služeb, pokud se tak rozhodne. V takovém případě zákazníkovi nevzniká právo na náhradu jakékoli škody.</w:t>
      </w:r>
    </w:p>
    <w:p w14:paraId="101A00CF" w14:textId="77777777" w:rsidR="00D22B5D" w:rsidRDefault="00D22B5D" w:rsidP="00D22B5D">
      <w:pPr>
        <w:spacing w:after="0" w:line="240" w:lineRule="auto"/>
      </w:pPr>
      <w:r>
        <w:br w:type="page"/>
      </w:r>
    </w:p>
    <w:p w14:paraId="509DAD83" w14:textId="77777777" w:rsidR="00D22B5D" w:rsidRDefault="00D22B5D" w:rsidP="00D22B5D">
      <w:pPr>
        <w:spacing w:after="0" w:line="240" w:lineRule="auto"/>
        <w:rPr>
          <w:rFonts w:eastAsiaTheme="minorHAnsi"/>
          <w:sz w:val="18"/>
        </w:rPr>
      </w:pPr>
      <w:r w:rsidRPr="00131C41">
        <w:lastRenderedPageBreak/>
        <w:t>Příloha č.</w:t>
      </w:r>
      <w:r>
        <w:t>2</w:t>
      </w:r>
      <w:r w:rsidRPr="00131C41">
        <w:t xml:space="preserve"> </w:t>
      </w:r>
      <w:r>
        <w:t>Smlouvy</w:t>
      </w:r>
      <w:r w:rsidRPr="00131C41">
        <w:t xml:space="preserve"> o podmínkách spolupráce při poskytování </w:t>
      </w:r>
      <w:r>
        <w:t xml:space="preserve">služeb </w:t>
      </w:r>
      <w:r w:rsidRPr="00131C41">
        <w:t>společnosti Microsoft</w:t>
      </w:r>
    </w:p>
    <w:p w14:paraId="4C1649CA" w14:textId="77777777" w:rsidR="00D22B5D" w:rsidRDefault="00D22B5D" w:rsidP="00D22B5D">
      <w:pPr>
        <w:pStyle w:val="BlueRule"/>
        <w:rPr>
          <w:b/>
          <w:sz w:val="22"/>
          <w:lang w:val="cs-CZ"/>
        </w:rPr>
      </w:pPr>
    </w:p>
    <w:p w14:paraId="08B550C5" w14:textId="77777777" w:rsidR="00D22B5D" w:rsidRDefault="00D22B5D" w:rsidP="00D22B5D">
      <w:pPr>
        <w:pStyle w:val="BlueRule"/>
        <w:rPr>
          <w:lang w:val="cs-CZ"/>
        </w:rPr>
      </w:pPr>
    </w:p>
    <w:p w14:paraId="2EE854F5" w14:textId="7ADDC2F2" w:rsidR="00D22B5D" w:rsidRDefault="00D22B5D" w:rsidP="00D00507">
      <w:pPr>
        <w:pStyle w:val="BodyText1"/>
        <w:numPr>
          <w:ilvl w:val="0"/>
          <w:numId w:val="11"/>
        </w:numPr>
      </w:pPr>
      <w:r>
        <w:t xml:space="preserve">Cena služeb při využití Měsíčního předplatného za uživatele: </w:t>
      </w:r>
    </w:p>
    <w:tbl>
      <w:tblPr>
        <w:tblW w:w="4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2411"/>
      </w:tblGrid>
      <w:tr w:rsidR="00D22B5D" w:rsidRPr="00885B30" w14:paraId="2E21215A" w14:textId="77777777" w:rsidTr="0015441E">
        <w:trPr>
          <w:trHeight w:val="292"/>
          <w:jc w:val="center"/>
        </w:trPr>
        <w:tc>
          <w:tcPr>
            <w:tcW w:w="6799" w:type="dxa"/>
            <w:shd w:val="clear" w:color="auto" w:fill="auto"/>
            <w:vAlign w:val="center"/>
          </w:tcPr>
          <w:p w14:paraId="2210081B" w14:textId="77777777" w:rsidR="00D22B5D" w:rsidRPr="00885B30" w:rsidRDefault="00D22B5D" w:rsidP="0015441E">
            <w:pPr>
              <w:pStyle w:val="tabulka"/>
              <w:ind w:right="-210"/>
              <w:rPr>
                <w:b/>
                <w:color w:val="00B0F0"/>
                <w:lang w:eastAsia="cs-CZ"/>
              </w:rPr>
            </w:pPr>
            <w:r w:rsidRPr="00CE33B2">
              <w:rPr>
                <w:b/>
                <w:lang w:eastAsia="cs-CZ"/>
              </w:rPr>
              <w:t>Licence</w:t>
            </w:r>
          </w:p>
        </w:tc>
        <w:tc>
          <w:tcPr>
            <w:tcW w:w="2411" w:type="dxa"/>
            <w:shd w:val="clear" w:color="auto" w:fill="auto"/>
            <w:vAlign w:val="center"/>
          </w:tcPr>
          <w:p w14:paraId="5C13CA20" w14:textId="77777777" w:rsidR="00D22B5D" w:rsidRPr="00CE33B2" w:rsidRDefault="00D22B5D" w:rsidP="0015441E">
            <w:pPr>
              <w:pStyle w:val="tabulka"/>
              <w:jc w:val="center"/>
              <w:rPr>
                <w:b/>
                <w:lang w:eastAsia="cs-CZ"/>
              </w:rPr>
            </w:pPr>
            <w:r w:rsidRPr="00CE33B2">
              <w:rPr>
                <w:b/>
                <w:lang w:eastAsia="cs-CZ"/>
              </w:rPr>
              <w:t>Měsíční předplatné</w:t>
            </w:r>
          </w:p>
          <w:p w14:paraId="7E3E110D" w14:textId="77777777" w:rsidR="00D22B5D" w:rsidRPr="00885B30" w:rsidRDefault="00D22B5D" w:rsidP="0015441E">
            <w:pPr>
              <w:pStyle w:val="tabulka"/>
              <w:jc w:val="center"/>
              <w:rPr>
                <w:b/>
                <w:color w:val="00B0F0"/>
                <w:lang w:eastAsia="cs-CZ"/>
              </w:rPr>
            </w:pPr>
            <w:r w:rsidRPr="00CE33B2">
              <w:rPr>
                <w:b/>
                <w:lang w:eastAsia="cs-CZ"/>
              </w:rPr>
              <w:t>cena / měsíčně</w:t>
            </w:r>
          </w:p>
        </w:tc>
      </w:tr>
      <w:tr w:rsidR="00D22B5D" w:rsidRPr="00112F2D" w14:paraId="2551CADD" w14:textId="77777777" w:rsidTr="0015441E">
        <w:trPr>
          <w:trHeight w:val="292"/>
          <w:jc w:val="center"/>
        </w:trPr>
        <w:tc>
          <w:tcPr>
            <w:tcW w:w="6799" w:type="dxa"/>
            <w:vAlign w:val="center"/>
          </w:tcPr>
          <w:p w14:paraId="48093676" w14:textId="77777777" w:rsidR="00D22B5D" w:rsidRPr="00AF6CF3" w:rsidRDefault="00D22B5D" w:rsidP="0015441E">
            <w:pPr>
              <w:pStyle w:val="tabulka"/>
              <w:rPr>
                <w:lang w:eastAsia="cs-CZ"/>
              </w:rPr>
            </w:pPr>
            <w:r w:rsidRPr="00AF6CF3">
              <w:rPr>
                <w:lang w:eastAsia="cs-CZ"/>
              </w:rPr>
              <w:t>Microsoft 365 Business Basic</w:t>
            </w:r>
          </w:p>
        </w:tc>
        <w:tc>
          <w:tcPr>
            <w:tcW w:w="2411" w:type="dxa"/>
            <w:vAlign w:val="center"/>
          </w:tcPr>
          <w:p w14:paraId="247B329F" w14:textId="77777777" w:rsidR="00D22B5D" w:rsidRPr="00AF6CF3" w:rsidRDefault="00D22B5D" w:rsidP="0015441E">
            <w:pPr>
              <w:pStyle w:val="tabulka"/>
              <w:tabs>
                <w:tab w:val="left" w:pos="270"/>
                <w:tab w:val="right" w:pos="1939"/>
              </w:tabs>
              <w:jc w:val="center"/>
              <w:rPr>
                <w:lang w:eastAsia="cs-CZ"/>
              </w:rPr>
            </w:pPr>
            <w:r w:rsidRPr="00AF6CF3">
              <w:rPr>
                <w:lang w:eastAsia="cs-CZ"/>
              </w:rPr>
              <w:t>6,72 EUR</w:t>
            </w:r>
          </w:p>
        </w:tc>
      </w:tr>
      <w:tr w:rsidR="00D22B5D" w:rsidRPr="00112F2D" w14:paraId="3C777F23" w14:textId="77777777" w:rsidTr="0015441E">
        <w:trPr>
          <w:trHeight w:val="292"/>
          <w:jc w:val="center"/>
        </w:trPr>
        <w:tc>
          <w:tcPr>
            <w:tcW w:w="6799" w:type="dxa"/>
            <w:vAlign w:val="center"/>
          </w:tcPr>
          <w:p w14:paraId="4DE0569A" w14:textId="77777777" w:rsidR="00D22B5D" w:rsidRPr="00AF6CF3" w:rsidRDefault="00D22B5D" w:rsidP="0015441E">
            <w:pPr>
              <w:pStyle w:val="tabulka"/>
              <w:rPr>
                <w:lang w:eastAsia="cs-CZ"/>
              </w:rPr>
            </w:pPr>
            <w:r w:rsidRPr="00AF6CF3">
              <w:rPr>
                <w:lang w:eastAsia="cs-CZ"/>
              </w:rPr>
              <w:t>Microsoft 365 Business Standard</w:t>
            </w:r>
          </w:p>
        </w:tc>
        <w:tc>
          <w:tcPr>
            <w:tcW w:w="2411" w:type="dxa"/>
            <w:vAlign w:val="center"/>
          </w:tcPr>
          <w:p w14:paraId="32673560" w14:textId="35633F2D" w:rsidR="00D22B5D" w:rsidRPr="00AF6CF3" w:rsidRDefault="00D22B5D" w:rsidP="0015441E">
            <w:pPr>
              <w:pStyle w:val="tabulka"/>
              <w:tabs>
                <w:tab w:val="left" w:pos="270"/>
                <w:tab w:val="right" w:pos="1939"/>
              </w:tabs>
              <w:jc w:val="center"/>
              <w:rPr>
                <w:lang w:eastAsia="cs-CZ"/>
              </w:rPr>
            </w:pPr>
            <w:r w:rsidRPr="00AF6CF3">
              <w:rPr>
                <w:lang w:eastAsia="cs-CZ"/>
              </w:rPr>
              <w:t>14,04 EUR</w:t>
            </w:r>
          </w:p>
        </w:tc>
      </w:tr>
      <w:tr w:rsidR="00D22B5D" w:rsidRPr="00112F2D" w14:paraId="4F389C07" w14:textId="77777777" w:rsidTr="0015441E">
        <w:trPr>
          <w:trHeight w:val="292"/>
          <w:jc w:val="center"/>
        </w:trPr>
        <w:tc>
          <w:tcPr>
            <w:tcW w:w="6799" w:type="dxa"/>
            <w:vAlign w:val="center"/>
          </w:tcPr>
          <w:p w14:paraId="4F5544B2" w14:textId="77777777" w:rsidR="00D22B5D" w:rsidRPr="00AF6CF3" w:rsidRDefault="00D22B5D" w:rsidP="0015441E">
            <w:pPr>
              <w:pStyle w:val="tabulka"/>
              <w:rPr>
                <w:lang w:eastAsia="cs-CZ"/>
              </w:rPr>
            </w:pPr>
            <w:r w:rsidRPr="00AF6CF3">
              <w:rPr>
                <w:lang w:eastAsia="cs-CZ"/>
              </w:rPr>
              <w:t>Microsoft 365 Business Premium</w:t>
            </w:r>
          </w:p>
        </w:tc>
        <w:tc>
          <w:tcPr>
            <w:tcW w:w="2411" w:type="dxa"/>
            <w:vAlign w:val="center"/>
          </w:tcPr>
          <w:p w14:paraId="1539387C" w14:textId="77777777" w:rsidR="00D22B5D" w:rsidRPr="00AF6CF3" w:rsidRDefault="00D22B5D" w:rsidP="0015441E">
            <w:pPr>
              <w:pStyle w:val="tabulka"/>
              <w:tabs>
                <w:tab w:val="left" w:pos="270"/>
                <w:tab w:val="right" w:pos="1939"/>
              </w:tabs>
              <w:jc w:val="center"/>
              <w:rPr>
                <w:lang w:eastAsia="cs-CZ"/>
              </w:rPr>
            </w:pPr>
            <w:r w:rsidRPr="00AF6CF3">
              <w:rPr>
                <w:lang w:eastAsia="cs-CZ"/>
              </w:rPr>
              <w:t>24,72 EUR</w:t>
            </w:r>
          </w:p>
        </w:tc>
      </w:tr>
      <w:tr w:rsidR="00D22B5D" w:rsidRPr="00112F2D" w14:paraId="7040420C" w14:textId="77777777" w:rsidTr="0015441E">
        <w:trPr>
          <w:trHeight w:val="292"/>
          <w:jc w:val="center"/>
        </w:trPr>
        <w:tc>
          <w:tcPr>
            <w:tcW w:w="6799" w:type="dxa"/>
            <w:vAlign w:val="center"/>
          </w:tcPr>
          <w:p w14:paraId="49C68E1C" w14:textId="77777777" w:rsidR="00D22B5D" w:rsidRPr="00AF6CF3" w:rsidDel="009218B8" w:rsidRDefault="00D22B5D" w:rsidP="0015441E">
            <w:pPr>
              <w:pStyle w:val="tabulka"/>
              <w:rPr>
                <w:lang w:eastAsia="cs-CZ"/>
              </w:rPr>
            </w:pPr>
            <w:r w:rsidRPr="00AF6CF3">
              <w:rPr>
                <w:lang w:eastAsia="cs-CZ"/>
              </w:rPr>
              <w:t>Microsoft 365 Apps for Business</w:t>
            </w:r>
          </w:p>
        </w:tc>
        <w:tc>
          <w:tcPr>
            <w:tcW w:w="2411" w:type="dxa"/>
            <w:vAlign w:val="center"/>
          </w:tcPr>
          <w:p w14:paraId="6146B2A5" w14:textId="77777777" w:rsidR="00D22B5D" w:rsidRPr="00AF6CF3" w:rsidRDefault="00D22B5D" w:rsidP="0015441E">
            <w:pPr>
              <w:pStyle w:val="tabulka"/>
              <w:tabs>
                <w:tab w:val="left" w:pos="270"/>
                <w:tab w:val="right" w:pos="1939"/>
              </w:tabs>
              <w:jc w:val="center"/>
              <w:rPr>
                <w:lang w:eastAsia="cs-CZ"/>
              </w:rPr>
            </w:pPr>
            <w:r w:rsidRPr="00AF6CF3">
              <w:rPr>
                <w:lang w:eastAsia="cs-CZ"/>
              </w:rPr>
              <w:t>11,76 EUR</w:t>
            </w:r>
          </w:p>
        </w:tc>
      </w:tr>
      <w:tr w:rsidR="00D22B5D" w:rsidRPr="00112F2D" w14:paraId="3F8B6C03" w14:textId="77777777" w:rsidTr="0015441E">
        <w:trPr>
          <w:trHeight w:val="292"/>
          <w:jc w:val="center"/>
        </w:trPr>
        <w:tc>
          <w:tcPr>
            <w:tcW w:w="6799" w:type="dxa"/>
            <w:vAlign w:val="center"/>
          </w:tcPr>
          <w:p w14:paraId="6C32CBF4" w14:textId="77777777" w:rsidR="00D22B5D" w:rsidRPr="00AF6CF3" w:rsidRDefault="00D22B5D" w:rsidP="0015441E">
            <w:pPr>
              <w:pStyle w:val="tabulka"/>
              <w:rPr>
                <w:b/>
                <w:lang w:eastAsia="cs-CZ"/>
              </w:rPr>
            </w:pPr>
            <w:r w:rsidRPr="00AF6CF3">
              <w:rPr>
                <w:lang w:eastAsia="cs-CZ"/>
              </w:rPr>
              <w:t>Office 365 E1</w:t>
            </w:r>
          </w:p>
        </w:tc>
        <w:tc>
          <w:tcPr>
            <w:tcW w:w="2411" w:type="dxa"/>
            <w:vAlign w:val="center"/>
          </w:tcPr>
          <w:p w14:paraId="73C74ABF" w14:textId="62E10178" w:rsidR="00D22B5D" w:rsidRPr="00AF6CF3" w:rsidRDefault="00D22B5D" w:rsidP="0015441E">
            <w:pPr>
              <w:pStyle w:val="tabulka"/>
              <w:tabs>
                <w:tab w:val="left" w:pos="270"/>
                <w:tab w:val="right" w:pos="1939"/>
              </w:tabs>
              <w:jc w:val="center"/>
              <w:rPr>
                <w:lang w:eastAsia="cs-CZ"/>
              </w:rPr>
            </w:pPr>
            <w:r w:rsidRPr="00AF6CF3">
              <w:rPr>
                <w:lang w:eastAsia="cs-CZ"/>
              </w:rPr>
              <w:t>11,</w:t>
            </w:r>
            <w:r w:rsidR="00F5001C" w:rsidRPr="00AF6CF3">
              <w:rPr>
                <w:lang w:eastAsia="cs-CZ"/>
              </w:rPr>
              <w:t>28</w:t>
            </w:r>
            <w:r w:rsidRPr="00AF6CF3">
              <w:rPr>
                <w:lang w:eastAsia="cs-CZ"/>
              </w:rPr>
              <w:t xml:space="preserve"> EUR</w:t>
            </w:r>
          </w:p>
        </w:tc>
      </w:tr>
      <w:tr w:rsidR="00D22B5D" w:rsidRPr="00112F2D" w14:paraId="2D05EB0B" w14:textId="77777777" w:rsidTr="0015441E">
        <w:trPr>
          <w:trHeight w:val="292"/>
          <w:jc w:val="center"/>
        </w:trPr>
        <w:tc>
          <w:tcPr>
            <w:tcW w:w="6799" w:type="dxa"/>
            <w:vAlign w:val="center"/>
          </w:tcPr>
          <w:p w14:paraId="62BB74D9" w14:textId="77777777" w:rsidR="00D22B5D" w:rsidRPr="00AF6CF3" w:rsidRDefault="00D22B5D" w:rsidP="0015441E">
            <w:pPr>
              <w:pStyle w:val="tabulka"/>
              <w:rPr>
                <w:lang w:eastAsia="cs-CZ"/>
              </w:rPr>
            </w:pPr>
            <w:r w:rsidRPr="00AF6CF3">
              <w:rPr>
                <w:lang w:eastAsia="cs-CZ"/>
              </w:rPr>
              <w:t>Office 365 E3</w:t>
            </w:r>
          </w:p>
        </w:tc>
        <w:tc>
          <w:tcPr>
            <w:tcW w:w="2411" w:type="dxa"/>
            <w:vAlign w:val="center"/>
          </w:tcPr>
          <w:p w14:paraId="4C7E86CB" w14:textId="77777777" w:rsidR="00D22B5D" w:rsidRPr="00AF6CF3" w:rsidRDefault="00D22B5D" w:rsidP="0015441E">
            <w:pPr>
              <w:pStyle w:val="tabulka"/>
              <w:tabs>
                <w:tab w:val="left" w:pos="270"/>
                <w:tab w:val="right" w:pos="1939"/>
              </w:tabs>
              <w:jc w:val="center"/>
              <w:rPr>
                <w:lang w:eastAsia="cs-CZ"/>
              </w:rPr>
            </w:pPr>
            <w:r w:rsidRPr="00AF6CF3">
              <w:rPr>
                <w:lang w:eastAsia="cs-CZ"/>
              </w:rPr>
              <w:t>30,12 EUR</w:t>
            </w:r>
          </w:p>
        </w:tc>
      </w:tr>
      <w:tr w:rsidR="00D22B5D" w:rsidRPr="00112F2D" w14:paraId="323E766A" w14:textId="77777777" w:rsidTr="0015441E">
        <w:trPr>
          <w:trHeight w:val="292"/>
          <w:jc w:val="center"/>
        </w:trPr>
        <w:tc>
          <w:tcPr>
            <w:tcW w:w="6799" w:type="dxa"/>
            <w:vAlign w:val="center"/>
          </w:tcPr>
          <w:p w14:paraId="5716E1E8" w14:textId="77777777" w:rsidR="00D22B5D" w:rsidRPr="00AF6CF3" w:rsidDel="009218B8" w:rsidRDefault="00D22B5D" w:rsidP="0015441E">
            <w:pPr>
              <w:pStyle w:val="tabulka"/>
              <w:rPr>
                <w:lang w:eastAsia="cs-CZ"/>
              </w:rPr>
            </w:pPr>
            <w:r w:rsidRPr="00AF6CF3">
              <w:rPr>
                <w:lang w:eastAsia="cs-CZ"/>
              </w:rPr>
              <w:t>Microsoft 365 Apps for Enterprise</w:t>
            </w:r>
          </w:p>
        </w:tc>
        <w:tc>
          <w:tcPr>
            <w:tcW w:w="2411" w:type="dxa"/>
            <w:vAlign w:val="center"/>
          </w:tcPr>
          <w:p w14:paraId="23E5641D" w14:textId="77777777" w:rsidR="00D22B5D" w:rsidRPr="00AF6CF3" w:rsidRDefault="00D22B5D" w:rsidP="0015441E">
            <w:pPr>
              <w:pStyle w:val="tabulka"/>
              <w:tabs>
                <w:tab w:val="left" w:pos="270"/>
                <w:tab w:val="right" w:pos="1939"/>
              </w:tabs>
              <w:jc w:val="center"/>
              <w:rPr>
                <w:lang w:eastAsia="cs-CZ"/>
              </w:rPr>
            </w:pPr>
            <w:r w:rsidRPr="00AF6CF3">
              <w:rPr>
                <w:lang w:eastAsia="cs-CZ"/>
              </w:rPr>
              <w:t>17,16 EUR</w:t>
            </w:r>
          </w:p>
        </w:tc>
      </w:tr>
      <w:tr w:rsidR="00D22B5D" w:rsidRPr="00112F2D" w14:paraId="2D02204A" w14:textId="77777777" w:rsidTr="0015441E">
        <w:trPr>
          <w:trHeight w:val="292"/>
          <w:jc w:val="center"/>
        </w:trPr>
        <w:tc>
          <w:tcPr>
            <w:tcW w:w="6799" w:type="dxa"/>
            <w:vAlign w:val="center"/>
          </w:tcPr>
          <w:p w14:paraId="21519E18" w14:textId="77777777" w:rsidR="00D22B5D" w:rsidRPr="00AF6CF3" w:rsidDel="00492275" w:rsidRDefault="00D22B5D" w:rsidP="0015441E">
            <w:pPr>
              <w:pStyle w:val="tabulka"/>
              <w:rPr>
                <w:lang w:eastAsia="cs-CZ"/>
              </w:rPr>
            </w:pPr>
            <w:r w:rsidRPr="00AF6CF3">
              <w:rPr>
                <w:lang w:eastAsia="cs-CZ"/>
              </w:rPr>
              <w:t>Microsoft 365 E3</w:t>
            </w:r>
          </w:p>
        </w:tc>
        <w:tc>
          <w:tcPr>
            <w:tcW w:w="2411" w:type="dxa"/>
            <w:vAlign w:val="center"/>
          </w:tcPr>
          <w:p w14:paraId="532AD389" w14:textId="77777777" w:rsidR="00D22B5D" w:rsidRPr="00AF6CF3" w:rsidRDefault="00D22B5D" w:rsidP="0015441E">
            <w:pPr>
              <w:pStyle w:val="tabulka"/>
              <w:tabs>
                <w:tab w:val="left" w:pos="270"/>
                <w:tab w:val="right" w:pos="1939"/>
              </w:tabs>
              <w:jc w:val="center"/>
              <w:rPr>
                <w:lang w:eastAsia="cs-CZ"/>
              </w:rPr>
            </w:pPr>
            <w:r w:rsidRPr="00AF6CF3">
              <w:rPr>
                <w:lang w:eastAsia="cs-CZ"/>
              </w:rPr>
              <w:t>45,24 EUR</w:t>
            </w:r>
          </w:p>
        </w:tc>
      </w:tr>
      <w:tr w:rsidR="00D22B5D" w:rsidRPr="00112F2D" w14:paraId="48B846B9" w14:textId="77777777" w:rsidTr="0015441E">
        <w:trPr>
          <w:trHeight w:val="292"/>
          <w:jc w:val="center"/>
        </w:trPr>
        <w:tc>
          <w:tcPr>
            <w:tcW w:w="6799" w:type="dxa"/>
            <w:vAlign w:val="center"/>
          </w:tcPr>
          <w:p w14:paraId="459D717A" w14:textId="77777777" w:rsidR="00D22B5D" w:rsidRPr="00AF6CF3" w:rsidDel="00492275" w:rsidRDefault="00D22B5D" w:rsidP="0015441E">
            <w:pPr>
              <w:pStyle w:val="tabulka"/>
              <w:rPr>
                <w:lang w:eastAsia="cs-CZ"/>
              </w:rPr>
            </w:pPr>
            <w:r w:rsidRPr="00AF6CF3">
              <w:rPr>
                <w:lang w:eastAsia="cs-CZ"/>
              </w:rPr>
              <w:t>Microsoft 365 E5</w:t>
            </w:r>
          </w:p>
        </w:tc>
        <w:tc>
          <w:tcPr>
            <w:tcW w:w="2411" w:type="dxa"/>
            <w:vAlign w:val="center"/>
          </w:tcPr>
          <w:p w14:paraId="441730CF" w14:textId="77777777" w:rsidR="00D22B5D" w:rsidRPr="00AF6CF3" w:rsidRDefault="00D22B5D" w:rsidP="0015441E">
            <w:pPr>
              <w:pStyle w:val="tabulka"/>
              <w:tabs>
                <w:tab w:val="left" w:pos="270"/>
                <w:tab w:val="right" w:pos="1939"/>
              </w:tabs>
              <w:jc w:val="center"/>
              <w:rPr>
                <w:lang w:eastAsia="cs-CZ"/>
              </w:rPr>
            </w:pPr>
            <w:r w:rsidRPr="00AF6CF3">
              <w:rPr>
                <w:lang w:eastAsia="cs-CZ"/>
              </w:rPr>
              <w:t>71,64 EUR</w:t>
            </w:r>
          </w:p>
        </w:tc>
      </w:tr>
      <w:tr w:rsidR="00D22B5D" w:rsidRPr="00112F2D" w14:paraId="6EADD049" w14:textId="77777777" w:rsidTr="0015441E">
        <w:trPr>
          <w:trHeight w:val="292"/>
          <w:jc w:val="center"/>
        </w:trPr>
        <w:tc>
          <w:tcPr>
            <w:tcW w:w="6799" w:type="dxa"/>
            <w:vAlign w:val="center"/>
          </w:tcPr>
          <w:p w14:paraId="607DF2A8" w14:textId="77777777" w:rsidR="00D22B5D" w:rsidRPr="00AF6CF3" w:rsidRDefault="00D22B5D" w:rsidP="0015441E">
            <w:pPr>
              <w:pStyle w:val="tabulka"/>
              <w:rPr>
                <w:lang w:eastAsia="cs-CZ"/>
              </w:rPr>
            </w:pPr>
            <w:r w:rsidRPr="00AF6CF3">
              <w:rPr>
                <w:lang w:eastAsia="cs-CZ"/>
              </w:rPr>
              <w:t>Microsoft 365 F1</w:t>
            </w:r>
          </w:p>
        </w:tc>
        <w:tc>
          <w:tcPr>
            <w:tcW w:w="2411" w:type="dxa"/>
            <w:vAlign w:val="center"/>
          </w:tcPr>
          <w:p w14:paraId="5AD313DC" w14:textId="77777777" w:rsidR="00D22B5D" w:rsidRPr="00AF6CF3" w:rsidRDefault="00D22B5D" w:rsidP="0015441E">
            <w:pPr>
              <w:pStyle w:val="tabulka"/>
              <w:tabs>
                <w:tab w:val="left" w:pos="270"/>
                <w:tab w:val="right" w:pos="1939"/>
              </w:tabs>
              <w:jc w:val="center"/>
              <w:rPr>
                <w:lang w:eastAsia="cs-CZ"/>
              </w:rPr>
            </w:pPr>
            <w:r w:rsidRPr="00AF6CF3">
              <w:rPr>
                <w:lang w:eastAsia="cs-CZ"/>
              </w:rPr>
              <w:t>2,52 EUR</w:t>
            </w:r>
          </w:p>
        </w:tc>
      </w:tr>
      <w:tr w:rsidR="00D22B5D" w:rsidRPr="00112F2D" w14:paraId="303D8F14" w14:textId="77777777" w:rsidTr="0015441E">
        <w:trPr>
          <w:trHeight w:val="292"/>
          <w:jc w:val="center"/>
        </w:trPr>
        <w:tc>
          <w:tcPr>
            <w:tcW w:w="6799" w:type="dxa"/>
            <w:vAlign w:val="center"/>
          </w:tcPr>
          <w:p w14:paraId="1D1C79E8" w14:textId="77777777" w:rsidR="00D22B5D" w:rsidRPr="00AF6CF3" w:rsidDel="00492275" w:rsidRDefault="00D22B5D" w:rsidP="0015441E">
            <w:pPr>
              <w:pStyle w:val="tabulka"/>
              <w:rPr>
                <w:lang w:eastAsia="cs-CZ"/>
              </w:rPr>
            </w:pPr>
            <w:r w:rsidRPr="00AF6CF3">
              <w:rPr>
                <w:lang w:eastAsia="cs-CZ"/>
              </w:rPr>
              <w:t>Microsoft 365 F3</w:t>
            </w:r>
          </w:p>
        </w:tc>
        <w:tc>
          <w:tcPr>
            <w:tcW w:w="2411" w:type="dxa"/>
            <w:vAlign w:val="center"/>
          </w:tcPr>
          <w:p w14:paraId="687D76A5" w14:textId="77777777" w:rsidR="00D22B5D" w:rsidRPr="00AF6CF3" w:rsidRDefault="00D22B5D" w:rsidP="0015441E">
            <w:pPr>
              <w:pStyle w:val="tabulka"/>
              <w:tabs>
                <w:tab w:val="left" w:pos="270"/>
                <w:tab w:val="right" w:pos="1939"/>
              </w:tabs>
              <w:jc w:val="center"/>
              <w:rPr>
                <w:lang w:eastAsia="cs-CZ"/>
              </w:rPr>
            </w:pPr>
            <w:r w:rsidRPr="00AF6CF3">
              <w:rPr>
                <w:lang w:eastAsia="cs-CZ"/>
              </w:rPr>
              <w:t>9,00 EUR</w:t>
            </w:r>
          </w:p>
        </w:tc>
      </w:tr>
      <w:tr w:rsidR="00D22B5D" w:rsidRPr="00112F2D" w14:paraId="79AB33C9" w14:textId="77777777" w:rsidTr="0015441E">
        <w:trPr>
          <w:trHeight w:val="292"/>
          <w:jc w:val="center"/>
        </w:trPr>
        <w:tc>
          <w:tcPr>
            <w:tcW w:w="6799" w:type="dxa"/>
            <w:vAlign w:val="center"/>
          </w:tcPr>
          <w:p w14:paraId="44A6C4C3" w14:textId="77777777" w:rsidR="00D22B5D" w:rsidRPr="00AF6CF3" w:rsidRDefault="00D22B5D" w:rsidP="0015441E">
            <w:pPr>
              <w:pStyle w:val="tabulka"/>
              <w:rPr>
                <w:lang w:eastAsia="cs-CZ"/>
              </w:rPr>
            </w:pPr>
            <w:r w:rsidRPr="00AF6CF3">
              <w:rPr>
                <w:lang w:eastAsia="cs-CZ"/>
              </w:rPr>
              <w:t>Power BI Pro</w:t>
            </w:r>
          </w:p>
        </w:tc>
        <w:tc>
          <w:tcPr>
            <w:tcW w:w="2411" w:type="dxa"/>
            <w:vAlign w:val="center"/>
          </w:tcPr>
          <w:p w14:paraId="4CD74627" w14:textId="31F418BB" w:rsidR="00D22B5D" w:rsidRPr="00AF6CF3" w:rsidRDefault="00D22B5D" w:rsidP="0015441E">
            <w:pPr>
              <w:pStyle w:val="tabulka"/>
              <w:tabs>
                <w:tab w:val="left" w:pos="270"/>
                <w:tab w:val="right" w:pos="1939"/>
              </w:tabs>
              <w:jc w:val="center"/>
              <w:rPr>
                <w:lang w:eastAsia="cs-CZ"/>
              </w:rPr>
            </w:pPr>
            <w:r w:rsidRPr="00AF6CF3">
              <w:rPr>
                <w:lang w:eastAsia="cs-CZ"/>
              </w:rPr>
              <w:t>1</w:t>
            </w:r>
            <w:r w:rsidR="00BC2EA5" w:rsidRPr="00AF6CF3">
              <w:rPr>
                <w:lang w:eastAsia="cs-CZ"/>
              </w:rPr>
              <w:t>5,72</w:t>
            </w:r>
            <w:r w:rsidRPr="00AF6CF3">
              <w:rPr>
                <w:lang w:eastAsia="cs-CZ"/>
              </w:rPr>
              <w:t xml:space="preserve"> EUR</w:t>
            </w:r>
          </w:p>
        </w:tc>
      </w:tr>
      <w:tr w:rsidR="00D22B5D" w:rsidRPr="00112F2D" w14:paraId="47E4E0E9" w14:textId="77777777" w:rsidTr="0015441E">
        <w:trPr>
          <w:trHeight w:val="292"/>
          <w:jc w:val="center"/>
        </w:trPr>
        <w:tc>
          <w:tcPr>
            <w:tcW w:w="6799" w:type="dxa"/>
            <w:vAlign w:val="center"/>
          </w:tcPr>
          <w:p w14:paraId="37EE9C42" w14:textId="77777777" w:rsidR="00D22B5D" w:rsidRPr="00AF6CF3" w:rsidDel="00492275" w:rsidRDefault="00D22B5D" w:rsidP="0015441E">
            <w:pPr>
              <w:pStyle w:val="tabulka"/>
              <w:rPr>
                <w:lang w:eastAsia="cs-CZ"/>
              </w:rPr>
            </w:pPr>
            <w:r w:rsidRPr="00AF6CF3">
              <w:rPr>
                <w:lang w:eastAsia="cs-CZ"/>
              </w:rPr>
              <w:t>Power BI Premium Per User</w:t>
            </w:r>
          </w:p>
        </w:tc>
        <w:tc>
          <w:tcPr>
            <w:tcW w:w="2411" w:type="dxa"/>
            <w:vAlign w:val="center"/>
          </w:tcPr>
          <w:p w14:paraId="57ED5BBA" w14:textId="4E506D89" w:rsidR="00D22B5D" w:rsidRPr="00AF6CF3" w:rsidRDefault="00D22B5D" w:rsidP="0015441E">
            <w:pPr>
              <w:pStyle w:val="tabulka"/>
              <w:tabs>
                <w:tab w:val="left" w:pos="270"/>
                <w:tab w:val="right" w:pos="1939"/>
              </w:tabs>
              <w:jc w:val="center"/>
              <w:rPr>
                <w:lang w:eastAsia="cs-CZ"/>
              </w:rPr>
            </w:pPr>
            <w:r w:rsidRPr="00AF6CF3">
              <w:rPr>
                <w:lang w:eastAsia="cs-CZ"/>
              </w:rPr>
              <w:t>2</w:t>
            </w:r>
            <w:r w:rsidR="00BC2EA5" w:rsidRPr="00AF6CF3">
              <w:rPr>
                <w:lang w:eastAsia="cs-CZ"/>
              </w:rPr>
              <w:t>7,00</w:t>
            </w:r>
            <w:r w:rsidRPr="00AF6CF3">
              <w:rPr>
                <w:lang w:eastAsia="cs-CZ"/>
              </w:rPr>
              <w:t xml:space="preserve"> EUR</w:t>
            </w:r>
          </w:p>
        </w:tc>
      </w:tr>
      <w:tr w:rsidR="00D22B5D" w:rsidRPr="00112F2D" w14:paraId="4B3C9FF5" w14:textId="77777777" w:rsidTr="0015441E">
        <w:trPr>
          <w:trHeight w:val="292"/>
          <w:jc w:val="center"/>
        </w:trPr>
        <w:tc>
          <w:tcPr>
            <w:tcW w:w="6799" w:type="dxa"/>
            <w:vAlign w:val="center"/>
          </w:tcPr>
          <w:p w14:paraId="32952B87" w14:textId="77777777" w:rsidR="00D22B5D" w:rsidRPr="00AF6CF3" w:rsidRDefault="00D22B5D" w:rsidP="0015441E">
            <w:pPr>
              <w:pStyle w:val="tabulka"/>
              <w:rPr>
                <w:lang w:eastAsia="cs-CZ"/>
              </w:rPr>
            </w:pPr>
            <w:r w:rsidRPr="00AF6CF3">
              <w:rPr>
                <w:lang w:eastAsia="cs-CZ"/>
              </w:rPr>
              <w:t>Power Apps per app plan</w:t>
            </w:r>
          </w:p>
        </w:tc>
        <w:tc>
          <w:tcPr>
            <w:tcW w:w="2411" w:type="dxa"/>
            <w:vAlign w:val="center"/>
          </w:tcPr>
          <w:p w14:paraId="1FB3AE90" w14:textId="40D93FA8" w:rsidR="00D22B5D" w:rsidRPr="00AF6CF3" w:rsidRDefault="00BC2EA5" w:rsidP="0015441E">
            <w:pPr>
              <w:pStyle w:val="tabulka"/>
              <w:tabs>
                <w:tab w:val="left" w:pos="270"/>
                <w:tab w:val="right" w:pos="1939"/>
              </w:tabs>
              <w:jc w:val="center"/>
              <w:rPr>
                <w:lang w:eastAsia="cs-CZ"/>
              </w:rPr>
            </w:pPr>
            <w:r w:rsidRPr="00AF6CF3">
              <w:rPr>
                <w:lang w:eastAsia="cs-CZ"/>
              </w:rPr>
              <w:t>4,94</w:t>
            </w:r>
            <w:r w:rsidR="00D22B5D" w:rsidRPr="00AF6CF3">
              <w:rPr>
                <w:lang w:eastAsia="cs-CZ"/>
              </w:rPr>
              <w:t xml:space="preserve"> EUR</w:t>
            </w:r>
          </w:p>
        </w:tc>
      </w:tr>
      <w:tr w:rsidR="00D22B5D" w:rsidRPr="00112F2D" w14:paraId="160E5D16" w14:textId="77777777" w:rsidTr="0015441E">
        <w:trPr>
          <w:trHeight w:val="292"/>
          <w:jc w:val="center"/>
        </w:trPr>
        <w:tc>
          <w:tcPr>
            <w:tcW w:w="6799" w:type="dxa"/>
            <w:vAlign w:val="center"/>
          </w:tcPr>
          <w:p w14:paraId="6FD14514" w14:textId="045FAD07" w:rsidR="00D22B5D" w:rsidRPr="00AF6CF3" w:rsidRDefault="00D22B5D" w:rsidP="0015441E">
            <w:pPr>
              <w:pStyle w:val="tabulka"/>
              <w:rPr>
                <w:lang w:eastAsia="cs-CZ"/>
              </w:rPr>
            </w:pPr>
            <w:r w:rsidRPr="00AF6CF3">
              <w:rPr>
                <w:lang w:eastAsia="cs-CZ"/>
              </w:rPr>
              <w:t xml:space="preserve">Power Apps </w:t>
            </w:r>
            <w:r w:rsidR="00754E3A" w:rsidRPr="00AF6CF3">
              <w:rPr>
                <w:lang w:eastAsia="cs-CZ"/>
              </w:rPr>
              <w:t>Premium</w:t>
            </w:r>
          </w:p>
        </w:tc>
        <w:tc>
          <w:tcPr>
            <w:tcW w:w="2411" w:type="dxa"/>
            <w:vAlign w:val="center"/>
          </w:tcPr>
          <w:p w14:paraId="4A54109E" w14:textId="77777777" w:rsidR="00D22B5D" w:rsidRPr="00AF6CF3" w:rsidRDefault="00D22B5D" w:rsidP="0015441E">
            <w:pPr>
              <w:pStyle w:val="tabulka"/>
              <w:tabs>
                <w:tab w:val="left" w:pos="270"/>
                <w:tab w:val="right" w:pos="1939"/>
              </w:tabs>
              <w:jc w:val="center"/>
              <w:rPr>
                <w:lang w:eastAsia="cs-CZ"/>
              </w:rPr>
            </w:pPr>
            <w:r w:rsidRPr="00AF6CF3">
              <w:rPr>
                <w:lang w:eastAsia="cs-CZ"/>
              </w:rPr>
              <w:t>22,44 EUR</w:t>
            </w:r>
          </w:p>
        </w:tc>
      </w:tr>
      <w:tr w:rsidR="00D22B5D" w:rsidRPr="00112F2D" w14:paraId="3D24079C" w14:textId="77777777" w:rsidTr="0015441E">
        <w:trPr>
          <w:trHeight w:val="292"/>
          <w:jc w:val="center"/>
        </w:trPr>
        <w:tc>
          <w:tcPr>
            <w:tcW w:w="6799" w:type="dxa"/>
            <w:vAlign w:val="center"/>
          </w:tcPr>
          <w:p w14:paraId="4015C6BF" w14:textId="235E64FD" w:rsidR="00D22B5D" w:rsidRPr="00AF6CF3" w:rsidRDefault="00A0147E" w:rsidP="0015441E">
            <w:pPr>
              <w:pStyle w:val="tabulka"/>
              <w:rPr>
                <w:lang w:eastAsia="cs-CZ"/>
              </w:rPr>
            </w:pPr>
            <w:r w:rsidRPr="00AF6CF3">
              <w:rPr>
                <w:lang w:eastAsia="cs-CZ"/>
              </w:rPr>
              <w:t>Planner</w:t>
            </w:r>
            <w:r w:rsidR="00D22B5D" w:rsidRPr="00AF6CF3">
              <w:rPr>
                <w:lang w:eastAsia="cs-CZ"/>
              </w:rPr>
              <w:t xml:space="preserve"> Plan 1</w:t>
            </w:r>
          </w:p>
        </w:tc>
        <w:tc>
          <w:tcPr>
            <w:tcW w:w="2411" w:type="dxa"/>
            <w:vAlign w:val="center"/>
          </w:tcPr>
          <w:p w14:paraId="1E76583E" w14:textId="77777777" w:rsidR="00D22B5D" w:rsidRPr="00AF6CF3" w:rsidRDefault="00D22B5D" w:rsidP="0015441E">
            <w:pPr>
              <w:pStyle w:val="tabulka"/>
              <w:tabs>
                <w:tab w:val="left" w:pos="270"/>
                <w:tab w:val="right" w:pos="1939"/>
              </w:tabs>
              <w:jc w:val="center"/>
              <w:rPr>
                <w:lang w:eastAsia="cs-CZ"/>
              </w:rPr>
            </w:pPr>
            <w:r w:rsidRPr="00AF6CF3">
              <w:rPr>
                <w:lang w:eastAsia="cs-CZ"/>
              </w:rPr>
              <w:t>11,28 EUR</w:t>
            </w:r>
          </w:p>
        </w:tc>
      </w:tr>
      <w:tr w:rsidR="00D22B5D" w:rsidRPr="00112F2D" w14:paraId="691EA940" w14:textId="77777777" w:rsidTr="0015441E">
        <w:trPr>
          <w:trHeight w:val="292"/>
          <w:jc w:val="center"/>
        </w:trPr>
        <w:tc>
          <w:tcPr>
            <w:tcW w:w="6799" w:type="dxa"/>
            <w:vAlign w:val="center"/>
          </w:tcPr>
          <w:p w14:paraId="2A44B148" w14:textId="45217386" w:rsidR="00D22B5D" w:rsidRPr="00AF6CF3" w:rsidRDefault="00A0147E" w:rsidP="0015441E">
            <w:pPr>
              <w:pStyle w:val="tabulka"/>
              <w:rPr>
                <w:lang w:eastAsia="cs-CZ"/>
              </w:rPr>
            </w:pPr>
            <w:r w:rsidRPr="00AF6CF3">
              <w:rPr>
                <w:lang w:eastAsia="cs-CZ"/>
              </w:rPr>
              <w:t xml:space="preserve">Planner and </w:t>
            </w:r>
            <w:r w:rsidR="00D22B5D" w:rsidRPr="00AF6CF3">
              <w:rPr>
                <w:lang w:eastAsia="cs-CZ"/>
              </w:rPr>
              <w:t>Project Plan 3</w:t>
            </w:r>
          </w:p>
        </w:tc>
        <w:tc>
          <w:tcPr>
            <w:tcW w:w="2411" w:type="dxa"/>
            <w:vAlign w:val="center"/>
          </w:tcPr>
          <w:p w14:paraId="2851E72E" w14:textId="2964123A" w:rsidR="00D22B5D" w:rsidRPr="00AF6CF3" w:rsidRDefault="00D22B5D" w:rsidP="0015441E">
            <w:pPr>
              <w:pStyle w:val="tabulka"/>
              <w:tabs>
                <w:tab w:val="left" w:pos="270"/>
                <w:tab w:val="right" w:pos="1939"/>
              </w:tabs>
              <w:jc w:val="center"/>
              <w:rPr>
                <w:lang w:eastAsia="cs-CZ"/>
              </w:rPr>
            </w:pPr>
            <w:r w:rsidRPr="00AF6CF3">
              <w:rPr>
                <w:lang w:eastAsia="cs-CZ"/>
              </w:rPr>
              <w:t>3</w:t>
            </w:r>
            <w:r w:rsidR="00A0147E" w:rsidRPr="00AF6CF3">
              <w:rPr>
                <w:lang w:eastAsia="cs-CZ"/>
              </w:rPr>
              <w:t>3,72</w:t>
            </w:r>
            <w:r w:rsidRPr="00AF6CF3">
              <w:rPr>
                <w:lang w:eastAsia="cs-CZ"/>
              </w:rPr>
              <w:t xml:space="preserve"> EUR</w:t>
            </w:r>
          </w:p>
        </w:tc>
      </w:tr>
      <w:tr w:rsidR="00D22B5D" w:rsidRPr="00112F2D" w14:paraId="2642728B" w14:textId="77777777" w:rsidTr="0015441E">
        <w:trPr>
          <w:trHeight w:val="292"/>
          <w:jc w:val="center"/>
        </w:trPr>
        <w:tc>
          <w:tcPr>
            <w:tcW w:w="6799" w:type="dxa"/>
            <w:vAlign w:val="center"/>
          </w:tcPr>
          <w:p w14:paraId="584FD869" w14:textId="2911E29A" w:rsidR="00D22B5D" w:rsidRPr="00AF6CF3" w:rsidRDefault="00A0147E" w:rsidP="0015441E">
            <w:pPr>
              <w:pStyle w:val="tabulka"/>
              <w:rPr>
                <w:lang w:eastAsia="cs-CZ"/>
              </w:rPr>
            </w:pPr>
            <w:r w:rsidRPr="00AF6CF3">
              <w:rPr>
                <w:lang w:eastAsia="cs-CZ"/>
              </w:rPr>
              <w:t xml:space="preserve">Planner and </w:t>
            </w:r>
            <w:r w:rsidR="00D22B5D" w:rsidRPr="00AF6CF3">
              <w:rPr>
                <w:lang w:eastAsia="cs-CZ"/>
              </w:rPr>
              <w:t>Project Plan 5</w:t>
            </w:r>
          </w:p>
        </w:tc>
        <w:tc>
          <w:tcPr>
            <w:tcW w:w="2411" w:type="dxa"/>
            <w:vAlign w:val="center"/>
          </w:tcPr>
          <w:p w14:paraId="0A2E1E06" w14:textId="77777777" w:rsidR="00D22B5D" w:rsidRPr="00AF6CF3" w:rsidRDefault="00D22B5D" w:rsidP="0015441E">
            <w:pPr>
              <w:pStyle w:val="tabulka"/>
              <w:tabs>
                <w:tab w:val="left" w:pos="270"/>
                <w:tab w:val="right" w:pos="1939"/>
              </w:tabs>
              <w:jc w:val="center"/>
              <w:rPr>
                <w:lang w:eastAsia="cs-CZ"/>
              </w:rPr>
            </w:pPr>
            <w:r w:rsidRPr="00AF6CF3">
              <w:rPr>
                <w:lang w:eastAsia="cs-CZ"/>
              </w:rPr>
              <w:t>61,80 EUR</w:t>
            </w:r>
          </w:p>
        </w:tc>
      </w:tr>
      <w:tr w:rsidR="00D22B5D" w:rsidRPr="00112F2D" w14:paraId="5F822665" w14:textId="77777777" w:rsidTr="0015441E">
        <w:trPr>
          <w:trHeight w:val="292"/>
          <w:jc w:val="center"/>
        </w:trPr>
        <w:tc>
          <w:tcPr>
            <w:tcW w:w="6799" w:type="dxa"/>
            <w:vAlign w:val="center"/>
          </w:tcPr>
          <w:p w14:paraId="5E311855" w14:textId="77777777" w:rsidR="00D22B5D" w:rsidRPr="00AF6CF3" w:rsidRDefault="00D22B5D" w:rsidP="0015441E">
            <w:pPr>
              <w:pStyle w:val="tabulka"/>
              <w:rPr>
                <w:lang w:eastAsia="cs-CZ"/>
              </w:rPr>
            </w:pPr>
            <w:r w:rsidRPr="00AF6CF3">
              <w:rPr>
                <w:lang w:eastAsia="cs-CZ"/>
              </w:rPr>
              <w:t>Visio Plan 1</w:t>
            </w:r>
          </w:p>
        </w:tc>
        <w:tc>
          <w:tcPr>
            <w:tcW w:w="2411" w:type="dxa"/>
            <w:vAlign w:val="center"/>
          </w:tcPr>
          <w:p w14:paraId="1C7F6CEB" w14:textId="77777777" w:rsidR="00D22B5D" w:rsidRPr="00AF6CF3" w:rsidRDefault="00D22B5D" w:rsidP="0015441E">
            <w:pPr>
              <w:pStyle w:val="tabulka"/>
              <w:tabs>
                <w:tab w:val="left" w:pos="270"/>
                <w:tab w:val="right" w:pos="1939"/>
              </w:tabs>
              <w:jc w:val="center"/>
              <w:rPr>
                <w:lang w:eastAsia="cs-CZ"/>
              </w:rPr>
            </w:pPr>
            <w:r w:rsidRPr="00AF6CF3">
              <w:rPr>
                <w:lang w:eastAsia="cs-CZ"/>
              </w:rPr>
              <w:t>5,64 EUR</w:t>
            </w:r>
          </w:p>
        </w:tc>
      </w:tr>
      <w:tr w:rsidR="00D22B5D" w:rsidRPr="00112F2D" w14:paraId="7F22A49E" w14:textId="77777777" w:rsidTr="0015441E">
        <w:trPr>
          <w:trHeight w:val="292"/>
          <w:jc w:val="center"/>
        </w:trPr>
        <w:tc>
          <w:tcPr>
            <w:tcW w:w="6799" w:type="dxa"/>
            <w:vAlign w:val="center"/>
          </w:tcPr>
          <w:p w14:paraId="1F07E548" w14:textId="77777777" w:rsidR="00D22B5D" w:rsidRPr="00AF6CF3" w:rsidRDefault="00D22B5D" w:rsidP="0015441E">
            <w:pPr>
              <w:pStyle w:val="tabulka"/>
              <w:rPr>
                <w:lang w:eastAsia="cs-CZ"/>
              </w:rPr>
            </w:pPr>
            <w:r w:rsidRPr="00AF6CF3">
              <w:rPr>
                <w:lang w:eastAsia="cs-CZ"/>
              </w:rPr>
              <w:t>Viso Plan 2</w:t>
            </w:r>
          </w:p>
        </w:tc>
        <w:tc>
          <w:tcPr>
            <w:tcW w:w="2411" w:type="dxa"/>
            <w:vAlign w:val="center"/>
          </w:tcPr>
          <w:p w14:paraId="0CF3C6EA" w14:textId="465B2DF8" w:rsidR="00D22B5D" w:rsidRPr="00AF6CF3" w:rsidRDefault="00D22B5D" w:rsidP="0015441E">
            <w:pPr>
              <w:pStyle w:val="tabulka"/>
              <w:tabs>
                <w:tab w:val="left" w:pos="270"/>
                <w:tab w:val="right" w:pos="1939"/>
              </w:tabs>
              <w:jc w:val="center"/>
              <w:rPr>
                <w:lang w:eastAsia="cs-CZ"/>
              </w:rPr>
            </w:pPr>
            <w:r w:rsidRPr="00AF6CF3">
              <w:rPr>
                <w:lang w:eastAsia="cs-CZ"/>
              </w:rPr>
              <w:t>1</w:t>
            </w:r>
            <w:r w:rsidR="00A0147E" w:rsidRPr="00AF6CF3">
              <w:rPr>
                <w:lang w:eastAsia="cs-CZ"/>
              </w:rPr>
              <w:t>6,80</w:t>
            </w:r>
            <w:r w:rsidRPr="00AF6CF3">
              <w:rPr>
                <w:lang w:eastAsia="cs-CZ"/>
              </w:rPr>
              <w:t xml:space="preserve"> EUR</w:t>
            </w:r>
          </w:p>
        </w:tc>
      </w:tr>
      <w:tr w:rsidR="00D22B5D" w14:paraId="775C8274" w14:textId="77777777" w:rsidTr="0015441E">
        <w:trPr>
          <w:trHeight w:val="292"/>
          <w:jc w:val="center"/>
        </w:trPr>
        <w:tc>
          <w:tcPr>
            <w:tcW w:w="6799" w:type="dxa"/>
            <w:vAlign w:val="center"/>
          </w:tcPr>
          <w:p w14:paraId="6F1248A4" w14:textId="77777777" w:rsidR="00D22B5D" w:rsidRPr="00AF6CF3" w:rsidRDefault="00D22B5D" w:rsidP="0015441E">
            <w:pPr>
              <w:pStyle w:val="tabulka"/>
              <w:rPr>
                <w:lang w:eastAsia="cs-CZ"/>
              </w:rPr>
            </w:pPr>
            <w:r w:rsidRPr="00AF6CF3">
              <w:rPr>
                <w:lang w:eastAsia="cs-CZ"/>
              </w:rPr>
              <w:t>Dynamics 365 Sales Enterprise Edition</w:t>
            </w:r>
          </w:p>
        </w:tc>
        <w:tc>
          <w:tcPr>
            <w:tcW w:w="2411" w:type="dxa"/>
            <w:vAlign w:val="center"/>
          </w:tcPr>
          <w:p w14:paraId="2B79B689" w14:textId="27D6863A" w:rsidR="00D22B5D" w:rsidRPr="00AF6CF3" w:rsidRDefault="00D22B5D" w:rsidP="0015441E">
            <w:pPr>
              <w:pStyle w:val="tabulka"/>
              <w:jc w:val="center"/>
              <w:rPr>
                <w:lang w:eastAsia="cs-CZ"/>
              </w:rPr>
            </w:pPr>
            <w:r w:rsidRPr="00AF6CF3">
              <w:rPr>
                <w:lang w:eastAsia="cs-CZ"/>
              </w:rPr>
              <w:t>1</w:t>
            </w:r>
            <w:r w:rsidR="00390982" w:rsidRPr="00AF6CF3">
              <w:rPr>
                <w:lang w:eastAsia="cs-CZ"/>
              </w:rPr>
              <w:t>17,96</w:t>
            </w:r>
            <w:r w:rsidRPr="00AF6CF3">
              <w:rPr>
                <w:lang w:eastAsia="cs-CZ"/>
              </w:rPr>
              <w:t xml:space="preserve"> EUR</w:t>
            </w:r>
          </w:p>
        </w:tc>
      </w:tr>
      <w:tr w:rsidR="00D22B5D" w14:paraId="6995815A" w14:textId="77777777" w:rsidTr="0015441E">
        <w:trPr>
          <w:trHeight w:val="292"/>
          <w:jc w:val="center"/>
        </w:trPr>
        <w:tc>
          <w:tcPr>
            <w:tcW w:w="6799" w:type="dxa"/>
            <w:vAlign w:val="center"/>
          </w:tcPr>
          <w:p w14:paraId="3305906E" w14:textId="77777777" w:rsidR="00D22B5D" w:rsidRPr="00AF6CF3" w:rsidRDefault="00D22B5D" w:rsidP="0015441E">
            <w:pPr>
              <w:pStyle w:val="tabulka"/>
              <w:rPr>
                <w:lang w:eastAsia="cs-CZ"/>
              </w:rPr>
            </w:pPr>
            <w:r w:rsidRPr="00AF6CF3">
              <w:rPr>
                <w:lang w:eastAsia="cs-CZ"/>
              </w:rPr>
              <w:t>Dynamics 365 Team Member</w:t>
            </w:r>
          </w:p>
        </w:tc>
        <w:tc>
          <w:tcPr>
            <w:tcW w:w="2411" w:type="dxa"/>
            <w:vAlign w:val="center"/>
          </w:tcPr>
          <w:p w14:paraId="7782A233" w14:textId="77777777" w:rsidR="00D22B5D" w:rsidRPr="00AF6CF3" w:rsidRDefault="00D22B5D" w:rsidP="0015441E">
            <w:pPr>
              <w:pStyle w:val="tabulka"/>
              <w:jc w:val="center"/>
              <w:rPr>
                <w:lang w:eastAsia="cs-CZ"/>
              </w:rPr>
            </w:pPr>
            <w:r w:rsidRPr="00AF6CF3">
              <w:rPr>
                <w:lang w:eastAsia="cs-CZ"/>
              </w:rPr>
              <w:t>9,00 EUR</w:t>
            </w:r>
          </w:p>
        </w:tc>
      </w:tr>
      <w:tr w:rsidR="00D22B5D" w14:paraId="39379822" w14:textId="77777777" w:rsidTr="0015441E">
        <w:trPr>
          <w:trHeight w:val="292"/>
          <w:jc w:val="center"/>
        </w:trPr>
        <w:tc>
          <w:tcPr>
            <w:tcW w:w="6799" w:type="dxa"/>
            <w:vAlign w:val="center"/>
          </w:tcPr>
          <w:p w14:paraId="2790393B" w14:textId="77777777" w:rsidR="00D22B5D" w:rsidRPr="00AF6CF3" w:rsidRDefault="00D22B5D" w:rsidP="0015441E">
            <w:pPr>
              <w:pStyle w:val="tabulka"/>
              <w:rPr>
                <w:lang w:eastAsia="cs-CZ"/>
              </w:rPr>
            </w:pPr>
            <w:r w:rsidRPr="00AF6CF3">
              <w:rPr>
                <w:lang w:eastAsia="cs-CZ"/>
              </w:rPr>
              <w:t>Dynamics 365 Business Central Essentials</w:t>
            </w:r>
          </w:p>
        </w:tc>
        <w:tc>
          <w:tcPr>
            <w:tcW w:w="2411" w:type="dxa"/>
            <w:vAlign w:val="center"/>
          </w:tcPr>
          <w:p w14:paraId="62F0569C" w14:textId="77777777" w:rsidR="00D22B5D" w:rsidRPr="00AF6CF3" w:rsidRDefault="00D22B5D" w:rsidP="0015441E">
            <w:pPr>
              <w:pStyle w:val="tabulka"/>
              <w:jc w:val="center"/>
              <w:rPr>
                <w:lang w:eastAsia="cs-CZ"/>
              </w:rPr>
            </w:pPr>
            <w:r w:rsidRPr="00AF6CF3">
              <w:rPr>
                <w:lang w:eastAsia="cs-CZ"/>
              </w:rPr>
              <w:t>78,60 EUR</w:t>
            </w:r>
          </w:p>
        </w:tc>
      </w:tr>
      <w:tr w:rsidR="00D22B5D" w14:paraId="322E23BA" w14:textId="77777777" w:rsidTr="0015441E">
        <w:trPr>
          <w:trHeight w:val="292"/>
          <w:jc w:val="center"/>
        </w:trPr>
        <w:tc>
          <w:tcPr>
            <w:tcW w:w="6799" w:type="dxa"/>
            <w:vAlign w:val="center"/>
          </w:tcPr>
          <w:p w14:paraId="24D414B0" w14:textId="77777777" w:rsidR="00D22B5D" w:rsidRPr="00AF6CF3" w:rsidRDefault="00D22B5D" w:rsidP="0015441E">
            <w:pPr>
              <w:pStyle w:val="tabulka"/>
              <w:rPr>
                <w:lang w:eastAsia="cs-CZ"/>
              </w:rPr>
            </w:pPr>
            <w:r w:rsidRPr="00AF6CF3">
              <w:rPr>
                <w:lang w:eastAsia="cs-CZ"/>
              </w:rPr>
              <w:t>Dynamics 365 Customer Service Enterprise</w:t>
            </w:r>
          </w:p>
        </w:tc>
        <w:tc>
          <w:tcPr>
            <w:tcW w:w="2411" w:type="dxa"/>
            <w:vAlign w:val="center"/>
          </w:tcPr>
          <w:p w14:paraId="772A7096" w14:textId="30036A62" w:rsidR="00D22B5D" w:rsidRPr="00AF6CF3" w:rsidRDefault="00D22B5D" w:rsidP="0015441E">
            <w:pPr>
              <w:pStyle w:val="tabulka"/>
              <w:jc w:val="center"/>
              <w:rPr>
                <w:lang w:eastAsia="cs-CZ"/>
              </w:rPr>
            </w:pPr>
            <w:r w:rsidRPr="00AF6CF3">
              <w:rPr>
                <w:lang w:eastAsia="cs-CZ"/>
              </w:rPr>
              <w:t>1</w:t>
            </w:r>
            <w:r w:rsidR="00390982" w:rsidRPr="00AF6CF3">
              <w:rPr>
                <w:lang w:eastAsia="cs-CZ"/>
              </w:rPr>
              <w:t>17,96</w:t>
            </w:r>
            <w:r w:rsidRPr="00AF6CF3">
              <w:rPr>
                <w:lang w:eastAsia="cs-CZ"/>
              </w:rPr>
              <w:t xml:space="preserve"> EUR</w:t>
            </w:r>
          </w:p>
        </w:tc>
      </w:tr>
      <w:tr w:rsidR="00D22B5D" w14:paraId="14F8D201" w14:textId="77777777" w:rsidTr="0015441E">
        <w:trPr>
          <w:trHeight w:val="292"/>
          <w:jc w:val="center"/>
        </w:trPr>
        <w:tc>
          <w:tcPr>
            <w:tcW w:w="6799" w:type="dxa"/>
            <w:vAlign w:val="center"/>
          </w:tcPr>
          <w:p w14:paraId="2F1D6C84" w14:textId="77777777" w:rsidR="00D22B5D" w:rsidRPr="00AF6CF3" w:rsidRDefault="00D22B5D" w:rsidP="0015441E">
            <w:pPr>
              <w:pStyle w:val="tabulka"/>
              <w:rPr>
                <w:lang w:eastAsia="cs-CZ"/>
              </w:rPr>
            </w:pPr>
            <w:r w:rsidRPr="00AF6CF3">
              <w:rPr>
                <w:lang w:eastAsia="cs-CZ"/>
              </w:rPr>
              <w:t>Dynamics 365 Field Service</w:t>
            </w:r>
          </w:p>
        </w:tc>
        <w:tc>
          <w:tcPr>
            <w:tcW w:w="2411" w:type="dxa"/>
            <w:vAlign w:val="center"/>
          </w:tcPr>
          <w:p w14:paraId="16D8C48B" w14:textId="3346CB3E" w:rsidR="00D22B5D" w:rsidRPr="00AF6CF3" w:rsidRDefault="00D22B5D" w:rsidP="0015441E">
            <w:pPr>
              <w:pStyle w:val="tabulka"/>
              <w:jc w:val="center"/>
              <w:rPr>
                <w:lang w:eastAsia="cs-CZ"/>
              </w:rPr>
            </w:pPr>
            <w:r w:rsidRPr="00AF6CF3">
              <w:rPr>
                <w:lang w:eastAsia="cs-CZ"/>
              </w:rPr>
              <w:t>1</w:t>
            </w:r>
            <w:r w:rsidR="00390982" w:rsidRPr="00AF6CF3">
              <w:rPr>
                <w:lang w:eastAsia="cs-CZ"/>
              </w:rPr>
              <w:t>17,96</w:t>
            </w:r>
            <w:r w:rsidRPr="00AF6CF3">
              <w:rPr>
                <w:lang w:eastAsia="cs-CZ"/>
              </w:rPr>
              <w:t xml:space="preserve"> EUR</w:t>
            </w:r>
          </w:p>
        </w:tc>
      </w:tr>
      <w:tr w:rsidR="00D22B5D" w14:paraId="75C28B13" w14:textId="77777777" w:rsidTr="0015441E">
        <w:trPr>
          <w:trHeight w:val="292"/>
          <w:jc w:val="center"/>
        </w:trPr>
        <w:tc>
          <w:tcPr>
            <w:tcW w:w="6799" w:type="dxa"/>
            <w:vAlign w:val="center"/>
          </w:tcPr>
          <w:p w14:paraId="289D2B1C" w14:textId="41D27DB6" w:rsidR="00D22B5D" w:rsidRPr="00AF6CF3" w:rsidRDefault="00390982" w:rsidP="0015441E">
            <w:pPr>
              <w:pStyle w:val="tabulka"/>
              <w:rPr>
                <w:lang w:eastAsia="cs-CZ"/>
              </w:rPr>
            </w:pPr>
            <w:r w:rsidRPr="00AF6CF3">
              <w:rPr>
                <w:lang w:eastAsia="cs-CZ"/>
              </w:rPr>
              <w:t>Database Capacity add-on</w:t>
            </w:r>
          </w:p>
        </w:tc>
        <w:tc>
          <w:tcPr>
            <w:tcW w:w="2411" w:type="dxa"/>
            <w:vAlign w:val="center"/>
          </w:tcPr>
          <w:p w14:paraId="308B943C" w14:textId="77777777" w:rsidR="00D22B5D" w:rsidRPr="00AF6CF3" w:rsidRDefault="00D22B5D" w:rsidP="0015441E">
            <w:pPr>
              <w:pStyle w:val="tabulka"/>
              <w:jc w:val="center"/>
              <w:rPr>
                <w:lang w:eastAsia="cs-CZ"/>
              </w:rPr>
            </w:pPr>
            <w:r w:rsidRPr="00AF6CF3">
              <w:rPr>
                <w:lang w:eastAsia="cs-CZ"/>
              </w:rPr>
              <w:t>44,88 EUR</w:t>
            </w:r>
          </w:p>
        </w:tc>
      </w:tr>
    </w:tbl>
    <w:p w14:paraId="435E4A78" w14:textId="77777777" w:rsidR="00D22B5D" w:rsidRDefault="00D22B5D" w:rsidP="00D22B5D">
      <w:pPr>
        <w:spacing w:after="180" w:line="250" w:lineRule="atLeast"/>
        <w:rPr>
          <w:rFonts w:ascii="Arial" w:eastAsia="Arial" w:hAnsi="Arial" w:cs="Arial"/>
          <w:color w:val="000000" w:themeColor="text1"/>
          <w:sz w:val="18"/>
          <w:szCs w:val="18"/>
        </w:rPr>
      </w:pPr>
    </w:p>
    <w:p w14:paraId="6268BC57" w14:textId="77777777" w:rsidR="00D00507" w:rsidRDefault="00D00507" w:rsidP="00D00507">
      <w:pPr>
        <w:pStyle w:val="BodyText1"/>
        <w:ind w:left="720"/>
      </w:pPr>
    </w:p>
    <w:p w14:paraId="7BA04CC8" w14:textId="7197AA2F" w:rsidR="00D22B5D" w:rsidRDefault="00D22B5D" w:rsidP="00D00507">
      <w:pPr>
        <w:pStyle w:val="BodyText1"/>
        <w:numPr>
          <w:ilvl w:val="0"/>
          <w:numId w:val="11"/>
        </w:numPr>
      </w:pPr>
      <w:r>
        <w:t xml:space="preserve">Cena služeb při využití předplatného na rok – Roční předplatné (placené jednorázově) / Roční splátkové předplatné (placené měsíčně): </w:t>
      </w:r>
    </w:p>
    <w:tbl>
      <w:tblPr>
        <w:tblW w:w="4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1"/>
        <w:gridCol w:w="2551"/>
        <w:gridCol w:w="2410"/>
      </w:tblGrid>
      <w:tr w:rsidR="00D22B5D" w:rsidRPr="00885B30" w14:paraId="3464AD04" w14:textId="77777777" w:rsidTr="0015441E">
        <w:trPr>
          <w:trHeight w:val="272"/>
          <w:jc w:val="center"/>
        </w:trPr>
        <w:tc>
          <w:tcPr>
            <w:tcW w:w="4391" w:type="dxa"/>
            <w:shd w:val="clear" w:color="auto" w:fill="auto"/>
            <w:vAlign w:val="center"/>
          </w:tcPr>
          <w:p w14:paraId="4FAEA066" w14:textId="77777777" w:rsidR="00D22B5D" w:rsidRPr="00AE3624" w:rsidRDefault="00D22B5D" w:rsidP="0015441E">
            <w:pPr>
              <w:pStyle w:val="tabulka"/>
              <w:ind w:right="-210"/>
              <w:rPr>
                <w:b/>
                <w:lang w:eastAsia="cs-CZ"/>
              </w:rPr>
            </w:pPr>
            <w:r w:rsidRPr="00AE3624">
              <w:rPr>
                <w:b/>
                <w:lang w:eastAsia="cs-CZ"/>
              </w:rPr>
              <w:t>Licence</w:t>
            </w:r>
          </w:p>
        </w:tc>
        <w:tc>
          <w:tcPr>
            <w:tcW w:w="2551" w:type="dxa"/>
            <w:shd w:val="clear" w:color="auto" w:fill="auto"/>
            <w:vAlign w:val="center"/>
          </w:tcPr>
          <w:p w14:paraId="794C39C0" w14:textId="77777777" w:rsidR="00D22B5D" w:rsidRPr="00AE3624" w:rsidRDefault="00D22B5D" w:rsidP="0015441E">
            <w:pPr>
              <w:pStyle w:val="tabulka"/>
              <w:jc w:val="center"/>
              <w:rPr>
                <w:b/>
                <w:bCs/>
                <w:lang w:eastAsia="cs-CZ"/>
              </w:rPr>
            </w:pPr>
            <w:r w:rsidRPr="00AE3624">
              <w:rPr>
                <w:b/>
                <w:bCs/>
              </w:rPr>
              <w:t>Roční splátkové předplatné cena/měsíčně</w:t>
            </w:r>
          </w:p>
        </w:tc>
        <w:tc>
          <w:tcPr>
            <w:tcW w:w="2410" w:type="dxa"/>
            <w:shd w:val="clear" w:color="auto" w:fill="auto"/>
            <w:vAlign w:val="center"/>
          </w:tcPr>
          <w:p w14:paraId="7C506CA3" w14:textId="77777777" w:rsidR="00D22B5D" w:rsidRPr="00AE3624" w:rsidRDefault="00D22B5D" w:rsidP="0015441E">
            <w:pPr>
              <w:pStyle w:val="tabulka"/>
              <w:jc w:val="center"/>
              <w:rPr>
                <w:b/>
                <w:bCs/>
              </w:rPr>
            </w:pPr>
            <w:r w:rsidRPr="00AE3624">
              <w:rPr>
                <w:b/>
                <w:bCs/>
              </w:rPr>
              <w:t>Roční předplatné (placené jednorázově)</w:t>
            </w:r>
          </w:p>
        </w:tc>
      </w:tr>
      <w:tr w:rsidR="00D22B5D" w:rsidRPr="00112F2D" w14:paraId="13015E0C" w14:textId="77777777" w:rsidTr="0015441E">
        <w:trPr>
          <w:trHeight w:val="272"/>
          <w:jc w:val="center"/>
        </w:trPr>
        <w:tc>
          <w:tcPr>
            <w:tcW w:w="4391" w:type="dxa"/>
            <w:vAlign w:val="center"/>
          </w:tcPr>
          <w:p w14:paraId="154E396A" w14:textId="77777777" w:rsidR="00D22B5D" w:rsidRPr="00AF6CF3" w:rsidRDefault="00D22B5D" w:rsidP="0015441E">
            <w:pPr>
              <w:pStyle w:val="tabulka"/>
              <w:rPr>
                <w:lang w:eastAsia="cs-CZ"/>
              </w:rPr>
            </w:pPr>
            <w:r w:rsidRPr="00AF6CF3">
              <w:rPr>
                <w:lang w:eastAsia="cs-CZ"/>
              </w:rPr>
              <w:t>Microsoft 365 Business Basic</w:t>
            </w:r>
          </w:p>
        </w:tc>
        <w:tc>
          <w:tcPr>
            <w:tcW w:w="2551" w:type="dxa"/>
            <w:vAlign w:val="center"/>
          </w:tcPr>
          <w:p w14:paraId="74FD4B81" w14:textId="0BE3C160" w:rsidR="00D22B5D" w:rsidRPr="00AF6CF3" w:rsidRDefault="00D22B5D" w:rsidP="0015441E">
            <w:pPr>
              <w:pStyle w:val="tabulka"/>
              <w:tabs>
                <w:tab w:val="left" w:pos="270"/>
                <w:tab w:val="right" w:pos="1939"/>
              </w:tabs>
              <w:jc w:val="center"/>
              <w:rPr>
                <w:lang w:eastAsia="cs-CZ"/>
              </w:rPr>
            </w:pPr>
            <w:r w:rsidRPr="00AF6CF3">
              <w:rPr>
                <w:lang w:eastAsia="cs-CZ"/>
              </w:rPr>
              <w:t>5,</w:t>
            </w:r>
            <w:r w:rsidR="00F5001C" w:rsidRPr="00AF6CF3">
              <w:rPr>
                <w:lang w:eastAsia="cs-CZ"/>
              </w:rPr>
              <w:t>88</w:t>
            </w:r>
            <w:r w:rsidRPr="00AF6CF3">
              <w:rPr>
                <w:lang w:eastAsia="cs-CZ"/>
              </w:rPr>
              <w:t xml:space="preserve"> EUR</w:t>
            </w:r>
          </w:p>
        </w:tc>
        <w:tc>
          <w:tcPr>
            <w:tcW w:w="2410" w:type="dxa"/>
            <w:vAlign w:val="center"/>
          </w:tcPr>
          <w:p w14:paraId="34469651" w14:textId="77777777" w:rsidR="00D22B5D" w:rsidRPr="00AF6CF3" w:rsidRDefault="00D22B5D" w:rsidP="0015441E">
            <w:pPr>
              <w:pStyle w:val="tabulka"/>
              <w:tabs>
                <w:tab w:val="left" w:pos="270"/>
                <w:tab w:val="right" w:pos="1939"/>
              </w:tabs>
              <w:jc w:val="center"/>
              <w:rPr>
                <w:lang w:eastAsia="cs-CZ"/>
              </w:rPr>
            </w:pPr>
            <w:r w:rsidRPr="00AF6CF3">
              <w:rPr>
                <w:lang w:eastAsia="cs-CZ"/>
              </w:rPr>
              <w:t>67,20 EUR</w:t>
            </w:r>
          </w:p>
        </w:tc>
      </w:tr>
      <w:tr w:rsidR="00D22B5D" w:rsidRPr="00112F2D" w14:paraId="0E9A334F" w14:textId="77777777" w:rsidTr="0015441E">
        <w:trPr>
          <w:trHeight w:val="272"/>
          <w:jc w:val="center"/>
        </w:trPr>
        <w:tc>
          <w:tcPr>
            <w:tcW w:w="4391" w:type="dxa"/>
            <w:vAlign w:val="center"/>
          </w:tcPr>
          <w:p w14:paraId="3681A3D0" w14:textId="77777777" w:rsidR="00D22B5D" w:rsidRPr="00AF6CF3" w:rsidRDefault="00D22B5D" w:rsidP="0015441E">
            <w:pPr>
              <w:pStyle w:val="tabulka"/>
              <w:rPr>
                <w:lang w:eastAsia="cs-CZ"/>
              </w:rPr>
            </w:pPr>
            <w:r w:rsidRPr="00AF6CF3">
              <w:rPr>
                <w:lang w:eastAsia="cs-CZ"/>
              </w:rPr>
              <w:t>Microsoft 365 Business Standard</w:t>
            </w:r>
          </w:p>
        </w:tc>
        <w:tc>
          <w:tcPr>
            <w:tcW w:w="2551" w:type="dxa"/>
            <w:vAlign w:val="center"/>
          </w:tcPr>
          <w:p w14:paraId="267637E8" w14:textId="3B7B8095" w:rsidR="00D22B5D" w:rsidRPr="00AF6CF3" w:rsidRDefault="00D22B5D" w:rsidP="0015441E">
            <w:pPr>
              <w:pStyle w:val="tabulka"/>
              <w:tabs>
                <w:tab w:val="left" w:pos="270"/>
                <w:tab w:val="right" w:pos="1939"/>
              </w:tabs>
              <w:jc w:val="center"/>
              <w:rPr>
                <w:lang w:eastAsia="cs-CZ"/>
              </w:rPr>
            </w:pPr>
            <w:r w:rsidRPr="00AF6CF3">
              <w:rPr>
                <w:lang w:eastAsia="cs-CZ"/>
              </w:rPr>
              <w:t>1</w:t>
            </w:r>
            <w:r w:rsidR="00F5001C" w:rsidRPr="00AF6CF3">
              <w:rPr>
                <w:lang w:eastAsia="cs-CZ"/>
              </w:rPr>
              <w:t>2,29</w:t>
            </w:r>
            <w:r w:rsidRPr="00AF6CF3">
              <w:rPr>
                <w:lang w:eastAsia="cs-CZ"/>
              </w:rPr>
              <w:t xml:space="preserve"> EUR</w:t>
            </w:r>
          </w:p>
        </w:tc>
        <w:tc>
          <w:tcPr>
            <w:tcW w:w="2410" w:type="dxa"/>
            <w:vAlign w:val="center"/>
          </w:tcPr>
          <w:p w14:paraId="204B94DA" w14:textId="77777777" w:rsidR="00D22B5D" w:rsidRPr="00AF6CF3" w:rsidRDefault="00D22B5D" w:rsidP="0015441E">
            <w:pPr>
              <w:pStyle w:val="tabulka"/>
              <w:tabs>
                <w:tab w:val="left" w:pos="270"/>
                <w:tab w:val="right" w:pos="1939"/>
              </w:tabs>
              <w:jc w:val="center"/>
              <w:rPr>
                <w:lang w:eastAsia="cs-CZ"/>
              </w:rPr>
            </w:pPr>
            <w:r w:rsidRPr="00AF6CF3">
              <w:rPr>
                <w:lang w:eastAsia="cs-CZ"/>
              </w:rPr>
              <w:t>140,40 EUR</w:t>
            </w:r>
          </w:p>
        </w:tc>
      </w:tr>
      <w:tr w:rsidR="00D22B5D" w:rsidRPr="00112F2D" w14:paraId="1B189530" w14:textId="77777777" w:rsidTr="0015441E">
        <w:trPr>
          <w:trHeight w:val="272"/>
          <w:jc w:val="center"/>
        </w:trPr>
        <w:tc>
          <w:tcPr>
            <w:tcW w:w="4391" w:type="dxa"/>
            <w:vAlign w:val="center"/>
          </w:tcPr>
          <w:p w14:paraId="4CAF1572" w14:textId="77777777" w:rsidR="00D22B5D" w:rsidRPr="00AF6CF3" w:rsidRDefault="00D22B5D" w:rsidP="0015441E">
            <w:pPr>
              <w:pStyle w:val="tabulka"/>
              <w:rPr>
                <w:lang w:eastAsia="cs-CZ"/>
              </w:rPr>
            </w:pPr>
            <w:r w:rsidRPr="00AF6CF3">
              <w:rPr>
                <w:lang w:eastAsia="cs-CZ"/>
              </w:rPr>
              <w:t>Microsoft 365 Business Premium</w:t>
            </w:r>
          </w:p>
        </w:tc>
        <w:tc>
          <w:tcPr>
            <w:tcW w:w="2551" w:type="dxa"/>
            <w:vAlign w:val="center"/>
          </w:tcPr>
          <w:p w14:paraId="73D695A5" w14:textId="51A42255" w:rsidR="00D22B5D" w:rsidRPr="00AF6CF3" w:rsidRDefault="00D22B5D" w:rsidP="0015441E">
            <w:pPr>
              <w:pStyle w:val="tabulka"/>
              <w:tabs>
                <w:tab w:val="left" w:pos="270"/>
                <w:tab w:val="right" w:pos="1939"/>
              </w:tabs>
              <w:jc w:val="center"/>
              <w:rPr>
                <w:lang w:eastAsia="cs-CZ"/>
              </w:rPr>
            </w:pPr>
            <w:r w:rsidRPr="00AF6CF3">
              <w:rPr>
                <w:lang w:eastAsia="cs-CZ"/>
              </w:rPr>
              <w:t>2</w:t>
            </w:r>
            <w:r w:rsidR="00F5001C" w:rsidRPr="00AF6CF3">
              <w:rPr>
                <w:lang w:eastAsia="cs-CZ"/>
              </w:rPr>
              <w:t>1,63</w:t>
            </w:r>
            <w:r w:rsidRPr="00AF6CF3">
              <w:rPr>
                <w:lang w:eastAsia="cs-CZ"/>
              </w:rPr>
              <w:t xml:space="preserve"> EUR</w:t>
            </w:r>
          </w:p>
        </w:tc>
        <w:tc>
          <w:tcPr>
            <w:tcW w:w="2410" w:type="dxa"/>
            <w:vAlign w:val="center"/>
          </w:tcPr>
          <w:p w14:paraId="0A37D5FA" w14:textId="77777777" w:rsidR="00D22B5D" w:rsidRPr="00AF6CF3" w:rsidRDefault="00D22B5D" w:rsidP="0015441E">
            <w:pPr>
              <w:pStyle w:val="tabulka"/>
              <w:tabs>
                <w:tab w:val="left" w:pos="270"/>
                <w:tab w:val="right" w:pos="1939"/>
              </w:tabs>
              <w:jc w:val="center"/>
              <w:rPr>
                <w:lang w:eastAsia="cs-CZ"/>
              </w:rPr>
            </w:pPr>
            <w:r w:rsidRPr="00AF6CF3">
              <w:rPr>
                <w:lang w:eastAsia="cs-CZ"/>
              </w:rPr>
              <w:t>247,20 EUR</w:t>
            </w:r>
          </w:p>
        </w:tc>
      </w:tr>
      <w:tr w:rsidR="00D22B5D" w:rsidRPr="00112F2D" w14:paraId="39D8A874" w14:textId="77777777" w:rsidTr="0015441E">
        <w:trPr>
          <w:trHeight w:val="272"/>
          <w:jc w:val="center"/>
        </w:trPr>
        <w:tc>
          <w:tcPr>
            <w:tcW w:w="4391" w:type="dxa"/>
            <w:vAlign w:val="center"/>
          </w:tcPr>
          <w:p w14:paraId="19202337" w14:textId="77777777" w:rsidR="00D22B5D" w:rsidRPr="00AF6CF3" w:rsidRDefault="00D22B5D" w:rsidP="0015441E">
            <w:pPr>
              <w:pStyle w:val="tabulka"/>
              <w:rPr>
                <w:b/>
                <w:lang w:eastAsia="cs-CZ"/>
              </w:rPr>
            </w:pPr>
            <w:r w:rsidRPr="00AF6CF3">
              <w:rPr>
                <w:lang w:eastAsia="cs-CZ"/>
              </w:rPr>
              <w:t>Microsoft 365 Apps for Business</w:t>
            </w:r>
          </w:p>
        </w:tc>
        <w:tc>
          <w:tcPr>
            <w:tcW w:w="2551" w:type="dxa"/>
            <w:vAlign w:val="center"/>
          </w:tcPr>
          <w:p w14:paraId="00F3A11E" w14:textId="00CFFEDD" w:rsidR="00D22B5D" w:rsidRPr="00AF6CF3" w:rsidRDefault="00F5001C" w:rsidP="0015441E">
            <w:pPr>
              <w:pStyle w:val="tabulka"/>
              <w:tabs>
                <w:tab w:val="left" w:pos="270"/>
                <w:tab w:val="right" w:pos="1939"/>
              </w:tabs>
              <w:jc w:val="center"/>
              <w:rPr>
                <w:lang w:eastAsia="cs-CZ"/>
              </w:rPr>
            </w:pPr>
            <w:r w:rsidRPr="00AF6CF3">
              <w:rPr>
                <w:lang w:eastAsia="cs-CZ"/>
              </w:rPr>
              <w:t>10,29</w:t>
            </w:r>
            <w:r w:rsidR="00D22B5D" w:rsidRPr="00AF6CF3">
              <w:rPr>
                <w:lang w:eastAsia="cs-CZ"/>
              </w:rPr>
              <w:t xml:space="preserve"> EUR</w:t>
            </w:r>
          </w:p>
        </w:tc>
        <w:tc>
          <w:tcPr>
            <w:tcW w:w="2410" w:type="dxa"/>
            <w:vAlign w:val="center"/>
          </w:tcPr>
          <w:p w14:paraId="1D78AEDA" w14:textId="77777777" w:rsidR="00D22B5D" w:rsidRPr="00AF6CF3" w:rsidRDefault="00D22B5D" w:rsidP="0015441E">
            <w:pPr>
              <w:pStyle w:val="tabulka"/>
              <w:tabs>
                <w:tab w:val="left" w:pos="270"/>
                <w:tab w:val="right" w:pos="1939"/>
              </w:tabs>
              <w:jc w:val="center"/>
              <w:rPr>
                <w:lang w:eastAsia="cs-CZ"/>
              </w:rPr>
            </w:pPr>
            <w:r w:rsidRPr="00AF6CF3">
              <w:rPr>
                <w:lang w:eastAsia="cs-CZ"/>
              </w:rPr>
              <w:t>117,60 EUR</w:t>
            </w:r>
          </w:p>
        </w:tc>
      </w:tr>
      <w:tr w:rsidR="00D22B5D" w:rsidRPr="00112F2D" w14:paraId="6273DEB6" w14:textId="77777777" w:rsidTr="0015441E">
        <w:trPr>
          <w:trHeight w:val="272"/>
          <w:jc w:val="center"/>
        </w:trPr>
        <w:tc>
          <w:tcPr>
            <w:tcW w:w="4391" w:type="dxa"/>
            <w:vAlign w:val="center"/>
          </w:tcPr>
          <w:p w14:paraId="47C34584" w14:textId="77777777" w:rsidR="00D22B5D" w:rsidRPr="00AF6CF3" w:rsidRDefault="00D22B5D" w:rsidP="0015441E">
            <w:pPr>
              <w:pStyle w:val="tabulka"/>
              <w:rPr>
                <w:lang w:eastAsia="cs-CZ"/>
              </w:rPr>
            </w:pPr>
            <w:r w:rsidRPr="00AF6CF3">
              <w:rPr>
                <w:lang w:eastAsia="cs-CZ"/>
              </w:rPr>
              <w:t>Office 365 E1</w:t>
            </w:r>
          </w:p>
        </w:tc>
        <w:tc>
          <w:tcPr>
            <w:tcW w:w="2551" w:type="dxa"/>
            <w:vAlign w:val="center"/>
          </w:tcPr>
          <w:p w14:paraId="294EB32B" w14:textId="6585E86D" w:rsidR="00D22B5D" w:rsidRPr="00AF6CF3" w:rsidRDefault="00D22B5D" w:rsidP="0015441E">
            <w:pPr>
              <w:pStyle w:val="tabulka"/>
              <w:tabs>
                <w:tab w:val="left" w:pos="270"/>
                <w:tab w:val="right" w:pos="1939"/>
              </w:tabs>
              <w:jc w:val="center"/>
              <w:rPr>
                <w:lang w:eastAsia="cs-CZ"/>
              </w:rPr>
            </w:pPr>
            <w:r w:rsidRPr="00AF6CF3">
              <w:rPr>
                <w:lang w:eastAsia="cs-CZ"/>
              </w:rPr>
              <w:t>9,</w:t>
            </w:r>
            <w:r w:rsidR="00F5001C" w:rsidRPr="00AF6CF3">
              <w:rPr>
                <w:lang w:eastAsia="cs-CZ"/>
              </w:rPr>
              <w:t>87</w:t>
            </w:r>
            <w:r w:rsidRPr="00AF6CF3">
              <w:rPr>
                <w:lang w:eastAsia="cs-CZ"/>
              </w:rPr>
              <w:t xml:space="preserve"> EUR</w:t>
            </w:r>
          </w:p>
        </w:tc>
        <w:tc>
          <w:tcPr>
            <w:tcW w:w="2410" w:type="dxa"/>
            <w:vAlign w:val="center"/>
          </w:tcPr>
          <w:p w14:paraId="4B3C46C5" w14:textId="77777777" w:rsidR="00D22B5D" w:rsidRPr="00AF6CF3" w:rsidRDefault="00D22B5D" w:rsidP="0015441E">
            <w:pPr>
              <w:pStyle w:val="tabulka"/>
              <w:tabs>
                <w:tab w:val="left" w:pos="270"/>
                <w:tab w:val="right" w:pos="1939"/>
              </w:tabs>
              <w:jc w:val="center"/>
              <w:rPr>
                <w:lang w:eastAsia="cs-CZ"/>
              </w:rPr>
            </w:pPr>
            <w:r w:rsidRPr="00AF6CF3">
              <w:rPr>
                <w:lang w:eastAsia="cs-CZ"/>
              </w:rPr>
              <w:t>112,80 EUR</w:t>
            </w:r>
          </w:p>
        </w:tc>
      </w:tr>
      <w:tr w:rsidR="00D22B5D" w:rsidRPr="00112F2D" w14:paraId="34A62EEB" w14:textId="77777777" w:rsidTr="0015441E">
        <w:trPr>
          <w:trHeight w:val="272"/>
          <w:jc w:val="center"/>
        </w:trPr>
        <w:tc>
          <w:tcPr>
            <w:tcW w:w="4391" w:type="dxa"/>
            <w:vAlign w:val="center"/>
          </w:tcPr>
          <w:p w14:paraId="1233E295" w14:textId="77777777" w:rsidR="00D22B5D" w:rsidRPr="00AF6CF3" w:rsidRDefault="00D22B5D" w:rsidP="0015441E">
            <w:pPr>
              <w:pStyle w:val="tabulka"/>
              <w:rPr>
                <w:lang w:eastAsia="cs-CZ"/>
              </w:rPr>
            </w:pPr>
            <w:r w:rsidRPr="00AF6CF3">
              <w:rPr>
                <w:lang w:eastAsia="cs-CZ"/>
              </w:rPr>
              <w:t>Office 365 E3</w:t>
            </w:r>
          </w:p>
        </w:tc>
        <w:tc>
          <w:tcPr>
            <w:tcW w:w="2551" w:type="dxa"/>
            <w:vAlign w:val="center"/>
          </w:tcPr>
          <w:p w14:paraId="6B882845" w14:textId="4F00AD7B" w:rsidR="00D22B5D" w:rsidRPr="00AF6CF3" w:rsidRDefault="00D22B5D" w:rsidP="0015441E">
            <w:pPr>
              <w:pStyle w:val="tabulka"/>
              <w:tabs>
                <w:tab w:val="left" w:pos="270"/>
                <w:tab w:val="right" w:pos="1939"/>
              </w:tabs>
              <w:jc w:val="center"/>
              <w:rPr>
                <w:lang w:eastAsia="cs-CZ"/>
              </w:rPr>
            </w:pPr>
            <w:r w:rsidRPr="00AF6CF3">
              <w:rPr>
                <w:lang w:eastAsia="cs-CZ"/>
              </w:rPr>
              <w:t>2</w:t>
            </w:r>
            <w:r w:rsidR="00F5001C" w:rsidRPr="00AF6CF3">
              <w:rPr>
                <w:lang w:eastAsia="cs-CZ"/>
              </w:rPr>
              <w:t>6,36</w:t>
            </w:r>
            <w:r w:rsidRPr="00AF6CF3">
              <w:rPr>
                <w:lang w:eastAsia="cs-CZ"/>
              </w:rPr>
              <w:t xml:space="preserve"> EUR</w:t>
            </w:r>
          </w:p>
        </w:tc>
        <w:tc>
          <w:tcPr>
            <w:tcW w:w="2410" w:type="dxa"/>
            <w:vAlign w:val="center"/>
          </w:tcPr>
          <w:p w14:paraId="617DDD78" w14:textId="77777777" w:rsidR="00D22B5D" w:rsidRPr="00AF6CF3" w:rsidRDefault="00D22B5D" w:rsidP="0015441E">
            <w:pPr>
              <w:pStyle w:val="tabulka"/>
              <w:tabs>
                <w:tab w:val="left" w:pos="270"/>
                <w:tab w:val="right" w:pos="1939"/>
              </w:tabs>
              <w:jc w:val="center"/>
              <w:rPr>
                <w:lang w:eastAsia="cs-CZ"/>
              </w:rPr>
            </w:pPr>
            <w:r w:rsidRPr="00AF6CF3">
              <w:rPr>
                <w:lang w:eastAsia="cs-CZ"/>
              </w:rPr>
              <w:t>301,20 EUR</w:t>
            </w:r>
          </w:p>
        </w:tc>
      </w:tr>
      <w:tr w:rsidR="00D22B5D" w:rsidRPr="00112F2D" w14:paraId="11CAE580" w14:textId="77777777" w:rsidTr="0015441E">
        <w:trPr>
          <w:trHeight w:val="272"/>
          <w:jc w:val="center"/>
        </w:trPr>
        <w:tc>
          <w:tcPr>
            <w:tcW w:w="4391" w:type="dxa"/>
            <w:vAlign w:val="center"/>
          </w:tcPr>
          <w:p w14:paraId="6662BD8B" w14:textId="77777777" w:rsidR="00D22B5D" w:rsidRPr="00AF6CF3" w:rsidRDefault="00D22B5D" w:rsidP="0015441E">
            <w:pPr>
              <w:pStyle w:val="tabulka"/>
              <w:rPr>
                <w:lang w:eastAsia="cs-CZ"/>
              </w:rPr>
            </w:pPr>
            <w:r w:rsidRPr="00AF6CF3">
              <w:rPr>
                <w:lang w:eastAsia="cs-CZ"/>
              </w:rPr>
              <w:t>Microsoft 365 Apps for Enterprise</w:t>
            </w:r>
          </w:p>
        </w:tc>
        <w:tc>
          <w:tcPr>
            <w:tcW w:w="2551" w:type="dxa"/>
            <w:vAlign w:val="center"/>
          </w:tcPr>
          <w:p w14:paraId="750E64F8" w14:textId="66C5462C" w:rsidR="00D22B5D" w:rsidRPr="00AF6CF3" w:rsidRDefault="00D22B5D" w:rsidP="0015441E">
            <w:pPr>
              <w:pStyle w:val="tabulka"/>
              <w:tabs>
                <w:tab w:val="left" w:pos="270"/>
                <w:tab w:val="right" w:pos="1939"/>
              </w:tabs>
              <w:jc w:val="center"/>
              <w:rPr>
                <w:lang w:eastAsia="cs-CZ"/>
              </w:rPr>
            </w:pPr>
            <w:r w:rsidRPr="00AF6CF3">
              <w:rPr>
                <w:lang w:eastAsia="cs-CZ"/>
              </w:rPr>
              <w:t>1</w:t>
            </w:r>
            <w:r w:rsidR="00F5001C" w:rsidRPr="00AF6CF3">
              <w:rPr>
                <w:lang w:eastAsia="cs-CZ"/>
              </w:rPr>
              <w:t>5,02</w:t>
            </w:r>
            <w:r w:rsidRPr="00AF6CF3">
              <w:rPr>
                <w:lang w:eastAsia="cs-CZ"/>
              </w:rPr>
              <w:t xml:space="preserve"> EUR</w:t>
            </w:r>
          </w:p>
        </w:tc>
        <w:tc>
          <w:tcPr>
            <w:tcW w:w="2410" w:type="dxa"/>
            <w:vAlign w:val="center"/>
          </w:tcPr>
          <w:p w14:paraId="44447860" w14:textId="77777777" w:rsidR="00D22B5D" w:rsidRPr="00AF6CF3" w:rsidRDefault="00D22B5D" w:rsidP="0015441E">
            <w:pPr>
              <w:pStyle w:val="tabulka"/>
              <w:tabs>
                <w:tab w:val="left" w:pos="270"/>
                <w:tab w:val="right" w:pos="1939"/>
              </w:tabs>
              <w:jc w:val="center"/>
              <w:rPr>
                <w:lang w:eastAsia="cs-CZ"/>
              </w:rPr>
            </w:pPr>
            <w:r w:rsidRPr="00AF6CF3">
              <w:rPr>
                <w:lang w:eastAsia="cs-CZ"/>
              </w:rPr>
              <w:t>171,60 EUR</w:t>
            </w:r>
          </w:p>
        </w:tc>
      </w:tr>
      <w:tr w:rsidR="00D22B5D" w:rsidRPr="00112F2D" w14:paraId="299E0BC2" w14:textId="77777777" w:rsidTr="0015441E">
        <w:trPr>
          <w:trHeight w:val="272"/>
          <w:jc w:val="center"/>
        </w:trPr>
        <w:tc>
          <w:tcPr>
            <w:tcW w:w="4391" w:type="dxa"/>
            <w:vAlign w:val="center"/>
          </w:tcPr>
          <w:p w14:paraId="2FD3252F" w14:textId="77777777" w:rsidR="00D22B5D" w:rsidRPr="00AF6CF3" w:rsidRDefault="00D22B5D" w:rsidP="0015441E">
            <w:pPr>
              <w:pStyle w:val="tabulka"/>
              <w:rPr>
                <w:lang w:eastAsia="cs-CZ"/>
              </w:rPr>
            </w:pPr>
            <w:r w:rsidRPr="00AF6CF3">
              <w:rPr>
                <w:lang w:eastAsia="cs-CZ"/>
              </w:rPr>
              <w:t>Microsoft 365 E3</w:t>
            </w:r>
          </w:p>
        </w:tc>
        <w:tc>
          <w:tcPr>
            <w:tcW w:w="2551" w:type="dxa"/>
            <w:vAlign w:val="center"/>
          </w:tcPr>
          <w:p w14:paraId="52465311" w14:textId="13FA8D55" w:rsidR="00D22B5D" w:rsidRPr="00AF6CF3" w:rsidRDefault="00D22B5D" w:rsidP="0015441E">
            <w:pPr>
              <w:pStyle w:val="tabulka"/>
              <w:tabs>
                <w:tab w:val="left" w:pos="270"/>
                <w:tab w:val="right" w:pos="1939"/>
              </w:tabs>
              <w:jc w:val="center"/>
              <w:rPr>
                <w:lang w:eastAsia="cs-CZ"/>
              </w:rPr>
            </w:pPr>
            <w:r w:rsidRPr="00AF6CF3">
              <w:rPr>
                <w:lang w:eastAsia="cs-CZ"/>
              </w:rPr>
              <w:t>3</w:t>
            </w:r>
            <w:r w:rsidR="00F5001C" w:rsidRPr="00AF6CF3">
              <w:rPr>
                <w:lang w:eastAsia="cs-CZ"/>
              </w:rPr>
              <w:t>9,59</w:t>
            </w:r>
            <w:r w:rsidRPr="00AF6CF3">
              <w:rPr>
                <w:lang w:eastAsia="cs-CZ"/>
              </w:rPr>
              <w:t xml:space="preserve"> EUR</w:t>
            </w:r>
          </w:p>
        </w:tc>
        <w:tc>
          <w:tcPr>
            <w:tcW w:w="2410" w:type="dxa"/>
            <w:vAlign w:val="center"/>
          </w:tcPr>
          <w:p w14:paraId="6EED8897" w14:textId="77777777" w:rsidR="00D22B5D" w:rsidRPr="00AF6CF3" w:rsidRDefault="00D22B5D" w:rsidP="0015441E">
            <w:pPr>
              <w:pStyle w:val="tabulka"/>
              <w:tabs>
                <w:tab w:val="left" w:pos="270"/>
                <w:tab w:val="right" w:pos="1939"/>
              </w:tabs>
              <w:jc w:val="center"/>
              <w:rPr>
                <w:lang w:eastAsia="cs-CZ"/>
              </w:rPr>
            </w:pPr>
            <w:r w:rsidRPr="00AF6CF3">
              <w:rPr>
                <w:lang w:eastAsia="cs-CZ"/>
              </w:rPr>
              <w:t>452,40 EUR</w:t>
            </w:r>
          </w:p>
        </w:tc>
      </w:tr>
      <w:tr w:rsidR="00D22B5D" w:rsidRPr="00112F2D" w14:paraId="3349566E" w14:textId="77777777" w:rsidTr="0015441E">
        <w:trPr>
          <w:trHeight w:val="272"/>
          <w:jc w:val="center"/>
        </w:trPr>
        <w:tc>
          <w:tcPr>
            <w:tcW w:w="4391" w:type="dxa"/>
            <w:vAlign w:val="center"/>
          </w:tcPr>
          <w:p w14:paraId="2F35D18B" w14:textId="77777777" w:rsidR="00D22B5D" w:rsidRPr="00AF6CF3" w:rsidRDefault="00D22B5D" w:rsidP="0015441E">
            <w:pPr>
              <w:pStyle w:val="tabulka"/>
              <w:rPr>
                <w:lang w:eastAsia="cs-CZ"/>
              </w:rPr>
            </w:pPr>
            <w:r w:rsidRPr="00AF6CF3">
              <w:rPr>
                <w:lang w:eastAsia="cs-CZ"/>
              </w:rPr>
              <w:t>Microsoft 365 E5</w:t>
            </w:r>
          </w:p>
        </w:tc>
        <w:tc>
          <w:tcPr>
            <w:tcW w:w="2551" w:type="dxa"/>
            <w:vAlign w:val="center"/>
          </w:tcPr>
          <w:p w14:paraId="3EB48096" w14:textId="7F029448" w:rsidR="00D22B5D" w:rsidRPr="00AF6CF3" w:rsidRDefault="00BC2EA5" w:rsidP="0015441E">
            <w:pPr>
              <w:pStyle w:val="tabulka"/>
              <w:tabs>
                <w:tab w:val="left" w:pos="270"/>
                <w:tab w:val="right" w:pos="1939"/>
              </w:tabs>
              <w:jc w:val="center"/>
              <w:rPr>
                <w:lang w:eastAsia="cs-CZ"/>
              </w:rPr>
            </w:pPr>
            <w:r w:rsidRPr="00AF6CF3">
              <w:rPr>
                <w:lang w:eastAsia="cs-CZ"/>
              </w:rPr>
              <w:t>62,69</w:t>
            </w:r>
            <w:r w:rsidR="00D22B5D" w:rsidRPr="00AF6CF3">
              <w:rPr>
                <w:lang w:eastAsia="cs-CZ"/>
              </w:rPr>
              <w:t xml:space="preserve"> EUR</w:t>
            </w:r>
          </w:p>
        </w:tc>
        <w:tc>
          <w:tcPr>
            <w:tcW w:w="2410" w:type="dxa"/>
            <w:vAlign w:val="center"/>
          </w:tcPr>
          <w:p w14:paraId="2DB5D216" w14:textId="77777777" w:rsidR="00D22B5D" w:rsidRPr="00AF6CF3" w:rsidRDefault="00D22B5D" w:rsidP="0015441E">
            <w:pPr>
              <w:pStyle w:val="tabulka"/>
              <w:tabs>
                <w:tab w:val="left" w:pos="270"/>
                <w:tab w:val="right" w:pos="1939"/>
              </w:tabs>
              <w:jc w:val="center"/>
              <w:rPr>
                <w:lang w:eastAsia="cs-CZ"/>
              </w:rPr>
            </w:pPr>
            <w:r w:rsidRPr="00AF6CF3">
              <w:rPr>
                <w:lang w:eastAsia="cs-CZ"/>
              </w:rPr>
              <w:t>716,40 EUR</w:t>
            </w:r>
          </w:p>
        </w:tc>
      </w:tr>
      <w:tr w:rsidR="00D22B5D" w:rsidRPr="00112F2D" w14:paraId="216A1C81" w14:textId="77777777" w:rsidTr="0015441E">
        <w:trPr>
          <w:trHeight w:val="272"/>
          <w:jc w:val="center"/>
        </w:trPr>
        <w:tc>
          <w:tcPr>
            <w:tcW w:w="4391" w:type="dxa"/>
            <w:vAlign w:val="center"/>
          </w:tcPr>
          <w:p w14:paraId="1F859BE5" w14:textId="77777777" w:rsidR="00D22B5D" w:rsidRPr="00AF6CF3" w:rsidRDefault="00D22B5D" w:rsidP="0015441E">
            <w:pPr>
              <w:pStyle w:val="tabulka"/>
              <w:rPr>
                <w:lang w:eastAsia="cs-CZ"/>
              </w:rPr>
            </w:pPr>
            <w:r w:rsidRPr="00AF6CF3">
              <w:rPr>
                <w:lang w:eastAsia="cs-CZ"/>
              </w:rPr>
              <w:t>Microsoft 365 F1</w:t>
            </w:r>
          </w:p>
        </w:tc>
        <w:tc>
          <w:tcPr>
            <w:tcW w:w="2551" w:type="dxa"/>
            <w:vAlign w:val="center"/>
          </w:tcPr>
          <w:p w14:paraId="63BA632D" w14:textId="7597D5A9" w:rsidR="00D22B5D" w:rsidRPr="00AF6CF3" w:rsidRDefault="00D22B5D" w:rsidP="0015441E">
            <w:pPr>
              <w:pStyle w:val="tabulka"/>
              <w:tabs>
                <w:tab w:val="left" w:pos="270"/>
                <w:tab w:val="right" w:pos="1939"/>
              </w:tabs>
              <w:jc w:val="center"/>
              <w:rPr>
                <w:lang w:eastAsia="cs-CZ"/>
              </w:rPr>
            </w:pPr>
            <w:r w:rsidRPr="00AF6CF3">
              <w:rPr>
                <w:lang w:eastAsia="cs-CZ"/>
              </w:rPr>
              <w:t>2,</w:t>
            </w:r>
            <w:r w:rsidR="00BC2EA5" w:rsidRPr="00AF6CF3">
              <w:rPr>
                <w:lang w:eastAsia="cs-CZ"/>
              </w:rPr>
              <w:t>21</w:t>
            </w:r>
            <w:r w:rsidRPr="00AF6CF3">
              <w:rPr>
                <w:lang w:eastAsia="cs-CZ"/>
              </w:rPr>
              <w:t xml:space="preserve"> EUR</w:t>
            </w:r>
          </w:p>
        </w:tc>
        <w:tc>
          <w:tcPr>
            <w:tcW w:w="2410" w:type="dxa"/>
            <w:vAlign w:val="center"/>
          </w:tcPr>
          <w:p w14:paraId="007B9E07" w14:textId="77777777" w:rsidR="00D22B5D" w:rsidRPr="00AF6CF3" w:rsidRDefault="00D22B5D" w:rsidP="0015441E">
            <w:pPr>
              <w:pStyle w:val="tabulka"/>
              <w:tabs>
                <w:tab w:val="left" w:pos="270"/>
                <w:tab w:val="right" w:pos="1939"/>
              </w:tabs>
              <w:jc w:val="center"/>
              <w:rPr>
                <w:lang w:eastAsia="cs-CZ"/>
              </w:rPr>
            </w:pPr>
            <w:r w:rsidRPr="00AF6CF3">
              <w:rPr>
                <w:lang w:eastAsia="cs-CZ"/>
              </w:rPr>
              <w:t>25,20 EUR</w:t>
            </w:r>
          </w:p>
        </w:tc>
      </w:tr>
      <w:tr w:rsidR="00D22B5D" w:rsidRPr="00112F2D" w14:paraId="2DD87212" w14:textId="77777777" w:rsidTr="0015441E">
        <w:trPr>
          <w:trHeight w:val="272"/>
          <w:jc w:val="center"/>
        </w:trPr>
        <w:tc>
          <w:tcPr>
            <w:tcW w:w="4391" w:type="dxa"/>
            <w:vAlign w:val="center"/>
          </w:tcPr>
          <w:p w14:paraId="7ED44FE9" w14:textId="77777777" w:rsidR="00D22B5D" w:rsidRPr="00AF6CF3" w:rsidRDefault="00D22B5D" w:rsidP="0015441E">
            <w:pPr>
              <w:pStyle w:val="tabulka"/>
              <w:rPr>
                <w:lang w:eastAsia="cs-CZ"/>
              </w:rPr>
            </w:pPr>
            <w:r w:rsidRPr="00AF6CF3">
              <w:rPr>
                <w:lang w:eastAsia="cs-CZ"/>
              </w:rPr>
              <w:t>Microsoft 365 F3</w:t>
            </w:r>
          </w:p>
        </w:tc>
        <w:tc>
          <w:tcPr>
            <w:tcW w:w="2551" w:type="dxa"/>
            <w:vAlign w:val="center"/>
          </w:tcPr>
          <w:p w14:paraId="320A9B30" w14:textId="632E66F5" w:rsidR="00D22B5D" w:rsidRPr="00AF6CF3" w:rsidRDefault="00D22B5D" w:rsidP="0015441E">
            <w:pPr>
              <w:pStyle w:val="tabulka"/>
              <w:tabs>
                <w:tab w:val="left" w:pos="270"/>
                <w:tab w:val="right" w:pos="1939"/>
              </w:tabs>
              <w:jc w:val="center"/>
              <w:rPr>
                <w:lang w:eastAsia="cs-CZ"/>
              </w:rPr>
            </w:pPr>
            <w:r w:rsidRPr="00AF6CF3">
              <w:rPr>
                <w:lang w:eastAsia="cs-CZ"/>
              </w:rPr>
              <w:t>7,</w:t>
            </w:r>
            <w:r w:rsidR="00BC2EA5" w:rsidRPr="00AF6CF3">
              <w:rPr>
                <w:lang w:eastAsia="cs-CZ"/>
              </w:rPr>
              <w:t>88</w:t>
            </w:r>
            <w:r w:rsidRPr="00AF6CF3">
              <w:rPr>
                <w:lang w:eastAsia="cs-CZ"/>
              </w:rPr>
              <w:t xml:space="preserve"> EUR</w:t>
            </w:r>
          </w:p>
        </w:tc>
        <w:tc>
          <w:tcPr>
            <w:tcW w:w="2410" w:type="dxa"/>
            <w:vAlign w:val="center"/>
          </w:tcPr>
          <w:p w14:paraId="5BF05422" w14:textId="77777777" w:rsidR="00D22B5D" w:rsidRPr="00AF6CF3" w:rsidRDefault="00D22B5D" w:rsidP="0015441E">
            <w:pPr>
              <w:pStyle w:val="tabulka"/>
              <w:tabs>
                <w:tab w:val="left" w:pos="270"/>
                <w:tab w:val="right" w:pos="1939"/>
              </w:tabs>
              <w:jc w:val="center"/>
              <w:rPr>
                <w:lang w:eastAsia="cs-CZ"/>
              </w:rPr>
            </w:pPr>
            <w:r w:rsidRPr="00AF6CF3">
              <w:rPr>
                <w:lang w:eastAsia="cs-CZ"/>
              </w:rPr>
              <w:t>90,00 EUR</w:t>
            </w:r>
          </w:p>
        </w:tc>
      </w:tr>
      <w:tr w:rsidR="00D22B5D" w:rsidRPr="00112F2D" w14:paraId="2FAC3E69" w14:textId="77777777" w:rsidTr="0015441E">
        <w:trPr>
          <w:trHeight w:val="272"/>
          <w:jc w:val="center"/>
        </w:trPr>
        <w:tc>
          <w:tcPr>
            <w:tcW w:w="4391" w:type="dxa"/>
            <w:vAlign w:val="center"/>
          </w:tcPr>
          <w:p w14:paraId="639CEE95" w14:textId="77777777" w:rsidR="00D22B5D" w:rsidRPr="00AF6CF3" w:rsidRDefault="00D22B5D" w:rsidP="0015441E">
            <w:pPr>
              <w:pStyle w:val="tabulka"/>
              <w:rPr>
                <w:lang w:eastAsia="cs-CZ"/>
              </w:rPr>
            </w:pPr>
            <w:r w:rsidRPr="00AF6CF3">
              <w:rPr>
                <w:lang w:eastAsia="cs-CZ"/>
              </w:rPr>
              <w:t>Power BI Pro</w:t>
            </w:r>
          </w:p>
        </w:tc>
        <w:tc>
          <w:tcPr>
            <w:tcW w:w="2551" w:type="dxa"/>
            <w:vAlign w:val="center"/>
          </w:tcPr>
          <w:p w14:paraId="1679C65D" w14:textId="6AA0F41E" w:rsidR="00D22B5D" w:rsidRPr="00AF6CF3" w:rsidRDefault="00BC2EA5" w:rsidP="0015441E">
            <w:pPr>
              <w:pStyle w:val="tabulka"/>
              <w:tabs>
                <w:tab w:val="left" w:pos="270"/>
                <w:tab w:val="right" w:pos="1939"/>
              </w:tabs>
              <w:jc w:val="center"/>
              <w:rPr>
                <w:lang w:eastAsia="cs-CZ"/>
              </w:rPr>
            </w:pPr>
            <w:r w:rsidRPr="00AF6CF3">
              <w:rPr>
                <w:lang w:eastAsia="cs-CZ"/>
              </w:rPr>
              <w:t>13,76</w:t>
            </w:r>
            <w:r w:rsidR="00D22B5D" w:rsidRPr="00AF6CF3">
              <w:rPr>
                <w:lang w:eastAsia="cs-CZ"/>
              </w:rPr>
              <w:t xml:space="preserve"> EUR</w:t>
            </w:r>
          </w:p>
        </w:tc>
        <w:tc>
          <w:tcPr>
            <w:tcW w:w="2410" w:type="dxa"/>
            <w:vAlign w:val="center"/>
          </w:tcPr>
          <w:p w14:paraId="58BB9767" w14:textId="52D8186A" w:rsidR="00D22B5D" w:rsidRPr="00AF6CF3" w:rsidRDefault="00D22B5D" w:rsidP="0015441E">
            <w:pPr>
              <w:pStyle w:val="tabulka"/>
              <w:tabs>
                <w:tab w:val="left" w:pos="270"/>
                <w:tab w:val="right" w:pos="1939"/>
              </w:tabs>
              <w:jc w:val="center"/>
              <w:rPr>
                <w:lang w:eastAsia="cs-CZ"/>
              </w:rPr>
            </w:pPr>
            <w:r w:rsidRPr="00AF6CF3">
              <w:rPr>
                <w:lang w:eastAsia="cs-CZ"/>
              </w:rPr>
              <w:t>1</w:t>
            </w:r>
            <w:r w:rsidR="00BC2EA5" w:rsidRPr="00AF6CF3">
              <w:rPr>
                <w:lang w:eastAsia="cs-CZ"/>
              </w:rPr>
              <w:t>57,20</w:t>
            </w:r>
            <w:r w:rsidRPr="00AF6CF3">
              <w:rPr>
                <w:lang w:eastAsia="cs-CZ"/>
              </w:rPr>
              <w:t xml:space="preserve"> EUR</w:t>
            </w:r>
          </w:p>
        </w:tc>
      </w:tr>
      <w:tr w:rsidR="00D22B5D" w:rsidRPr="00112F2D" w14:paraId="30FFD21A" w14:textId="77777777" w:rsidTr="0015441E">
        <w:trPr>
          <w:trHeight w:val="272"/>
          <w:jc w:val="center"/>
        </w:trPr>
        <w:tc>
          <w:tcPr>
            <w:tcW w:w="4391" w:type="dxa"/>
            <w:vAlign w:val="center"/>
          </w:tcPr>
          <w:p w14:paraId="7DE2FC83" w14:textId="77777777" w:rsidR="00D22B5D" w:rsidRPr="00AF6CF3" w:rsidRDefault="00D22B5D" w:rsidP="0015441E">
            <w:pPr>
              <w:pStyle w:val="tabulka"/>
              <w:rPr>
                <w:lang w:eastAsia="cs-CZ"/>
              </w:rPr>
            </w:pPr>
            <w:r w:rsidRPr="00AF6CF3">
              <w:rPr>
                <w:lang w:eastAsia="cs-CZ"/>
              </w:rPr>
              <w:t>Power BI Premium Per User</w:t>
            </w:r>
          </w:p>
        </w:tc>
        <w:tc>
          <w:tcPr>
            <w:tcW w:w="2551" w:type="dxa"/>
            <w:vAlign w:val="center"/>
          </w:tcPr>
          <w:p w14:paraId="07FE1A8A" w14:textId="185555BF" w:rsidR="00D22B5D" w:rsidRPr="00AF6CF3" w:rsidRDefault="00BC2EA5" w:rsidP="0015441E">
            <w:pPr>
              <w:pStyle w:val="tabulka"/>
              <w:tabs>
                <w:tab w:val="left" w:pos="270"/>
                <w:tab w:val="right" w:pos="1939"/>
              </w:tabs>
              <w:jc w:val="center"/>
              <w:rPr>
                <w:lang w:eastAsia="cs-CZ"/>
              </w:rPr>
            </w:pPr>
            <w:r w:rsidRPr="00AF6CF3">
              <w:rPr>
                <w:lang w:eastAsia="cs-CZ"/>
              </w:rPr>
              <w:t>23,63</w:t>
            </w:r>
            <w:r w:rsidR="00D22B5D" w:rsidRPr="00AF6CF3">
              <w:rPr>
                <w:lang w:eastAsia="cs-CZ"/>
              </w:rPr>
              <w:t xml:space="preserve"> EUR</w:t>
            </w:r>
          </w:p>
        </w:tc>
        <w:tc>
          <w:tcPr>
            <w:tcW w:w="2410" w:type="dxa"/>
            <w:vAlign w:val="center"/>
          </w:tcPr>
          <w:p w14:paraId="3A4CD7CE" w14:textId="788C6DC9" w:rsidR="00D22B5D" w:rsidRPr="00AF6CF3" w:rsidRDefault="00BC2EA5" w:rsidP="0015441E">
            <w:pPr>
              <w:pStyle w:val="tabulka"/>
              <w:tabs>
                <w:tab w:val="left" w:pos="270"/>
                <w:tab w:val="right" w:pos="1939"/>
              </w:tabs>
              <w:jc w:val="center"/>
              <w:rPr>
                <w:lang w:eastAsia="cs-CZ"/>
              </w:rPr>
            </w:pPr>
            <w:r w:rsidRPr="00AF6CF3">
              <w:rPr>
                <w:lang w:eastAsia="cs-CZ"/>
              </w:rPr>
              <w:t>270,00</w:t>
            </w:r>
            <w:r w:rsidR="00D22B5D" w:rsidRPr="00AF6CF3">
              <w:rPr>
                <w:lang w:eastAsia="cs-CZ"/>
              </w:rPr>
              <w:t xml:space="preserve"> EUR</w:t>
            </w:r>
          </w:p>
        </w:tc>
      </w:tr>
      <w:tr w:rsidR="00D22B5D" w:rsidRPr="00112F2D" w14:paraId="08490F44" w14:textId="77777777" w:rsidTr="0015441E">
        <w:trPr>
          <w:trHeight w:val="272"/>
          <w:jc w:val="center"/>
        </w:trPr>
        <w:tc>
          <w:tcPr>
            <w:tcW w:w="4391" w:type="dxa"/>
            <w:vAlign w:val="center"/>
          </w:tcPr>
          <w:p w14:paraId="612C083C" w14:textId="77777777" w:rsidR="00D22B5D" w:rsidRPr="00AF6CF3" w:rsidRDefault="00D22B5D" w:rsidP="0015441E">
            <w:pPr>
              <w:pStyle w:val="tabulka"/>
              <w:rPr>
                <w:lang w:eastAsia="cs-CZ"/>
              </w:rPr>
            </w:pPr>
            <w:r w:rsidRPr="00AF6CF3">
              <w:rPr>
                <w:lang w:eastAsia="cs-CZ"/>
              </w:rPr>
              <w:t>Power Apps per app plan</w:t>
            </w:r>
          </w:p>
        </w:tc>
        <w:tc>
          <w:tcPr>
            <w:tcW w:w="2551" w:type="dxa"/>
            <w:vAlign w:val="center"/>
          </w:tcPr>
          <w:p w14:paraId="7144C900" w14:textId="5377E400" w:rsidR="00D22B5D" w:rsidRPr="00AF6CF3" w:rsidRDefault="00D22B5D" w:rsidP="0015441E">
            <w:pPr>
              <w:pStyle w:val="tabulka"/>
              <w:tabs>
                <w:tab w:val="left" w:pos="270"/>
                <w:tab w:val="right" w:pos="1939"/>
              </w:tabs>
              <w:jc w:val="center"/>
              <w:rPr>
                <w:lang w:eastAsia="cs-CZ"/>
              </w:rPr>
            </w:pPr>
            <w:r w:rsidRPr="00AF6CF3">
              <w:rPr>
                <w:lang w:eastAsia="cs-CZ"/>
              </w:rPr>
              <w:t>4,</w:t>
            </w:r>
            <w:r w:rsidR="00BC2EA5" w:rsidRPr="00AF6CF3">
              <w:rPr>
                <w:lang w:eastAsia="cs-CZ"/>
              </w:rPr>
              <w:t>94</w:t>
            </w:r>
            <w:r w:rsidRPr="00AF6CF3">
              <w:rPr>
                <w:lang w:eastAsia="cs-CZ"/>
              </w:rPr>
              <w:t xml:space="preserve"> EUR</w:t>
            </w:r>
          </w:p>
        </w:tc>
        <w:tc>
          <w:tcPr>
            <w:tcW w:w="2410" w:type="dxa"/>
            <w:vAlign w:val="center"/>
          </w:tcPr>
          <w:p w14:paraId="76DFF1B8" w14:textId="77777777" w:rsidR="00D22B5D" w:rsidRPr="00AF6CF3" w:rsidRDefault="00D22B5D" w:rsidP="0015441E">
            <w:pPr>
              <w:pStyle w:val="tabulka"/>
              <w:tabs>
                <w:tab w:val="left" w:pos="270"/>
                <w:tab w:val="right" w:pos="1939"/>
              </w:tabs>
              <w:jc w:val="center"/>
              <w:rPr>
                <w:lang w:eastAsia="cs-CZ"/>
              </w:rPr>
            </w:pPr>
            <w:r w:rsidRPr="00AF6CF3">
              <w:rPr>
                <w:lang w:eastAsia="cs-CZ"/>
              </w:rPr>
              <w:t>56,40 EUR</w:t>
            </w:r>
          </w:p>
        </w:tc>
      </w:tr>
      <w:tr w:rsidR="00D22B5D" w:rsidRPr="00112F2D" w14:paraId="2E01E9DC" w14:textId="77777777" w:rsidTr="0015441E">
        <w:trPr>
          <w:trHeight w:val="272"/>
          <w:jc w:val="center"/>
        </w:trPr>
        <w:tc>
          <w:tcPr>
            <w:tcW w:w="4391" w:type="dxa"/>
            <w:vAlign w:val="center"/>
          </w:tcPr>
          <w:p w14:paraId="75DB5B12" w14:textId="79D4AEB3" w:rsidR="00D22B5D" w:rsidRPr="00AF6CF3" w:rsidRDefault="00754E3A" w:rsidP="0015441E">
            <w:pPr>
              <w:pStyle w:val="tabulka"/>
              <w:rPr>
                <w:lang w:eastAsia="cs-CZ"/>
              </w:rPr>
            </w:pPr>
            <w:r w:rsidRPr="00AF6CF3">
              <w:rPr>
                <w:lang w:eastAsia="cs-CZ"/>
              </w:rPr>
              <w:t>Power Apps Premium</w:t>
            </w:r>
          </w:p>
        </w:tc>
        <w:tc>
          <w:tcPr>
            <w:tcW w:w="2551" w:type="dxa"/>
            <w:vAlign w:val="center"/>
          </w:tcPr>
          <w:p w14:paraId="7B41CAA8" w14:textId="42372BB5" w:rsidR="00D22B5D" w:rsidRPr="00AF6CF3" w:rsidRDefault="00D22B5D" w:rsidP="0015441E">
            <w:pPr>
              <w:pStyle w:val="tabulka"/>
              <w:tabs>
                <w:tab w:val="left" w:pos="270"/>
                <w:tab w:val="right" w:pos="1939"/>
              </w:tabs>
              <w:jc w:val="center"/>
              <w:rPr>
                <w:lang w:eastAsia="cs-CZ"/>
              </w:rPr>
            </w:pPr>
            <w:r w:rsidRPr="00AF6CF3">
              <w:rPr>
                <w:lang w:eastAsia="cs-CZ"/>
              </w:rPr>
              <w:t>1</w:t>
            </w:r>
            <w:r w:rsidR="00754E3A" w:rsidRPr="00AF6CF3">
              <w:rPr>
                <w:lang w:eastAsia="cs-CZ"/>
              </w:rPr>
              <w:t>9,64</w:t>
            </w:r>
            <w:r w:rsidRPr="00AF6CF3">
              <w:rPr>
                <w:lang w:eastAsia="cs-CZ"/>
              </w:rPr>
              <w:t xml:space="preserve"> EUR</w:t>
            </w:r>
          </w:p>
        </w:tc>
        <w:tc>
          <w:tcPr>
            <w:tcW w:w="2410" w:type="dxa"/>
            <w:vAlign w:val="center"/>
          </w:tcPr>
          <w:p w14:paraId="26087875" w14:textId="77777777" w:rsidR="00D22B5D" w:rsidRPr="00AF6CF3" w:rsidRDefault="00D22B5D" w:rsidP="0015441E">
            <w:pPr>
              <w:pStyle w:val="tabulka"/>
              <w:tabs>
                <w:tab w:val="left" w:pos="270"/>
                <w:tab w:val="right" w:pos="1939"/>
              </w:tabs>
              <w:jc w:val="center"/>
              <w:rPr>
                <w:lang w:eastAsia="cs-CZ"/>
              </w:rPr>
            </w:pPr>
            <w:r w:rsidRPr="00AF6CF3">
              <w:rPr>
                <w:lang w:eastAsia="cs-CZ"/>
              </w:rPr>
              <w:t>224,40 EUR</w:t>
            </w:r>
          </w:p>
        </w:tc>
      </w:tr>
      <w:tr w:rsidR="00D22B5D" w:rsidRPr="00112F2D" w14:paraId="0072035E" w14:textId="77777777" w:rsidTr="0015441E">
        <w:trPr>
          <w:trHeight w:val="272"/>
          <w:jc w:val="center"/>
        </w:trPr>
        <w:tc>
          <w:tcPr>
            <w:tcW w:w="4391" w:type="dxa"/>
            <w:vAlign w:val="center"/>
          </w:tcPr>
          <w:p w14:paraId="1A757018" w14:textId="4B60DFB3" w:rsidR="00D22B5D" w:rsidRPr="00AF6CF3" w:rsidRDefault="00A0147E" w:rsidP="0015441E">
            <w:pPr>
              <w:pStyle w:val="tabulka"/>
              <w:rPr>
                <w:lang w:eastAsia="cs-CZ"/>
              </w:rPr>
            </w:pPr>
            <w:r w:rsidRPr="00AF6CF3">
              <w:rPr>
                <w:lang w:eastAsia="cs-CZ"/>
              </w:rPr>
              <w:t>Planner</w:t>
            </w:r>
            <w:r w:rsidR="00D22B5D" w:rsidRPr="00AF6CF3">
              <w:rPr>
                <w:lang w:eastAsia="cs-CZ"/>
              </w:rPr>
              <w:t xml:space="preserve"> Plan 1</w:t>
            </w:r>
          </w:p>
        </w:tc>
        <w:tc>
          <w:tcPr>
            <w:tcW w:w="2551" w:type="dxa"/>
            <w:vAlign w:val="center"/>
          </w:tcPr>
          <w:p w14:paraId="265A1406" w14:textId="633F7F6F" w:rsidR="00D22B5D" w:rsidRPr="00AF6CF3" w:rsidRDefault="00D22B5D" w:rsidP="0015441E">
            <w:pPr>
              <w:pStyle w:val="tabulka"/>
              <w:tabs>
                <w:tab w:val="left" w:pos="270"/>
                <w:tab w:val="right" w:pos="1939"/>
              </w:tabs>
              <w:jc w:val="center"/>
              <w:rPr>
                <w:lang w:eastAsia="cs-CZ"/>
              </w:rPr>
            </w:pPr>
            <w:r w:rsidRPr="00AF6CF3">
              <w:rPr>
                <w:lang w:eastAsia="cs-CZ"/>
              </w:rPr>
              <w:t>9,</w:t>
            </w:r>
            <w:r w:rsidR="00C15A31" w:rsidRPr="00AF6CF3">
              <w:rPr>
                <w:lang w:eastAsia="cs-CZ"/>
              </w:rPr>
              <w:t>87</w:t>
            </w:r>
            <w:r w:rsidRPr="00AF6CF3">
              <w:rPr>
                <w:lang w:eastAsia="cs-CZ"/>
              </w:rPr>
              <w:t xml:space="preserve"> EUR</w:t>
            </w:r>
          </w:p>
        </w:tc>
        <w:tc>
          <w:tcPr>
            <w:tcW w:w="2410" w:type="dxa"/>
            <w:vAlign w:val="center"/>
          </w:tcPr>
          <w:p w14:paraId="68BEF2B5" w14:textId="77777777" w:rsidR="00D22B5D" w:rsidRPr="00AF6CF3" w:rsidRDefault="00D22B5D" w:rsidP="0015441E">
            <w:pPr>
              <w:pStyle w:val="tabulka"/>
              <w:tabs>
                <w:tab w:val="left" w:pos="270"/>
                <w:tab w:val="right" w:pos="1939"/>
              </w:tabs>
              <w:jc w:val="center"/>
              <w:rPr>
                <w:lang w:eastAsia="cs-CZ"/>
              </w:rPr>
            </w:pPr>
            <w:r w:rsidRPr="00AF6CF3">
              <w:rPr>
                <w:lang w:eastAsia="cs-CZ"/>
              </w:rPr>
              <w:t>112,80 EUR</w:t>
            </w:r>
          </w:p>
        </w:tc>
      </w:tr>
      <w:tr w:rsidR="00D22B5D" w:rsidRPr="00C14D57" w14:paraId="4AFF3665" w14:textId="77777777" w:rsidTr="0015441E">
        <w:trPr>
          <w:trHeight w:val="272"/>
          <w:jc w:val="center"/>
        </w:trPr>
        <w:tc>
          <w:tcPr>
            <w:tcW w:w="4391" w:type="dxa"/>
            <w:vAlign w:val="center"/>
          </w:tcPr>
          <w:p w14:paraId="30F7D90F" w14:textId="00529785" w:rsidR="00D22B5D" w:rsidRPr="00AF6CF3" w:rsidRDefault="00A0147E" w:rsidP="0015441E">
            <w:pPr>
              <w:pStyle w:val="tabulka"/>
              <w:rPr>
                <w:lang w:eastAsia="cs-CZ"/>
              </w:rPr>
            </w:pPr>
            <w:r w:rsidRPr="00AF6CF3">
              <w:rPr>
                <w:lang w:eastAsia="cs-CZ"/>
              </w:rPr>
              <w:t xml:space="preserve">Planner and </w:t>
            </w:r>
            <w:r w:rsidR="00D22B5D" w:rsidRPr="00AF6CF3">
              <w:rPr>
                <w:lang w:eastAsia="cs-CZ"/>
              </w:rPr>
              <w:t>Project Plan 3</w:t>
            </w:r>
          </w:p>
        </w:tc>
        <w:tc>
          <w:tcPr>
            <w:tcW w:w="2551" w:type="dxa"/>
            <w:vAlign w:val="center"/>
          </w:tcPr>
          <w:p w14:paraId="2F4ED8DC" w14:textId="1A0174CB" w:rsidR="00D22B5D" w:rsidRPr="00AF6CF3" w:rsidRDefault="00D22B5D" w:rsidP="0015441E">
            <w:pPr>
              <w:pStyle w:val="tabulka"/>
              <w:tabs>
                <w:tab w:val="left" w:pos="270"/>
                <w:tab w:val="right" w:pos="1939"/>
              </w:tabs>
              <w:jc w:val="center"/>
              <w:rPr>
                <w:lang w:eastAsia="cs-CZ"/>
              </w:rPr>
            </w:pPr>
            <w:r w:rsidRPr="00AF6CF3">
              <w:rPr>
                <w:lang w:eastAsia="cs-CZ"/>
              </w:rPr>
              <w:t>2</w:t>
            </w:r>
            <w:r w:rsidR="00AF6CF3" w:rsidRPr="00AF6CF3">
              <w:rPr>
                <w:lang w:eastAsia="cs-CZ"/>
              </w:rPr>
              <w:t>9</w:t>
            </w:r>
            <w:r w:rsidR="00A0147E" w:rsidRPr="00AF6CF3">
              <w:rPr>
                <w:lang w:eastAsia="cs-CZ"/>
              </w:rPr>
              <w:t>,51</w:t>
            </w:r>
            <w:r w:rsidRPr="00AF6CF3">
              <w:rPr>
                <w:lang w:eastAsia="cs-CZ"/>
              </w:rPr>
              <w:t xml:space="preserve"> EUR</w:t>
            </w:r>
          </w:p>
        </w:tc>
        <w:tc>
          <w:tcPr>
            <w:tcW w:w="2410" w:type="dxa"/>
            <w:vAlign w:val="center"/>
          </w:tcPr>
          <w:p w14:paraId="7EE24F0A" w14:textId="77777777" w:rsidR="00D22B5D" w:rsidRPr="00C14D57" w:rsidRDefault="00D22B5D" w:rsidP="0015441E">
            <w:pPr>
              <w:pStyle w:val="tabulka"/>
              <w:tabs>
                <w:tab w:val="left" w:pos="270"/>
                <w:tab w:val="right" w:pos="1939"/>
              </w:tabs>
              <w:jc w:val="center"/>
              <w:rPr>
                <w:highlight w:val="green"/>
                <w:lang w:eastAsia="cs-CZ"/>
              </w:rPr>
            </w:pPr>
            <w:r w:rsidRPr="00AF6CF3">
              <w:rPr>
                <w:lang w:eastAsia="cs-CZ"/>
              </w:rPr>
              <w:t>337,20 EUR</w:t>
            </w:r>
          </w:p>
        </w:tc>
      </w:tr>
      <w:tr w:rsidR="00D22B5D" w:rsidRPr="00112F2D" w14:paraId="5DAB57BD" w14:textId="77777777" w:rsidTr="0015441E">
        <w:trPr>
          <w:trHeight w:val="272"/>
          <w:jc w:val="center"/>
        </w:trPr>
        <w:tc>
          <w:tcPr>
            <w:tcW w:w="4391" w:type="dxa"/>
            <w:vAlign w:val="center"/>
          </w:tcPr>
          <w:p w14:paraId="3BD69762" w14:textId="0BC20D4A" w:rsidR="00D22B5D" w:rsidRPr="00AF6CF3" w:rsidRDefault="00A0147E" w:rsidP="0015441E">
            <w:pPr>
              <w:pStyle w:val="tabulka"/>
              <w:rPr>
                <w:lang w:eastAsia="cs-CZ"/>
              </w:rPr>
            </w:pPr>
            <w:r w:rsidRPr="00AF6CF3">
              <w:rPr>
                <w:lang w:eastAsia="cs-CZ"/>
              </w:rPr>
              <w:t xml:space="preserve">Planner and </w:t>
            </w:r>
            <w:r w:rsidR="00D22B5D" w:rsidRPr="00AF6CF3">
              <w:rPr>
                <w:lang w:eastAsia="cs-CZ"/>
              </w:rPr>
              <w:t>Project Plan 5</w:t>
            </w:r>
          </w:p>
        </w:tc>
        <w:tc>
          <w:tcPr>
            <w:tcW w:w="2551" w:type="dxa"/>
            <w:vAlign w:val="center"/>
          </w:tcPr>
          <w:p w14:paraId="327A6A83" w14:textId="40CFFE81" w:rsidR="00D22B5D" w:rsidRPr="00AF6CF3" w:rsidRDefault="00D22B5D" w:rsidP="0015441E">
            <w:pPr>
              <w:pStyle w:val="tabulka"/>
              <w:tabs>
                <w:tab w:val="left" w:pos="270"/>
                <w:tab w:val="right" w:pos="1939"/>
              </w:tabs>
              <w:jc w:val="center"/>
              <w:rPr>
                <w:lang w:eastAsia="cs-CZ"/>
              </w:rPr>
            </w:pPr>
            <w:r w:rsidRPr="00AF6CF3">
              <w:rPr>
                <w:lang w:eastAsia="cs-CZ"/>
              </w:rPr>
              <w:t>5</w:t>
            </w:r>
            <w:r w:rsidR="00A0147E" w:rsidRPr="00AF6CF3">
              <w:rPr>
                <w:lang w:eastAsia="cs-CZ"/>
              </w:rPr>
              <w:t>4,08</w:t>
            </w:r>
            <w:r w:rsidRPr="00AF6CF3">
              <w:rPr>
                <w:lang w:eastAsia="cs-CZ"/>
              </w:rPr>
              <w:t xml:space="preserve"> EUR</w:t>
            </w:r>
          </w:p>
        </w:tc>
        <w:tc>
          <w:tcPr>
            <w:tcW w:w="2410" w:type="dxa"/>
            <w:vAlign w:val="center"/>
          </w:tcPr>
          <w:p w14:paraId="1D54EA40" w14:textId="77777777" w:rsidR="00D22B5D" w:rsidRPr="00AF6CF3" w:rsidRDefault="00D22B5D" w:rsidP="0015441E">
            <w:pPr>
              <w:pStyle w:val="tabulka"/>
              <w:tabs>
                <w:tab w:val="left" w:pos="270"/>
                <w:tab w:val="right" w:pos="1939"/>
              </w:tabs>
              <w:jc w:val="center"/>
              <w:rPr>
                <w:lang w:eastAsia="cs-CZ"/>
              </w:rPr>
            </w:pPr>
            <w:r w:rsidRPr="00AF6CF3">
              <w:rPr>
                <w:lang w:eastAsia="cs-CZ"/>
              </w:rPr>
              <w:t>618,00 EUR</w:t>
            </w:r>
          </w:p>
        </w:tc>
      </w:tr>
      <w:tr w:rsidR="00D22B5D" w:rsidRPr="00112F2D" w14:paraId="37A873CB" w14:textId="77777777" w:rsidTr="0015441E">
        <w:trPr>
          <w:trHeight w:val="272"/>
          <w:jc w:val="center"/>
        </w:trPr>
        <w:tc>
          <w:tcPr>
            <w:tcW w:w="4391" w:type="dxa"/>
            <w:vAlign w:val="center"/>
          </w:tcPr>
          <w:p w14:paraId="1151DA3C" w14:textId="77777777" w:rsidR="00D22B5D" w:rsidRPr="00AF6CF3" w:rsidRDefault="00D22B5D" w:rsidP="0015441E">
            <w:pPr>
              <w:pStyle w:val="tabulka"/>
              <w:rPr>
                <w:lang w:eastAsia="cs-CZ"/>
              </w:rPr>
            </w:pPr>
            <w:r w:rsidRPr="00AF6CF3">
              <w:rPr>
                <w:lang w:eastAsia="cs-CZ"/>
              </w:rPr>
              <w:t>Visio Plan 1</w:t>
            </w:r>
          </w:p>
        </w:tc>
        <w:tc>
          <w:tcPr>
            <w:tcW w:w="2551" w:type="dxa"/>
            <w:vAlign w:val="center"/>
          </w:tcPr>
          <w:p w14:paraId="0C2DEAD8" w14:textId="73BBC52D" w:rsidR="00D22B5D" w:rsidRPr="00AF6CF3" w:rsidRDefault="00D22B5D" w:rsidP="0015441E">
            <w:pPr>
              <w:pStyle w:val="tabulka"/>
              <w:tabs>
                <w:tab w:val="left" w:pos="270"/>
                <w:tab w:val="right" w:pos="1939"/>
              </w:tabs>
              <w:jc w:val="center"/>
              <w:rPr>
                <w:lang w:eastAsia="cs-CZ"/>
              </w:rPr>
            </w:pPr>
            <w:r w:rsidRPr="00AF6CF3">
              <w:rPr>
                <w:lang w:eastAsia="cs-CZ"/>
              </w:rPr>
              <w:t>4,</w:t>
            </w:r>
            <w:r w:rsidR="00A0147E" w:rsidRPr="00AF6CF3">
              <w:rPr>
                <w:lang w:eastAsia="cs-CZ"/>
              </w:rPr>
              <w:t>94</w:t>
            </w:r>
            <w:r w:rsidRPr="00AF6CF3">
              <w:rPr>
                <w:lang w:eastAsia="cs-CZ"/>
              </w:rPr>
              <w:t xml:space="preserve"> EUR</w:t>
            </w:r>
          </w:p>
        </w:tc>
        <w:tc>
          <w:tcPr>
            <w:tcW w:w="2410" w:type="dxa"/>
            <w:vAlign w:val="center"/>
          </w:tcPr>
          <w:p w14:paraId="5897190A" w14:textId="77777777" w:rsidR="00D22B5D" w:rsidRPr="00AF6CF3" w:rsidRDefault="00D22B5D" w:rsidP="0015441E">
            <w:pPr>
              <w:pStyle w:val="tabulka"/>
              <w:tabs>
                <w:tab w:val="left" w:pos="270"/>
                <w:tab w:val="right" w:pos="1939"/>
              </w:tabs>
              <w:jc w:val="center"/>
              <w:rPr>
                <w:lang w:eastAsia="cs-CZ"/>
              </w:rPr>
            </w:pPr>
            <w:r w:rsidRPr="00AF6CF3">
              <w:rPr>
                <w:lang w:eastAsia="cs-CZ"/>
              </w:rPr>
              <w:t>56,40 EUR</w:t>
            </w:r>
          </w:p>
        </w:tc>
      </w:tr>
      <w:tr w:rsidR="00D22B5D" w:rsidRPr="00112F2D" w14:paraId="0F84E9AF" w14:textId="77777777" w:rsidTr="0015441E">
        <w:trPr>
          <w:trHeight w:val="272"/>
          <w:jc w:val="center"/>
        </w:trPr>
        <w:tc>
          <w:tcPr>
            <w:tcW w:w="4391" w:type="dxa"/>
            <w:vAlign w:val="center"/>
          </w:tcPr>
          <w:p w14:paraId="546F0072" w14:textId="77777777" w:rsidR="00D22B5D" w:rsidRPr="00AF6CF3" w:rsidRDefault="00D22B5D" w:rsidP="0015441E">
            <w:pPr>
              <w:pStyle w:val="tabulka"/>
              <w:rPr>
                <w:lang w:eastAsia="cs-CZ"/>
              </w:rPr>
            </w:pPr>
            <w:r w:rsidRPr="00AF6CF3">
              <w:rPr>
                <w:lang w:eastAsia="cs-CZ"/>
              </w:rPr>
              <w:t>Viso Plan 2</w:t>
            </w:r>
          </w:p>
        </w:tc>
        <w:tc>
          <w:tcPr>
            <w:tcW w:w="2551" w:type="dxa"/>
            <w:vAlign w:val="center"/>
          </w:tcPr>
          <w:p w14:paraId="4170FD1D" w14:textId="6FAC3124" w:rsidR="00D22B5D" w:rsidRPr="00AF6CF3" w:rsidRDefault="00D22B5D" w:rsidP="0015441E">
            <w:pPr>
              <w:pStyle w:val="tabulka"/>
              <w:tabs>
                <w:tab w:val="left" w:pos="270"/>
                <w:tab w:val="right" w:pos="1939"/>
              </w:tabs>
              <w:jc w:val="center"/>
              <w:rPr>
                <w:lang w:eastAsia="cs-CZ"/>
              </w:rPr>
            </w:pPr>
            <w:r w:rsidRPr="00AF6CF3">
              <w:rPr>
                <w:lang w:eastAsia="cs-CZ"/>
              </w:rPr>
              <w:t>14,</w:t>
            </w:r>
            <w:r w:rsidR="00A0147E" w:rsidRPr="00AF6CF3">
              <w:rPr>
                <w:lang w:eastAsia="cs-CZ"/>
              </w:rPr>
              <w:t>70</w:t>
            </w:r>
            <w:r w:rsidRPr="00AF6CF3">
              <w:rPr>
                <w:lang w:eastAsia="cs-CZ"/>
              </w:rPr>
              <w:t xml:space="preserve"> EUR</w:t>
            </w:r>
          </w:p>
        </w:tc>
        <w:tc>
          <w:tcPr>
            <w:tcW w:w="2410" w:type="dxa"/>
            <w:vAlign w:val="center"/>
          </w:tcPr>
          <w:p w14:paraId="26AB2A5D" w14:textId="77777777" w:rsidR="00D22B5D" w:rsidRPr="00AF6CF3" w:rsidRDefault="00D22B5D" w:rsidP="0015441E">
            <w:pPr>
              <w:pStyle w:val="tabulka"/>
              <w:tabs>
                <w:tab w:val="left" w:pos="270"/>
                <w:tab w:val="right" w:pos="1939"/>
              </w:tabs>
              <w:jc w:val="center"/>
              <w:rPr>
                <w:lang w:eastAsia="cs-CZ"/>
              </w:rPr>
            </w:pPr>
            <w:r w:rsidRPr="00AF6CF3">
              <w:rPr>
                <w:lang w:eastAsia="cs-CZ"/>
              </w:rPr>
              <w:t>168,00 EUR</w:t>
            </w:r>
          </w:p>
        </w:tc>
      </w:tr>
      <w:tr w:rsidR="00D22B5D" w14:paraId="5D03122B" w14:textId="77777777" w:rsidTr="0015441E">
        <w:trPr>
          <w:trHeight w:val="272"/>
          <w:jc w:val="center"/>
        </w:trPr>
        <w:tc>
          <w:tcPr>
            <w:tcW w:w="4391" w:type="dxa"/>
            <w:vAlign w:val="center"/>
          </w:tcPr>
          <w:p w14:paraId="7905A561" w14:textId="77777777" w:rsidR="00D22B5D" w:rsidRPr="00AF6CF3" w:rsidRDefault="00D22B5D" w:rsidP="0015441E">
            <w:pPr>
              <w:pStyle w:val="tabulka"/>
              <w:rPr>
                <w:lang w:eastAsia="cs-CZ"/>
              </w:rPr>
            </w:pPr>
            <w:r w:rsidRPr="00AF6CF3">
              <w:rPr>
                <w:lang w:eastAsia="cs-CZ"/>
              </w:rPr>
              <w:t>Dynamics 365 Sales Enterprise Edition</w:t>
            </w:r>
          </w:p>
        </w:tc>
        <w:tc>
          <w:tcPr>
            <w:tcW w:w="2551" w:type="dxa"/>
            <w:vAlign w:val="center"/>
          </w:tcPr>
          <w:p w14:paraId="68A66D07" w14:textId="62B418EE" w:rsidR="00D22B5D" w:rsidRPr="00AF6CF3" w:rsidRDefault="00A0147E" w:rsidP="0015441E">
            <w:pPr>
              <w:pStyle w:val="tabulka"/>
              <w:jc w:val="center"/>
              <w:rPr>
                <w:lang w:eastAsia="cs-CZ"/>
              </w:rPr>
            </w:pPr>
            <w:r w:rsidRPr="00AF6CF3">
              <w:rPr>
                <w:lang w:eastAsia="cs-CZ"/>
              </w:rPr>
              <w:t>103,22</w:t>
            </w:r>
            <w:r w:rsidR="00D22B5D" w:rsidRPr="00AF6CF3">
              <w:rPr>
                <w:lang w:eastAsia="cs-CZ"/>
              </w:rPr>
              <w:t xml:space="preserve"> EUR</w:t>
            </w:r>
          </w:p>
        </w:tc>
        <w:tc>
          <w:tcPr>
            <w:tcW w:w="2410" w:type="dxa"/>
            <w:vAlign w:val="center"/>
          </w:tcPr>
          <w:p w14:paraId="53B189DF" w14:textId="0596B890" w:rsidR="00D22B5D" w:rsidRPr="00AF6CF3" w:rsidRDefault="00D22B5D" w:rsidP="0015441E">
            <w:pPr>
              <w:pStyle w:val="tabulka"/>
              <w:jc w:val="center"/>
              <w:rPr>
                <w:lang w:eastAsia="cs-CZ"/>
              </w:rPr>
            </w:pPr>
            <w:r w:rsidRPr="00AF6CF3">
              <w:rPr>
                <w:lang w:eastAsia="cs-CZ"/>
              </w:rPr>
              <w:t>1</w:t>
            </w:r>
            <w:r w:rsidR="00A0147E" w:rsidRPr="00AF6CF3">
              <w:rPr>
                <w:lang w:eastAsia="cs-CZ"/>
              </w:rPr>
              <w:t> 179,60</w:t>
            </w:r>
            <w:r w:rsidRPr="00AF6CF3">
              <w:rPr>
                <w:lang w:eastAsia="cs-CZ"/>
              </w:rPr>
              <w:t xml:space="preserve"> EUR</w:t>
            </w:r>
          </w:p>
        </w:tc>
      </w:tr>
      <w:tr w:rsidR="00D22B5D" w14:paraId="40C371A2" w14:textId="77777777" w:rsidTr="0015441E">
        <w:trPr>
          <w:trHeight w:val="272"/>
          <w:jc w:val="center"/>
        </w:trPr>
        <w:tc>
          <w:tcPr>
            <w:tcW w:w="4391" w:type="dxa"/>
            <w:vAlign w:val="center"/>
          </w:tcPr>
          <w:p w14:paraId="59DCD383" w14:textId="77777777" w:rsidR="00D22B5D" w:rsidRPr="00AF6CF3" w:rsidRDefault="00D22B5D" w:rsidP="0015441E">
            <w:pPr>
              <w:pStyle w:val="tabulka"/>
              <w:rPr>
                <w:lang w:eastAsia="cs-CZ"/>
              </w:rPr>
            </w:pPr>
            <w:r w:rsidRPr="00AF6CF3">
              <w:rPr>
                <w:lang w:eastAsia="cs-CZ"/>
              </w:rPr>
              <w:t>Dynamics 365 Team Member</w:t>
            </w:r>
          </w:p>
        </w:tc>
        <w:tc>
          <w:tcPr>
            <w:tcW w:w="2551" w:type="dxa"/>
            <w:vAlign w:val="center"/>
          </w:tcPr>
          <w:p w14:paraId="07AB24E8" w14:textId="44237984" w:rsidR="00D22B5D" w:rsidRPr="00AF6CF3" w:rsidRDefault="00D22B5D" w:rsidP="0015441E">
            <w:pPr>
              <w:pStyle w:val="tabulka"/>
              <w:jc w:val="center"/>
              <w:rPr>
                <w:lang w:eastAsia="cs-CZ"/>
              </w:rPr>
            </w:pPr>
            <w:r w:rsidRPr="00AF6CF3">
              <w:rPr>
                <w:lang w:eastAsia="cs-CZ"/>
              </w:rPr>
              <w:t>7,</w:t>
            </w:r>
            <w:r w:rsidR="00390982" w:rsidRPr="00AF6CF3">
              <w:rPr>
                <w:lang w:eastAsia="cs-CZ"/>
              </w:rPr>
              <w:t>87</w:t>
            </w:r>
            <w:r w:rsidRPr="00AF6CF3">
              <w:rPr>
                <w:lang w:eastAsia="cs-CZ"/>
              </w:rPr>
              <w:t xml:space="preserve"> EUR</w:t>
            </w:r>
          </w:p>
        </w:tc>
        <w:tc>
          <w:tcPr>
            <w:tcW w:w="2410" w:type="dxa"/>
            <w:vAlign w:val="center"/>
          </w:tcPr>
          <w:p w14:paraId="4BB3835D" w14:textId="77777777" w:rsidR="00D22B5D" w:rsidRPr="00AF6CF3" w:rsidRDefault="00D22B5D" w:rsidP="0015441E">
            <w:pPr>
              <w:pStyle w:val="tabulka"/>
              <w:jc w:val="center"/>
              <w:rPr>
                <w:lang w:eastAsia="cs-CZ"/>
              </w:rPr>
            </w:pPr>
            <w:r w:rsidRPr="00AF6CF3">
              <w:rPr>
                <w:lang w:eastAsia="cs-CZ"/>
              </w:rPr>
              <w:t>90,00 EUR</w:t>
            </w:r>
          </w:p>
        </w:tc>
      </w:tr>
      <w:tr w:rsidR="00D22B5D" w14:paraId="60558A28" w14:textId="77777777" w:rsidTr="0015441E">
        <w:trPr>
          <w:trHeight w:val="272"/>
          <w:jc w:val="center"/>
        </w:trPr>
        <w:tc>
          <w:tcPr>
            <w:tcW w:w="4391" w:type="dxa"/>
            <w:vAlign w:val="center"/>
          </w:tcPr>
          <w:p w14:paraId="24EB2E71" w14:textId="77777777" w:rsidR="00D22B5D" w:rsidRPr="00AF6CF3" w:rsidRDefault="00D22B5D" w:rsidP="0015441E">
            <w:pPr>
              <w:pStyle w:val="tabulka"/>
              <w:rPr>
                <w:lang w:eastAsia="cs-CZ"/>
              </w:rPr>
            </w:pPr>
            <w:r w:rsidRPr="00AF6CF3">
              <w:rPr>
                <w:lang w:eastAsia="cs-CZ"/>
              </w:rPr>
              <w:t>Dynamics 365 Business Central Essentials</w:t>
            </w:r>
          </w:p>
        </w:tc>
        <w:tc>
          <w:tcPr>
            <w:tcW w:w="2551" w:type="dxa"/>
            <w:vAlign w:val="center"/>
          </w:tcPr>
          <w:p w14:paraId="6D616FAD" w14:textId="1881924A" w:rsidR="00D22B5D" w:rsidRPr="00AF6CF3" w:rsidRDefault="00D22B5D" w:rsidP="0015441E">
            <w:pPr>
              <w:pStyle w:val="tabulka"/>
              <w:jc w:val="center"/>
              <w:rPr>
                <w:lang w:eastAsia="cs-CZ"/>
              </w:rPr>
            </w:pPr>
            <w:r w:rsidRPr="00AF6CF3">
              <w:rPr>
                <w:lang w:eastAsia="cs-CZ"/>
              </w:rPr>
              <w:t>6</w:t>
            </w:r>
            <w:r w:rsidR="00390982" w:rsidRPr="00AF6CF3">
              <w:rPr>
                <w:lang w:eastAsia="cs-CZ"/>
              </w:rPr>
              <w:t>8,78</w:t>
            </w:r>
            <w:r w:rsidRPr="00AF6CF3">
              <w:rPr>
                <w:lang w:eastAsia="cs-CZ"/>
              </w:rPr>
              <w:t xml:space="preserve"> EUR</w:t>
            </w:r>
          </w:p>
        </w:tc>
        <w:tc>
          <w:tcPr>
            <w:tcW w:w="2410" w:type="dxa"/>
            <w:vAlign w:val="center"/>
          </w:tcPr>
          <w:p w14:paraId="4E063CC1" w14:textId="77777777" w:rsidR="00D22B5D" w:rsidRPr="00AF6CF3" w:rsidRDefault="00D22B5D" w:rsidP="0015441E">
            <w:pPr>
              <w:pStyle w:val="tabulka"/>
              <w:jc w:val="center"/>
              <w:rPr>
                <w:lang w:eastAsia="cs-CZ"/>
              </w:rPr>
            </w:pPr>
            <w:r w:rsidRPr="00AF6CF3">
              <w:rPr>
                <w:lang w:eastAsia="cs-CZ"/>
              </w:rPr>
              <w:t>786,00 EUR</w:t>
            </w:r>
          </w:p>
        </w:tc>
      </w:tr>
      <w:tr w:rsidR="00D22B5D" w14:paraId="1B122488" w14:textId="77777777" w:rsidTr="0015441E">
        <w:trPr>
          <w:trHeight w:val="272"/>
          <w:jc w:val="center"/>
        </w:trPr>
        <w:tc>
          <w:tcPr>
            <w:tcW w:w="4391" w:type="dxa"/>
            <w:vAlign w:val="center"/>
          </w:tcPr>
          <w:p w14:paraId="4CA21CC3" w14:textId="77777777" w:rsidR="00D22B5D" w:rsidRPr="00AF6CF3" w:rsidRDefault="00D22B5D" w:rsidP="0015441E">
            <w:pPr>
              <w:pStyle w:val="tabulka"/>
              <w:rPr>
                <w:lang w:eastAsia="cs-CZ"/>
              </w:rPr>
            </w:pPr>
            <w:r w:rsidRPr="00AF6CF3">
              <w:rPr>
                <w:lang w:eastAsia="cs-CZ"/>
              </w:rPr>
              <w:t>Dynamics 365 Customer Service Enterprise</w:t>
            </w:r>
          </w:p>
        </w:tc>
        <w:tc>
          <w:tcPr>
            <w:tcW w:w="2551" w:type="dxa"/>
            <w:vAlign w:val="center"/>
          </w:tcPr>
          <w:p w14:paraId="023644D4" w14:textId="32F1EA00" w:rsidR="00D22B5D" w:rsidRPr="00AF6CF3" w:rsidRDefault="00390982" w:rsidP="0015441E">
            <w:pPr>
              <w:pStyle w:val="tabulka"/>
              <w:jc w:val="center"/>
              <w:rPr>
                <w:lang w:eastAsia="cs-CZ"/>
              </w:rPr>
            </w:pPr>
            <w:r w:rsidRPr="00AF6CF3">
              <w:rPr>
                <w:lang w:eastAsia="cs-CZ"/>
              </w:rPr>
              <w:t xml:space="preserve">103,22 </w:t>
            </w:r>
            <w:r w:rsidR="00D22B5D" w:rsidRPr="00AF6CF3">
              <w:rPr>
                <w:lang w:eastAsia="cs-CZ"/>
              </w:rPr>
              <w:t>EUR</w:t>
            </w:r>
          </w:p>
        </w:tc>
        <w:tc>
          <w:tcPr>
            <w:tcW w:w="2410" w:type="dxa"/>
            <w:vAlign w:val="center"/>
          </w:tcPr>
          <w:p w14:paraId="76FB2046" w14:textId="5EA78864" w:rsidR="00D22B5D" w:rsidRPr="00AF6CF3" w:rsidRDefault="00D22B5D" w:rsidP="0015441E">
            <w:pPr>
              <w:pStyle w:val="tabulka"/>
              <w:jc w:val="center"/>
              <w:rPr>
                <w:lang w:eastAsia="cs-CZ"/>
              </w:rPr>
            </w:pPr>
            <w:r w:rsidRPr="00AF6CF3">
              <w:rPr>
                <w:lang w:eastAsia="cs-CZ"/>
              </w:rPr>
              <w:t>1</w:t>
            </w:r>
            <w:r w:rsidR="00390982" w:rsidRPr="00AF6CF3">
              <w:rPr>
                <w:lang w:eastAsia="cs-CZ"/>
              </w:rPr>
              <w:t> 179,60</w:t>
            </w:r>
            <w:r w:rsidRPr="00AF6CF3">
              <w:rPr>
                <w:lang w:eastAsia="cs-CZ"/>
              </w:rPr>
              <w:t xml:space="preserve"> EUR</w:t>
            </w:r>
          </w:p>
        </w:tc>
      </w:tr>
      <w:tr w:rsidR="00D22B5D" w14:paraId="0F9C4228" w14:textId="77777777" w:rsidTr="0015441E">
        <w:trPr>
          <w:trHeight w:val="272"/>
          <w:jc w:val="center"/>
        </w:trPr>
        <w:tc>
          <w:tcPr>
            <w:tcW w:w="4391" w:type="dxa"/>
            <w:vAlign w:val="center"/>
          </w:tcPr>
          <w:p w14:paraId="22102CA1" w14:textId="77777777" w:rsidR="00D22B5D" w:rsidRPr="00AF6CF3" w:rsidRDefault="00D22B5D" w:rsidP="0015441E">
            <w:pPr>
              <w:pStyle w:val="tabulka"/>
              <w:rPr>
                <w:lang w:eastAsia="cs-CZ"/>
              </w:rPr>
            </w:pPr>
            <w:r w:rsidRPr="00AF6CF3">
              <w:rPr>
                <w:lang w:eastAsia="cs-CZ"/>
              </w:rPr>
              <w:t>Dynamics 365 Field Service</w:t>
            </w:r>
          </w:p>
        </w:tc>
        <w:tc>
          <w:tcPr>
            <w:tcW w:w="2551" w:type="dxa"/>
            <w:vAlign w:val="center"/>
          </w:tcPr>
          <w:p w14:paraId="618CF14E" w14:textId="4807543B" w:rsidR="00D22B5D" w:rsidRPr="00AF6CF3" w:rsidRDefault="00390982" w:rsidP="0015441E">
            <w:pPr>
              <w:pStyle w:val="tabulka"/>
              <w:jc w:val="center"/>
              <w:rPr>
                <w:lang w:eastAsia="cs-CZ"/>
              </w:rPr>
            </w:pPr>
            <w:r w:rsidRPr="00AF6CF3">
              <w:rPr>
                <w:lang w:eastAsia="cs-CZ"/>
              </w:rPr>
              <w:t>103,22</w:t>
            </w:r>
            <w:r w:rsidR="00D22B5D" w:rsidRPr="00AF6CF3">
              <w:rPr>
                <w:lang w:eastAsia="cs-CZ"/>
              </w:rPr>
              <w:t xml:space="preserve"> EUR</w:t>
            </w:r>
          </w:p>
        </w:tc>
        <w:tc>
          <w:tcPr>
            <w:tcW w:w="2410" w:type="dxa"/>
            <w:vAlign w:val="center"/>
          </w:tcPr>
          <w:p w14:paraId="77122ED9" w14:textId="68A210B5" w:rsidR="00D22B5D" w:rsidRPr="00AF6CF3" w:rsidRDefault="00D22B5D" w:rsidP="0015441E">
            <w:pPr>
              <w:pStyle w:val="tabulka"/>
              <w:jc w:val="center"/>
              <w:rPr>
                <w:lang w:eastAsia="cs-CZ"/>
              </w:rPr>
            </w:pPr>
            <w:r w:rsidRPr="00AF6CF3">
              <w:rPr>
                <w:lang w:eastAsia="cs-CZ"/>
              </w:rPr>
              <w:t>1</w:t>
            </w:r>
            <w:r w:rsidR="00390982" w:rsidRPr="00AF6CF3">
              <w:rPr>
                <w:lang w:eastAsia="cs-CZ"/>
              </w:rPr>
              <w:t> 179,60</w:t>
            </w:r>
            <w:r w:rsidRPr="00AF6CF3">
              <w:rPr>
                <w:lang w:eastAsia="cs-CZ"/>
              </w:rPr>
              <w:t xml:space="preserve"> EUR</w:t>
            </w:r>
          </w:p>
        </w:tc>
      </w:tr>
      <w:tr w:rsidR="00D22B5D" w14:paraId="748F6C3E" w14:textId="77777777" w:rsidTr="0015441E">
        <w:trPr>
          <w:trHeight w:val="272"/>
          <w:jc w:val="center"/>
        </w:trPr>
        <w:tc>
          <w:tcPr>
            <w:tcW w:w="4391" w:type="dxa"/>
            <w:vAlign w:val="center"/>
          </w:tcPr>
          <w:p w14:paraId="78A2ADCD" w14:textId="70C390DB" w:rsidR="00D22B5D" w:rsidRPr="00AF6CF3" w:rsidRDefault="00D22B5D" w:rsidP="0015441E">
            <w:pPr>
              <w:pStyle w:val="tabulka"/>
              <w:rPr>
                <w:lang w:eastAsia="cs-CZ"/>
              </w:rPr>
            </w:pPr>
            <w:r w:rsidRPr="00AF6CF3">
              <w:rPr>
                <w:lang w:eastAsia="cs-CZ"/>
              </w:rPr>
              <w:t>Database Capacity</w:t>
            </w:r>
            <w:r w:rsidR="00390982" w:rsidRPr="00AF6CF3">
              <w:rPr>
                <w:lang w:eastAsia="cs-CZ"/>
              </w:rPr>
              <w:t xml:space="preserve"> add-on</w:t>
            </w:r>
          </w:p>
        </w:tc>
        <w:tc>
          <w:tcPr>
            <w:tcW w:w="2551" w:type="dxa"/>
            <w:vAlign w:val="center"/>
          </w:tcPr>
          <w:p w14:paraId="13F2974C" w14:textId="03B2BBEA" w:rsidR="00D22B5D" w:rsidRPr="00AF6CF3" w:rsidRDefault="00390982" w:rsidP="0015441E">
            <w:pPr>
              <w:pStyle w:val="tabulka"/>
              <w:jc w:val="center"/>
              <w:rPr>
                <w:lang w:eastAsia="cs-CZ"/>
              </w:rPr>
            </w:pPr>
            <w:r w:rsidRPr="00AF6CF3">
              <w:rPr>
                <w:lang w:eastAsia="cs-CZ"/>
              </w:rPr>
              <w:t>39,27</w:t>
            </w:r>
            <w:r w:rsidR="00D22B5D" w:rsidRPr="00AF6CF3">
              <w:rPr>
                <w:lang w:eastAsia="cs-CZ"/>
              </w:rPr>
              <w:t xml:space="preserve"> EUR</w:t>
            </w:r>
          </w:p>
        </w:tc>
        <w:tc>
          <w:tcPr>
            <w:tcW w:w="2410" w:type="dxa"/>
            <w:vAlign w:val="center"/>
          </w:tcPr>
          <w:p w14:paraId="5CA301F8" w14:textId="77777777" w:rsidR="00D22B5D" w:rsidRPr="00AF6CF3" w:rsidRDefault="00D22B5D" w:rsidP="0015441E">
            <w:pPr>
              <w:pStyle w:val="tabulka"/>
              <w:jc w:val="center"/>
              <w:rPr>
                <w:lang w:eastAsia="cs-CZ"/>
              </w:rPr>
            </w:pPr>
            <w:r w:rsidRPr="00AF6CF3">
              <w:rPr>
                <w:lang w:eastAsia="cs-CZ"/>
              </w:rPr>
              <w:t>448,80 EUR</w:t>
            </w:r>
          </w:p>
        </w:tc>
      </w:tr>
    </w:tbl>
    <w:p w14:paraId="3D388EF8" w14:textId="592BBCB4" w:rsidR="00D22B5D" w:rsidRDefault="000005FC" w:rsidP="00D22B5D">
      <w:pPr>
        <w:pStyle w:val="BodyText1"/>
      </w:pPr>
      <w:r>
        <w:br/>
      </w:r>
      <w:r>
        <w:br/>
      </w:r>
      <w:r>
        <w:br/>
      </w:r>
      <w:r>
        <w:br/>
      </w:r>
    </w:p>
    <w:p w14:paraId="516826B8" w14:textId="32228002" w:rsidR="00D00507" w:rsidRDefault="00D00507" w:rsidP="00D00507">
      <w:pPr>
        <w:pStyle w:val="BodyText1"/>
        <w:numPr>
          <w:ilvl w:val="0"/>
          <w:numId w:val="11"/>
        </w:numPr>
      </w:pPr>
      <w:r>
        <w:t>Cen</w:t>
      </w:r>
      <w:r w:rsidR="78FDD146">
        <w:t>y</w:t>
      </w:r>
      <w:r>
        <w:t xml:space="preserve"> služeb</w:t>
      </w:r>
      <w:r w:rsidR="08E314A7">
        <w:t xml:space="preserve">, které jsou založené na reálné spotřebě, </w:t>
      </w:r>
      <w:r w:rsidR="3B4E9522">
        <w:t>se řídí skutečn</w:t>
      </w:r>
      <w:r w:rsidR="6AE38774">
        <w:t>ou</w:t>
      </w:r>
      <w:r w:rsidR="3B4E9522">
        <w:t xml:space="preserve"> spotřebo</w:t>
      </w:r>
      <w:r w:rsidR="12040A2F">
        <w:t>u a Zákazníkovi bude fakturovaná částka založená na této reálné spotřebě.</w:t>
      </w:r>
      <w:r w:rsidR="225C4743">
        <w:t xml:space="preserve"> Do služeb</w:t>
      </w:r>
      <w:r w:rsidR="43B2B455">
        <w:t xml:space="preserve">, </w:t>
      </w:r>
      <w:r w:rsidR="225C4743">
        <w:t>založených na reálné spotřebě</w:t>
      </w:r>
      <w:r w:rsidR="6F32A0D9">
        <w:t>,</w:t>
      </w:r>
      <w:r w:rsidR="225C4743">
        <w:t xml:space="preserve"> spadá většina služeb dostupných </w:t>
      </w:r>
      <w:r w:rsidR="5944D2E3">
        <w:t xml:space="preserve">v rámci platformy </w:t>
      </w:r>
      <w:r w:rsidR="3772F211">
        <w:t xml:space="preserve">Microsoft </w:t>
      </w:r>
      <w:r w:rsidR="5944D2E3">
        <w:t>Azure</w:t>
      </w:r>
      <w:r w:rsidR="5EA52777">
        <w:t>.</w:t>
      </w:r>
    </w:p>
    <w:p w14:paraId="3DD19117" w14:textId="686DE863" w:rsidR="00D22B5D" w:rsidRDefault="00D22B5D" w:rsidP="000005FC">
      <w:pPr>
        <w:pStyle w:val="BodyText1"/>
        <w:numPr>
          <w:ilvl w:val="0"/>
          <w:numId w:val="11"/>
        </w:numPr>
      </w:pPr>
      <w:r>
        <w:t>Všechny ceny</w:t>
      </w:r>
      <w:r w:rsidR="58C3B05E">
        <w:t xml:space="preserve"> v této smlouvě</w:t>
      </w:r>
      <w:r>
        <w:t xml:space="preserve"> jsou</w:t>
      </w:r>
      <w:r w:rsidR="206A1E5D">
        <w:t xml:space="preserve"> uvedeny</w:t>
      </w:r>
      <w:r>
        <w:t xml:space="preserve"> bez DPH </w:t>
      </w:r>
    </w:p>
    <w:p w14:paraId="2BB806C2" w14:textId="77777777" w:rsidR="00D22B5D" w:rsidRDefault="00D22B5D" w:rsidP="000005FC">
      <w:pPr>
        <w:pStyle w:val="BodyText1"/>
        <w:numPr>
          <w:ilvl w:val="0"/>
          <w:numId w:val="11"/>
        </w:numPr>
      </w:pPr>
      <w:r>
        <w:t>Cena objednaných služeb Microsoft Cloud Services (maximálně v množství uvedeném na objednávce) zůstává fixní po dobu 12 měsíců.</w:t>
      </w:r>
    </w:p>
    <w:p w14:paraId="4DE80D6D" w14:textId="77777777" w:rsidR="00D22B5D" w:rsidRDefault="00D22B5D" w:rsidP="000005FC">
      <w:pPr>
        <w:pStyle w:val="BodyText1"/>
        <w:numPr>
          <w:ilvl w:val="0"/>
          <w:numId w:val="11"/>
        </w:numPr>
        <w:tabs>
          <w:tab w:val="left" w:pos="2295"/>
        </w:tabs>
      </w:pPr>
      <w:r>
        <w:t>Ceny služeb uvedené v EUR jsou fakturovány v EUR nebo CZK. V případě fakturace v CZK se cena stanovuje podle aktuálního kurzu ČNB + 3 % v den vystavení faktury.</w:t>
      </w:r>
    </w:p>
    <w:p w14:paraId="0AFB38C2" w14:textId="77777777" w:rsidR="00C14D57" w:rsidRDefault="00C14D57" w:rsidP="00C14D57">
      <w:pPr>
        <w:pStyle w:val="BodyText1"/>
        <w:tabs>
          <w:tab w:val="left" w:pos="2295"/>
        </w:tabs>
      </w:pPr>
    </w:p>
    <w:p w14:paraId="0B6C943D" w14:textId="0C1BF998" w:rsidR="00C14D57" w:rsidRPr="00AB0A0F" w:rsidRDefault="00C14D57" w:rsidP="00C14D57">
      <w:pPr>
        <w:pStyle w:val="BodyText1"/>
        <w:tabs>
          <w:tab w:val="left" w:pos="2295"/>
        </w:tabs>
        <w:rPr>
          <w:b/>
          <w:bCs/>
        </w:rPr>
      </w:pPr>
    </w:p>
    <w:sectPr w:rsidR="00C14D57" w:rsidRPr="00AB0A0F" w:rsidSect="006A302F">
      <w:footerReference w:type="default" r:id="rId10"/>
      <w:pgSz w:w="11906" w:h="16838"/>
      <w:pgMar w:top="720" w:right="720" w:bottom="568" w:left="72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3788" w14:textId="77777777" w:rsidR="00E904DD" w:rsidRDefault="00E904DD">
      <w:pPr>
        <w:spacing w:after="0" w:line="240" w:lineRule="auto"/>
      </w:pPr>
      <w:r>
        <w:separator/>
      </w:r>
    </w:p>
  </w:endnote>
  <w:endnote w:type="continuationSeparator" w:id="0">
    <w:p w14:paraId="1E6DD31C" w14:textId="77777777" w:rsidR="00E904DD" w:rsidRDefault="00E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46C5" w14:textId="77777777" w:rsidR="00B62BF5" w:rsidRPr="00CD2F2D" w:rsidRDefault="00C4362C">
    <w:pPr>
      <w:pStyle w:val="Zpat"/>
      <w:tabs>
        <w:tab w:val="right" w:pos="10204"/>
      </w:tabs>
      <w:rPr>
        <w:b/>
      </w:rPr>
    </w:pPr>
    <w:r w:rsidRPr="00CD2F2D">
      <w:rPr>
        <w:b/>
      </w:rPr>
      <w:t>…………………………………………………………………………………………………………………………………………………………………………</w:t>
    </w:r>
    <w:r w:rsidRPr="00CD2F2D">
      <w:rPr>
        <w:b/>
      </w:rPr>
      <w:tab/>
    </w:r>
  </w:p>
  <w:p w14:paraId="6B9EC7A2" w14:textId="7D9B97EF" w:rsidR="00B62BF5" w:rsidRDefault="00C4362C">
    <w:pPr>
      <w:pStyle w:val="Zpat"/>
    </w:pPr>
    <w:r>
      <w:tab/>
    </w:r>
    <w:r>
      <w:rPr>
        <w:b/>
        <w:bCs/>
        <w:sz w:val="24"/>
        <w:szCs w:val="24"/>
      </w:rPr>
      <w:fldChar w:fldCharType="begin"/>
    </w:r>
    <w:r>
      <w:rPr>
        <w:b/>
        <w:bCs/>
      </w:rPr>
      <w:instrText>PAGE</w:instrText>
    </w:r>
    <w:r>
      <w:rPr>
        <w:b/>
        <w:bCs/>
        <w:sz w:val="24"/>
        <w:szCs w:val="24"/>
      </w:rPr>
      <w:fldChar w:fldCharType="separate"/>
    </w:r>
    <w:r w:rsidR="00763DA9">
      <w:rPr>
        <w:b/>
        <w:bCs/>
        <w:noProof/>
      </w:rPr>
      <w:t>4</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763DA9">
      <w:rPr>
        <w:b/>
        <w:bCs/>
        <w:noProof/>
      </w:rPr>
      <w:t>8</w:t>
    </w:r>
    <w:r>
      <w:rPr>
        <w:b/>
        <w:bCs/>
        <w:sz w:val="24"/>
        <w:szCs w:val="24"/>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51C8" w14:textId="77777777" w:rsidR="00E904DD" w:rsidRDefault="00E904DD">
      <w:pPr>
        <w:spacing w:after="0" w:line="240" w:lineRule="auto"/>
      </w:pPr>
      <w:r>
        <w:separator/>
      </w:r>
    </w:p>
  </w:footnote>
  <w:footnote w:type="continuationSeparator" w:id="0">
    <w:p w14:paraId="0CE98D1B" w14:textId="77777777" w:rsidR="00E904DD" w:rsidRDefault="00E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30E"/>
    <w:multiLevelType w:val="hybridMultilevel"/>
    <w:tmpl w:val="B186D6E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37494"/>
    <w:multiLevelType w:val="hybridMultilevel"/>
    <w:tmpl w:val="323477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4803F6A"/>
    <w:multiLevelType w:val="hybridMultilevel"/>
    <w:tmpl w:val="C6E001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F974DE4"/>
    <w:multiLevelType w:val="hybridMultilevel"/>
    <w:tmpl w:val="1562C3B0"/>
    <w:lvl w:ilvl="0" w:tplc="CB609F1E">
      <w:start w:val="1"/>
      <w:numFmt w:val="decimal"/>
      <w:lvlText w:val="%1."/>
      <w:lvlJc w:val="left"/>
      <w:pPr>
        <w:ind w:left="1428" w:hanging="360"/>
      </w:pPr>
    </w:lvl>
    <w:lvl w:ilvl="1" w:tplc="D444B76E" w:tentative="1">
      <w:start w:val="1"/>
      <w:numFmt w:val="lowerLetter"/>
      <w:lvlText w:val="%2."/>
      <w:lvlJc w:val="left"/>
      <w:pPr>
        <w:ind w:left="2148" w:hanging="360"/>
      </w:pPr>
    </w:lvl>
    <w:lvl w:ilvl="2" w:tplc="97447E26" w:tentative="1">
      <w:start w:val="1"/>
      <w:numFmt w:val="lowerRoman"/>
      <w:lvlText w:val="%3."/>
      <w:lvlJc w:val="right"/>
      <w:pPr>
        <w:ind w:left="2868" w:hanging="180"/>
      </w:pPr>
    </w:lvl>
    <w:lvl w:ilvl="3" w:tplc="138E93BE" w:tentative="1">
      <w:start w:val="1"/>
      <w:numFmt w:val="decimal"/>
      <w:lvlText w:val="%4."/>
      <w:lvlJc w:val="left"/>
      <w:pPr>
        <w:ind w:left="3588" w:hanging="360"/>
      </w:pPr>
    </w:lvl>
    <w:lvl w:ilvl="4" w:tplc="46661224" w:tentative="1">
      <w:start w:val="1"/>
      <w:numFmt w:val="lowerLetter"/>
      <w:lvlText w:val="%5."/>
      <w:lvlJc w:val="left"/>
      <w:pPr>
        <w:ind w:left="4308" w:hanging="360"/>
      </w:pPr>
    </w:lvl>
    <w:lvl w:ilvl="5" w:tplc="53A6904E" w:tentative="1">
      <w:start w:val="1"/>
      <w:numFmt w:val="lowerRoman"/>
      <w:lvlText w:val="%6."/>
      <w:lvlJc w:val="right"/>
      <w:pPr>
        <w:ind w:left="5028" w:hanging="180"/>
      </w:pPr>
    </w:lvl>
    <w:lvl w:ilvl="6" w:tplc="8548BECA" w:tentative="1">
      <w:start w:val="1"/>
      <w:numFmt w:val="decimal"/>
      <w:lvlText w:val="%7."/>
      <w:lvlJc w:val="left"/>
      <w:pPr>
        <w:ind w:left="5748" w:hanging="360"/>
      </w:pPr>
    </w:lvl>
    <w:lvl w:ilvl="7" w:tplc="0062F36C" w:tentative="1">
      <w:start w:val="1"/>
      <w:numFmt w:val="lowerLetter"/>
      <w:lvlText w:val="%8."/>
      <w:lvlJc w:val="left"/>
      <w:pPr>
        <w:ind w:left="6468" w:hanging="360"/>
      </w:pPr>
    </w:lvl>
    <w:lvl w:ilvl="8" w:tplc="F626CA96" w:tentative="1">
      <w:start w:val="1"/>
      <w:numFmt w:val="lowerRoman"/>
      <w:lvlText w:val="%9."/>
      <w:lvlJc w:val="right"/>
      <w:pPr>
        <w:ind w:left="7188" w:hanging="180"/>
      </w:pPr>
    </w:lvl>
  </w:abstractNum>
  <w:abstractNum w:abstractNumId="4" w15:restartNumberingAfterBreak="0">
    <w:nsid w:val="21F60D2B"/>
    <w:multiLevelType w:val="hybridMultilevel"/>
    <w:tmpl w:val="8FA66D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7C021D"/>
    <w:multiLevelType w:val="hybridMultilevel"/>
    <w:tmpl w:val="4F8C33DE"/>
    <w:lvl w:ilvl="0" w:tplc="55D069B8">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69B6781"/>
    <w:multiLevelType w:val="hybridMultilevel"/>
    <w:tmpl w:val="4F8C33DE"/>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80C411E"/>
    <w:multiLevelType w:val="multilevel"/>
    <w:tmpl w:val="BE509BF8"/>
    <w:lvl w:ilvl="0">
      <w:start w:val="1"/>
      <w:numFmt w:val="decimal"/>
      <w:pStyle w:val="Nadpis1"/>
      <w:lvlText w:val="%1"/>
      <w:lvlJc w:val="left"/>
      <w:pPr>
        <w:ind w:left="792" w:hanging="432"/>
      </w:pPr>
    </w:lvl>
    <w:lvl w:ilvl="1">
      <w:start w:val="1"/>
      <w:numFmt w:val="decimal"/>
      <w:pStyle w:val="Nadpis2"/>
      <w:lvlText w:val="%1.%2"/>
      <w:lvlJc w:val="left"/>
      <w:pPr>
        <w:ind w:left="860" w:hanging="576"/>
      </w:pPr>
      <w:rPr>
        <w:rFonts w:ascii="Calibri" w:hAnsi="Calibri" w:hint="default"/>
        <w:b w:val="0"/>
        <w:color w:val="auto"/>
        <w:sz w:val="22"/>
        <w:szCs w:val="22"/>
      </w:rPr>
    </w:lvl>
    <w:lvl w:ilvl="2">
      <w:start w:val="1"/>
      <w:numFmt w:val="decimal"/>
      <w:pStyle w:val="Nadpis3"/>
      <w:lvlText w:val="%1.%2.%3"/>
      <w:lvlJc w:val="left"/>
      <w:pPr>
        <w:ind w:left="1080" w:hanging="720"/>
      </w:pPr>
    </w:lvl>
    <w:lvl w:ilvl="3">
      <w:start w:val="1"/>
      <w:numFmt w:val="decimal"/>
      <w:lvlText w:val="%1.%2.%3.%4"/>
      <w:lvlJc w:val="left"/>
      <w:pPr>
        <w:ind w:left="1224" w:hanging="864"/>
      </w:pPr>
    </w:lvl>
    <w:lvl w:ilvl="4">
      <w:start w:val="1"/>
      <w:numFmt w:val="decimal"/>
      <w:pStyle w:val="Nadpis5"/>
      <w:lvlText w:val="%1.%2.%3.%4.%5"/>
      <w:lvlJc w:val="left"/>
      <w:pPr>
        <w:ind w:left="1368" w:hanging="1008"/>
      </w:pPr>
    </w:lvl>
    <w:lvl w:ilvl="5">
      <w:start w:val="1"/>
      <w:numFmt w:val="decimal"/>
      <w:pStyle w:val="Nadpis6"/>
      <w:lvlText w:val="%1.%2.%3.%4.%5.%6"/>
      <w:lvlJc w:val="left"/>
      <w:pPr>
        <w:ind w:left="1512" w:hanging="1152"/>
      </w:pPr>
    </w:lvl>
    <w:lvl w:ilvl="6">
      <w:start w:val="1"/>
      <w:numFmt w:val="decimal"/>
      <w:pStyle w:val="Nadpis7"/>
      <w:lvlText w:val="%1.%2.%3.%4.%5.%6.%7"/>
      <w:lvlJc w:val="left"/>
      <w:pPr>
        <w:ind w:left="1656" w:hanging="1296"/>
      </w:pPr>
    </w:lvl>
    <w:lvl w:ilvl="7">
      <w:start w:val="1"/>
      <w:numFmt w:val="decimal"/>
      <w:pStyle w:val="Nadpis8"/>
      <w:lvlText w:val="%1.%2.%3.%4.%5.%6.%7.%8"/>
      <w:lvlJc w:val="left"/>
      <w:pPr>
        <w:ind w:left="1800" w:hanging="1440"/>
      </w:pPr>
    </w:lvl>
    <w:lvl w:ilvl="8">
      <w:start w:val="1"/>
      <w:numFmt w:val="decimal"/>
      <w:pStyle w:val="Nadpis9"/>
      <w:lvlText w:val="%1.%2.%3.%4.%5.%6.%7.%8.%9"/>
      <w:lvlJc w:val="left"/>
      <w:pPr>
        <w:ind w:left="1944" w:hanging="1584"/>
      </w:pPr>
    </w:lvl>
  </w:abstractNum>
  <w:abstractNum w:abstractNumId="8" w15:restartNumberingAfterBreak="0">
    <w:nsid w:val="69F64270"/>
    <w:multiLevelType w:val="hybridMultilevel"/>
    <w:tmpl w:val="4F8C33DE"/>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703B9C45"/>
    <w:multiLevelType w:val="hybridMultilevel"/>
    <w:tmpl w:val="02E4606C"/>
    <w:lvl w:ilvl="0" w:tplc="A4A019D6">
      <w:start w:val="1"/>
      <w:numFmt w:val="decimal"/>
      <w:lvlText w:val="%1."/>
      <w:lvlJc w:val="left"/>
      <w:pPr>
        <w:ind w:left="720" w:hanging="360"/>
      </w:pPr>
    </w:lvl>
    <w:lvl w:ilvl="1" w:tplc="71543082">
      <w:start w:val="1"/>
      <w:numFmt w:val="lowerLetter"/>
      <w:lvlText w:val="%2."/>
      <w:lvlJc w:val="left"/>
      <w:pPr>
        <w:ind w:left="1440" w:hanging="360"/>
      </w:pPr>
    </w:lvl>
    <w:lvl w:ilvl="2" w:tplc="6C00DE80">
      <w:start w:val="1"/>
      <w:numFmt w:val="lowerRoman"/>
      <w:lvlText w:val="%3."/>
      <w:lvlJc w:val="right"/>
      <w:pPr>
        <w:ind w:left="2160" w:hanging="180"/>
      </w:pPr>
    </w:lvl>
    <w:lvl w:ilvl="3" w:tplc="8FC87C6C">
      <w:start w:val="1"/>
      <w:numFmt w:val="decimal"/>
      <w:lvlText w:val="%4."/>
      <w:lvlJc w:val="left"/>
      <w:pPr>
        <w:ind w:left="2880" w:hanging="360"/>
      </w:pPr>
    </w:lvl>
    <w:lvl w:ilvl="4" w:tplc="B6D81BF2">
      <w:start w:val="1"/>
      <w:numFmt w:val="lowerLetter"/>
      <w:lvlText w:val="%5."/>
      <w:lvlJc w:val="left"/>
      <w:pPr>
        <w:ind w:left="3600" w:hanging="360"/>
      </w:pPr>
    </w:lvl>
    <w:lvl w:ilvl="5" w:tplc="575CFF6C">
      <w:start w:val="1"/>
      <w:numFmt w:val="lowerRoman"/>
      <w:lvlText w:val="%6."/>
      <w:lvlJc w:val="right"/>
      <w:pPr>
        <w:ind w:left="4320" w:hanging="180"/>
      </w:pPr>
    </w:lvl>
    <w:lvl w:ilvl="6" w:tplc="6B589DC2">
      <w:start w:val="1"/>
      <w:numFmt w:val="decimal"/>
      <w:lvlText w:val="%7."/>
      <w:lvlJc w:val="left"/>
      <w:pPr>
        <w:ind w:left="5040" w:hanging="360"/>
      </w:pPr>
    </w:lvl>
    <w:lvl w:ilvl="7" w:tplc="87A2F332">
      <w:start w:val="1"/>
      <w:numFmt w:val="lowerLetter"/>
      <w:lvlText w:val="%8."/>
      <w:lvlJc w:val="left"/>
      <w:pPr>
        <w:ind w:left="5760" w:hanging="360"/>
      </w:pPr>
    </w:lvl>
    <w:lvl w:ilvl="8" w:tplc="548ABDE8">
      <w:start w:val="1"/>
      <w:numFmt w:val="lowerRoman"/>
      <w:lvlText w:val="%9."/>
      <w:lvlJc w:val="right"/>
      <w:pPr>
        <w:ind w:left="6480" w:hanging="180"/>
      </w:pPr>
    </w:lvl>
  </w:abstractNum>
  <w:abstractNum w:abstractNumId="10" w15:restartNumberingAfterBreak="0">
    <w:nsid w:val="72295F8F"/>
    <w:multiLevelType w:val="hybridMultilevel"/>
    <w:tmpl w:val="54A6D15C"/>
    <w:lvl w:ilvl="0" w:tplc="1032D06C">
      <w:start w:val="1"/>
      <w:numFmt w:val="lowerRoman"/>
      <w:lvlText w:val="(%1)"/>
      <w:lvlJc w:val="left"/>
      <w:pPr>
        <w:ind w:left="1287" w:hanging="72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78134350"/>
    <w:multiLevelType w:val="hybridMultilevel"/>
    <w:tmpl w:val="C7909296"/>
    <w:lvl w:ilvl="0" w:tplc="1AA812E2">
      <w:start w:val="1"/>
      <w:numFmt w:val="decimal"/>
      <w:lvlText w:val="%1."/>
      <w:lvlJc w:val="left"/>
      <w:pPr>
        <w:ind w:left="720" w:hanging="360"/>
      </w:pPr>
    </w:lvl>
    <w:lvl w:ilvl="1" w:tplc="B22CBCDE">
      <w:start w:val="1"/>
      <w:numFmt w:val="lowerLetter"/>
      <w:lvlText w:val="%2."/>
      <w:lvlJc w:val="left"/>
      <w:pPr>
        <w:ind w:left="1440" w:hanging="360"/>
      </w:pPr>
    </w:lvl>
    <w:lvl w:ilvl="2" w:tplc="1708089A">
      <w:start w:val="1"/>
      <w:numFmt w:val="lowerRoman"/>
      <w:lvlText w:val="%3."/>
      <w:lvlJc w:val="right"/>
      <w:pPr>
        <w:ind w:left="2160" w:hanging="180"/>
      </w:pPr>
    </w:lvl>
    <w:lvl w:ilvl="3" w:tplc="3B04721E">
      <w:start w:val="1"/>
      <w:numFmt w:val="decimal"/>
      <w:lvlText w:val="%4."/>
      <w:lvlJc w:val="left"/>
      <w:pPr>
        <w:ind w:left="2880" w:hanging="360"/>
      </w:pPr>
    </w:lvl>
    <w:lvl w:ilvl="4" w:tplc="7616C67A">
      <w:start w:val="1"/>
      <w:numFmt w:val="lowerLetter"/>
      <w:lvlText w:val="%5."/>
      <w:lvlJc w:val="left"/>
      <w:pPr>
        <w:ind w:left="3600" w:hanging="360"/>
      </w:pPr>
    </w:lvl>
    <w:lvl w:ilvl="5" w:tplc="E0A01CA0">
      <w:start w:val="1"/>
      <w:numFmt w:val="lowerRoman"/>
      <w:lvlText w:val="%6."/>
      <w:lvlJc w:val="right"/>
      <w:pPr>
        <w:ind w:left="4320" w:hanging="180"/>
      </w:pPr>
    </w:lvl>
    <w:lvl w:ilvl="6" w:tplc="8C2E63F0">
      <w:start w:val="1"/>
      <w:numFmt w:val="decimal"/>
      <w:lvlText w:val="%7."/>
      <w:lvlJc w:val="left"/>
      <w:pPr>
        <w:ind w:left="5040" w:hanging="360"/>
      </w:pPr>
    </w:lvl>
    <w:lvl w:ilvl="7" w:tplc="8416A670">
      <w:start w:val="1"/>
      <w:numFmt w:val="lowerLetter"/>
      <w:lvlText w:val="%8."/>
      <w:lvlJc w:val="left"/>
      <w:pPr>
        <w:ind w:left="5760" w:hanging="360"/>
      </w:pPr>
    </w:lvl>
    <w:lvl w:ilvl="8" w:tplc="B5F05AB8">
      <w:start w:val="1"/>
      <w:numFmt w:val="lowerRoman"/>
      <w:lvlText w:val="%9."/>
      <w:lvlJc w:val="right"/>
      <w:pPr>
        <w:ind w:left="6480" w:hanging="180"/>
      </w:pPr>
    </w:lvl>
  </w:abstractNum>
  <w:num w:numId="1">
    <w:abstractNumId w:val="9"/>
  </w:num>
  <w:num w:numId="2">
    <w:abstractNumId w:val="3"/>
  </w:num>
  <w:num w:numId="3">
    <w:abstractNumId w:val="0"/>
  </w:num>
  <w:num w:numId="4">
    <w:abstractNumId w:val="5"/>
  </w:num>
  <w:num w:numId="5">
    <w:abstractNumId w:val="10"/>
  </w:num>
  <w:num w:numId="6">
    <w:abstractNumId w:val="6"/>
  </w:num>
  <w:num w:numId="7">
    <w:abstractNumId w:val="8"/>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81"/>
    <w:rsid w:val="000005FC"/>
    <w:rsid w:val="000072EC"/>
    <w:rsid w:val="000078CC"/>
    <w:rsid w:val="000D0457"/>
    <w:rsid w:val="00114136"/>
    <w:rsid w:val="00121DE5"/>
    <w:rsid w:val="0015441E"/>
    <w:rsid w:val="00163644"/>
    <w:rsid w:val="0019068A"/>
    <w:rsid w:val="002371D7"/>
    <w:rsid w:val="002520A4"/>
    <w:rsid w:val="00267537"/>
    <w:rsid w:val="00293177"/>
    <w:rsid w:val="002B0582"/>
    <w:rsid w:val="002B578F"/>
    <w:rsid w:val="002E53D0"/>
    <w:rsid w:val="00312BF3"/>
    <w:rsid w:val="0034171B"/>
    <w:rsid w:val="0038485F"/>
    <w:rsid w:val="00390982"/>
    <w:rsid w:val="003A4148"/>
    <w:rsid w:val="003C699F"/>
    <w:rsid w:val="003E23DB"/>
    <w:rsid w:val="003E76F4"/>
    <w:rsid w:val="003F4F9C"/>
    <w:rsid w:val="0040145D"/>
    <w:rsid w:val="004159B0"/>
    <w:rsid w:val="00422E78"/>
    <w:rsid w:val="004A1156"/>
    <w:rsid w:val="004D2286"/>
    <w:rsid w:val="004E535F"/>
    <w:rsid w:val="00512D69"/>
    <w:rsid w:val="005278BC"/>
    <w:rsid w:val="005467EE"/>
    <w:rsid w:val="0055203B"/>
    <w:rsid w:val="00555E39"/>
    <w:rsid w:val="00585BA7"/>
    <w:rsid w:val="005E0F0B"/>
    <w:rsid w:val="005E6287"/>
    <w:rsid w:val="006032BC"/>
    <w:rsid w:val="006057C7"/>
    <w:rsid w:val="0066293A"/>
    <w:rsid w:val="006F194E"/>
    <w:rsid w:val="007235B6"/>
    <w:rsid w:val="00754E3A"/>
    <w:rsid w:val="00763DA9"/>
    <w:rsid w:val="00783027"/>
    <w:rsid w:val="007B78AE"/>
    <w:rsid w:val="008007F0"/>
    <w:rsid w:val="00807F88"/>
    <w:rsid w:val="0081764F"/>
    <w:rsid w:val="00850CF6"/>
    <w:rsid w:val="008547EC"/>
    <w:rsid w:val="00891CE7"/>
    <w:rsid w:val="008948B1"/>
    <w:rsid w:val="008E06D2"/>
    <w:rsid w:val="00936F1A"/>
    <w:rsid w:val="00965CE9"/>
    <w:rsid w:val="009856EF"/>
    <w:rsid w:val="009B028F"/>
    <w:rsid w:val="009B54A9"/>
    <w:rsid w:val="009F25A5"/>
    <w:rsid w:val="00A0147E"/>
    <w:rsid w:val="00A033F3"/>
    <w:rsid w:val="00A311AF"/>
    <w:rsid w:val="00A43847"/>
    <w:rsid w:val="00A569F3"/>
    <w:rsid w:val="00A91866"/>
    <w:rsid w:val="00AB0A0F"/>
    <w:rsid w:val="00AF6C1E"/>
    <w:rsid w:val="00AF6CF3"/>
    <w:rsid w:val="00B31DF3"/>
    <w:rsid w:val="00B45DC0"/>
    <w:rsid w:val="00B51743"/>
    <w:rsid w:val="00B62BF5"/>
    <w:rsid w:val="00B75424"/>
    <w:rsid w:val="00BC2EA5"/>
    <w:rsid w:val="00BE3E2E"/>
    <w:rsid w:val="00BE541E"/>
    <w:rsid w:val="00C14D57"/>
    <w:rsid w:val="00C15A31"/>
    <w:rsid w:val="00C20D6F"/>
    <w:rsid w:val="00C30211"/>
    <w:rsid w:val="00C41FB5"/>
    <w:rsid w:val="00C4362C"/>
    <w:rsid w:val="00C52319"/>
    <w:rsid w:val="00C665AA"/>
    <w:rsid w:val="00C835E3"/>
    <w:rsid w:val="00CC77A2"/>
    <w:rsid w:val="00D00507"/>
    <w:rsid w:val="00D22B5D"/>
    <w:rsid w:val="00D22E3C"/>
    <w:rsid w:val="00D451EB"/>
    <w:rsid w:val="00D81181"/>
    <w:rsid w:val="00DB0636"/>
    <w:rsid w:val="00DC1959"/>
    <w:rsid w:val="00DE7A96"/>
    <w:rsid w:val="00E816A0"/>
    <w:rsid w:val="00E904DD"/>
    <w:rsid w:val="00ED566D"/>
    <w:rsid w:val="00EE2F07"/>
    <w:rsid w:val="00EF3ECC"/>
    <w:rsid w:val="00F5001C"/>
    <w:rsid w:val="00F847C2"/>
    <w:rsid w:val="00F930EB"/>
    <w:rsid w:val="00FA264D"/>
    <w:rsid w:val="00FB3853"/>
    <w:rsid w:val="00FE68A5"/>
    <w:rsid w:val="02CB977C"/>
    <w:rsid w:val="0370A4BB"/>
    <w:rsid w:val="08E314A7"/>
    <w:rsid w:val="0A18FCF4"/>
    <w:rsid w:val="12040A2F"/>
    <w:rsid w:val="14025A6D"/>
    <w:rsid w:val="15D16213"/>
    <w:rsid w:val="190D579C"/>
    <w:rsid w:val="1A2C8674"/>
    <w:rsid w:val="1B41B32F"/>
    <w:rsid w:val="1CCBFC93"/>
    <w:rsid w:val="1DA0B410"/>
    <w:rsid w:val="206A1E5D"/>
    <w:rsid w:val="207A1752"/>
    <w:rsid w:val="225C4743"/>
    <w:rsid w:val="23C5CFA0"/>
    <w:rsid w:val="24027DB8"/>
    <w:rsid w:val="2536EFCB"/>
    <w:rsid w:val="2990A0F0"/>
    <w:rsid w:val="31B247B5"/>
    <w:rsid w:val="32858F9B"/>
    <w:rsid w:val="350B5495"/>
    <w:rsid w:val="35EC02F4"/>
    <w:rsid w:val="3772F211"/>
    <w:rsid w:val="3B4E9522"/>
    <w:rsid w:val="43B2B455"/>
    <w:rsid w:val="43D9D8B1"/>
    <w:rsid w:val="44E7EC9A"/>
    <w:rsid w:val="462063A1"/>
    <w:rsid w:val="46910292"/>
    <w:rsid w:val="46F810D9"/>
    <w:rsid w:val="473E7646"/>
    <w:rsid w:val="58C3B05E"/>
    <w:rsid w:val="5904126A"/>
    <w:rsid w:val="5944D2E3"/>
    <w:rsid w:val="5A22F3F2"/>
    <w:rsid w:val="5BF286B4"/>
    <w:rsid w:val="5CAAE3D9"/>
    <w:rsid w:val="5D1B199A"/>
    <w:rsid w:val="5D2E29D1"/>
    <w:rsid w:val="5E575873"/>
    <w:rsid w:val="5EA52777"/>
    <w:rsid w:val="60309124"/>
    <w:rsid w:val="60A023CC"/>
    <w:rsid w:val="6889EEBC"/>
    <w:rsid w:val="6AE38774"/>
    <w:rsid w:val="6BB5C4D7"/>
    <w:rsid w:val="6F01D64C"/>
    <w:rsid w:val="6F32A0D9"/>
    <w:rsid w:val="769ACE8E"/>
    <w:rsid w:val="78FDD146"/>
    <w:rsid w:val="7B9D3D34"/>
    <w:rsid w:val="7BCFBF3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4AF0E"/>
  <w15:docId w15:val="{4E91C24A-75F5-4796-BCA1-917896C8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507"/>
  </w:style>
  <w:style w:type="paragraph" w:styleId="Nadpis1">
    <w:name w:val="heading 1"/>
    <w:basedOn w:val="Normln"/>
    <w:next w:val="Normln"/>
    <w:link w:val="Nadpis1Char"/>
    <w:uiPriority w:val="9"/>
    <w:qFormat/>
    <w:rsid w:val="00D22B5D"/>
    <w:pPr>
      <w:keepNext/>
      <w:keepLines/>
      <w:numPr>
        <w:numId w:val="9"/>
      </w:numPr>
      <w:spacing w:before="480" w:after="0" w:line="276" w:lineRule="auto"/>
      <w:jc w:val="center"/>
      <w:outlineLvl w:val="0"/>
    </w:pPr>
    <w:rPr>
      <w:rFonts w:ascii="Cambria" w:eastAsia="Times New Roman" w:hAnsi="Cambria" w:cs="Times New Roman"/>
      <w:b/>
      <w:bCs/>
      <w:color w:val="365F91"/>
      <w:sz w:val="28"/>
      <w:szCs w:val="28"/>
      <w:lang w:eastAsia="en-US"/>
    </w:rPr>
  </w:style>
  <w:style w:type="paragraph" w:styleId="Nadpis2">
    <w:name w:val="heading 2"/>
    <w:basedOn w:val="Normln"/>
    <w:next w:val="Normln"/>
    <w:link w:val="Nadpis2Char"/>
    <w:uiPriority w:val="9"/>
    <w:unhideWhenUsed/>
    <w:qFormat/>
    <w:rsid w:val="00D22B5D"/>
    <w:pPr>
      <w:keepNext/>
      <w:keepLines/>
      <w:numPr>
        <w:ilvl w:val="1"/>
        <w:numId w:val="9"/>
      </w:numPr>
      <w:spacing w:before="200" w:after="0" w:line="276" w:lineRule="auto"/>
      <w:jc w:val="both"/>
      <w:outlineLvl w:val="1"/>
    </w:pPr>
    <w:rPr>
      <w:rFonts w:eastAsiaTheme="majorEastAsia" w:cstheme="majorBidi"/>
      <w:bCs/>
      <w:lang w:eastAsia="en-US"/>
    </w:rPr>
  </w:style>
  <w:style w:type="paragraph" w:styleId="Nadpis3">
    <w:name w:val="heading 3"/>
    <w:basedOn w:val="Normln"/>
    <w:next w:val="Normln"/>
    <w:link w:val="Nadpis3Char"/>
    <w:uiPriority w:val="9"/>
    <w:unhideWhenUsed/>
    <w:qFormat/>
    <w:rsid w:val="00D22B5D"/>
    <w:pPr>
      <w:keepNext/>
      <w:numPr>
        <w:ilvl w:val="2"/>
        <w:numId w:val="9"/>
      </w:numPr>
      <w:spacing w:before="240" w:after="60" w:line="276" w:lineRule="auto"/>
      <w:outlineLvl w:val="2"/>
    </w:pPr>
    <w:rPr>
      <w:rFonts w:ascii="Cambria" w:eastAsia="Times New Roman" w:hAnsi="Cambria" w:cs="Times New Roman"/>
      <w:b/>
      <w:bCs/>
      <w:sz w:val="26"/>
      <w:szCs w:val="26"/>
      <w:lang w:eastAsia="en-US"/>
    </w:rPr>
  </w:style>
  <w:style w:type="paragraph" w:styleId="Nadpis5">
    <w:name w:val="heading 5"/>
    <w:basedOn w:val="Normln"/>
    <w:next w:val="Normln"/>
    <w:link w:val="Nadpis5Char"/>
    <w:uiPriority w:val="9"/>
    <w:semiHidden/>
    <w:unhideWhenUsed/>
    <w:qFormat/>
    <w:rsid w:val="00D22B5D"/>
    <w:pPr>
      <w:numPr>
        <w:ilvl w:val="4"/>
        <w:numId w:val="9"/>
      </w:numPr>
      <w:spacing w:before="240" w:after="60" w:line="276" w:lineRule="auto"/>
      <w:outlineLvl w:val="4"/>
    </w:pPr>
    <w:rPr>
      <w:rFonts w:ascii="Calibri" w:eastAsia="Times New Roman" w:hAnsi="Calibri" w:cs="Times New Roman"/>
      <w:b/>
      <w:bCs/>
      <w:i/>
      <w:iCs/>
      <w:sz w:val="26"/>
      <w:szCs w:val="26"/>
      <w:lang w:eastAsia="en-US"/>
    </w:rPr>
  </w:style>
  <w:style w:type="paragraph" w:styleId="Nadpis6">
    <w:name w:val="heading 6"/>
    <w:basedOn w:val="Normln"/>
    <w:next w:val="Normln"/>
    <w:link w:val="Nadpis6Char"/>
    <w:uiPriority w:val="9"/>
    <w:semiHidden/>
    <w:unhideWhenUsed/>
    <w:qFormat/>
    <w:rsid w:val="00D22B5D"/>
    <w:pPr>
      <w:numPr>
        <w:ilvl w:val="5"/>
        <w:numId w:val="9"/>
      </w:numPr>
      <w:spacing w:before="240" w:after="60" w:line="276" w:lineRule="auto"/>
      <w:outlineLvl w:val="5"/>
    </w:pPr>
    <w:rPr>
      <w:rFonts w:ascii="Calibri" w:eastAsia="Times New Roman" w:hAnsi="Calibri" w:cs="Times New Roman"/>
      <w:b/>
      <w:bCs/>
      <w:lang w:eastAsia="en-US"/>
    </w:rPr>
  </w:style>
  <w:style w:type="paragraph" w:styleId="Nadpis7">
    <w:name w:val="heading 7"/>
    <w:basedOn w:val="Normln"/>
    <w:next w:val="Normln"/>
    <w:link w:val="Nadpis7Char"/>
    <w:uiPriority w:val="9"/>
    <w:semiHidden/>
    <w:unhideWhenUsed/>
    <w:qFormat/>
    <w:rsid w:val="00D22B5D"/>
    <w:pPr>
      <w:numPr>
        <w:ilvl w:val="6"/>
        <w:numId w:val="9"/>
      </w:numPr>
      <w:spacing w:before="240" w:after="60" w:line="276" w:lineRule="auto"/>
      <w:outlineLvl w:val="6"/>
    </w:pPr>
    <w:rPr>
      <w:rFonts w:ascii="Calibri" w:eastAsia="Times New Roman" w:hAnsi="Calibri" w:cs="Times New Roman"/>
      <w:sz w:val="24"/>
      <w:szCs w:val="24"/>
      <w:lang w:eastAsia="en-US"/>
    </w:rPr>
  </w:style>
  <w:style w:type="paragraph" w:styleId="Nadpis8">
    <w:name w:val="heading 8"/>
    <w:basedOn w:val="Normln"/>
    <w:next w:val="Normln"/>
    <w:link w:val="Nadpis8Char"/>
    <w:uiPriority w:val="9"/>
    <w:semiHidden/>
    <w:unhideWhenUsed/>
    <w:qFormat/>
    <w:rsid w:val="00D22B5D"/>
    <w:pPr>
      <w:numPr>
        <w:ilvl w:val="7"/>
        <w:numId w:val="9"/>
      </w:numPr>
      <w:spacing w:before="240" w:after="60" w:line="276" w:lineRule="auto"/>
      <w:outlineLvl w:val="7"/>
    </w:pPr>
    <w:rPr>
      <w:rFonts w:ascii="Calibri" w:eastAsia="Times New Roman" w:hAnsi="Calibri" w:cs="Times New Roman"/>
      <w:i/>
      <w:iCs/>
      <w:sz w:val="24"/>
      <w:szCs w:val="24"/>
      <w:lang w:eastAsia="en-US"/>
    </w:rPr>
  </w:style>
  <w:style w:type="paragraph" w:styleId="Nadpis9">
    <w:name w:val="heading 9"/>
    <w:basedOn w:val="Normln"/>
    <w:next w:val="Normln"/>
    <w:link w:val="Nadpis9Char"/>
    <w:uiPriority w:val="9"/>
    <w:semiHidden/>
    <w:unhideWhenUsed/>
    <w:qFormat/>
    <w:rsid w:val="00D22B5D"/>
    <w:pPr>
      <w:numPr>
        <w:ilvl w:val="8"/>
        <w:numId w:val="9"/>
      </w:numPr>
      <w:spacing w:before="240" w:after="60" w:line="276" w:lineRule="auto"/>
      <w:outlineLvl w:val="8"/>
    </w:pPr>
    <w:rPr>
      <w:rFonts w:ascii="Cambria" w:eastAsia="Times New Roman" w:hAnsi="Cambria"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81181"/>
    <w:pPr>
      <w:tabs>
        <w:tab w:val="center" w:pos="4536"/>
        <w:tab w:val="right" w:pos="9072"/>
      </w:tabs>
      <w:spacing w:after="0" w:line="240" w:lineRule="auto"/>
    </w:pPr>
    <w:rPr>
      <w:rFonts w:ascii="Calibri" w:eastAsia="Calibri" w:hAnsi="Calibri" w:cs="Times New Roman"/>
      <w:lang w:eastAsia="en-US"/>
    </w:rPr>
  </w:style>
  <w:style w:type="character" w:customStyle="1" w:styleId="ZpatChar">
    <w:name w:val="Zápatí Char"/>
    <w:basedOn w:val="Standardnpsmoodstavce"/>
    <w:link w:val="Zpat"/>
    <w:uiPriority w:val="99"/>
    <w:rsid w:val="00D81181"/>
    <w:rPr>
      <w:rFonts w:ascii="Calibri" w:eastAsia="Calibri" w:hAnsi="Calibri" w:cs="Times New Roman"/>
      <w:lang w:eastAsia="en-US"/>
    </w:rPr>
  </w:style>
  <w:style w:type="table" w:customStyle="1" w:styleId="Mkatabulky1">
    <w:name w:val="Mřížka tabulky1"/>
    <w:basedOn w:val="Normlntabulka"/>
    <w:next w:val="Mkatabulky"/>
    <w:uiPriority w:val="39"/>
    <w:rsid w:val="00D81181"/>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ln"/>
    <w:qFormat/>
    <w:rsid w:val="00D81181"/>
    <w:pPr>
      <w:spacing w:after="180" w:line="250" w:lineRule="atLeast"/>
    </w:pPr>
    <w:rPr>
      <w:rFonts w:ascii="Arial" w:hAnsi="Arial" w:cs="Times New Roman"/>
      <w:color w:val="000000" w:themeColor="text1"/>
      <w:kern w:val="2"/>
      <w:sz w:val="18"/>
      <w:szCs w:val="18"/>
      <w:lang w:eastAsia="en-US"/>
      <w14:ligatures w14:val="standardContextual"/>
    </w:rPr>
  </w:style>
  <w:style w:type="paragraph" w:customStyle="1" w:styleId="tabulka">
    <w:name w:val="tabulka"/>
    <w:basedOn w:val="Normln"/>
    <w:link w:val="tabulkaChar"/>
    <w:qFormat/>
    <w:rsid w:val="00D81181"/>
    <w:pPr>
      <w:spacing w:before="80" w:after="80"/>
    </w:pPr>
    <w:rPr>
      <w:rFonts w:ascii="Calibri" w:eastAsia="Times New Roman" w:hAnsi="Calibri" w:cs="Times New Roman"/>
      <w:kern w:val="2"/>
      <w:lang w:eastAsia="en-US"/>
      <w14:ligatures w14:val="standardContextual"/>
    </w:rPr>
  </w:style>
  <w:style w:type="character" w:customStyle="1" w:styleId="tabulkaChar">
    <w:name w:val="tabulka Char"/>
    <w:basedOn w:val="Standardnpsmoodstavce"/>
    <w:link w:val="tabulka"/>
    <w:rsid w:val="00D81181"/>
    <w:rPr>
      <w:rFonts w:ascii="Calibri" w:eastAsia="Times New Roman" w:hAnsi="Calibri" w:cs="Times New Roman"/>
      <w:kern w:val="2"/>
      <w:lang w:eastAsia="en-US"/>
      <w14:ligatures w14:val="standardContextual"/>
    </w:rPr>
  </w:style>
  <w:style w:type="table" w:styleId="Mkatabulky">
    <w:name w:val="Table Grid"/>
    <w:basedOn w:val="Normlntabulka"/>
    <w:uiPriority w:val="39"/>
    <w:rsid w:val="00D8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14136"/>
    <w:rPr>
      <w:color w:val="808080"/>
    </w:rPr>
  </w:style>
  <w:style w:type="character" w:customStyle="1" w:styleId="Nadpis1Char">
    <w:name w:val="Nadpis 1 Char"/>
    <w:basedOn w:val="Standardnpsmoodstavce"/>
    <w:link w:val="Nadpis1"/>
    <w:uiPriority w:val="9"/>
    <w:rsid w:val="00D22B5D"/>
    <w:rPr>
      <w:rFonts w:ascii="Cambria" w:eastAsia="Times New Roman" w:hAnsi="Cambria" w:cs="Times New Roman"/>
      <w:b/>
      <w:bCs/>
      <w:color w:val="365F91"/>
      <w:sz w:val="28"/>
      <w:szCs w:val="28"/>
      <w:lang w:eastAsia="en-US"/>
    </w:rPr>
  </w:style>
  <w:style w:type="character" w:customStyle="1" w:styleId="Nadpis2Char">
    <w:name w:val="Nadpis 2 Char"/>
    <w:basedOn w:val="Standardnpsmoodstavce"/>
    <w:link w:val="Nadpis2"/>
    <w:uiPriority w:val="9"/>
    <w:rsid w:val="00D22B5D"/>
    <w:rPr>
      <w:rFonts w:eastAsiaTheme="majorEastAsia" w:cstheme="majorBidi"/>
      <w:bCs/>
      <w:lang w:eastAsia="en-US"/>
    </w:rPr>
  </w:style>
  <w:style w:type="character" w:customStyle="1" w:styleId="Nadpis3Char">
    <w:name w:val="Nadpis 3 Char"/>
    <w:basedOn w:val="Standardnpsmoodstavce"/>
    <w:link w:val="Nadpis3"/>
    <w:uiPriority w:val="9"/>
    <w:rsid w:val="00D22B5D"/>
    <w:rPr>
      <w:rFonts w:ascii="Cambria" w:eastAsia="Times New Roman" w:hAnsi="Cambria" w:cs="Times New Roman"/>
      <w:b/>
      <w:bCs/>
      <w:sz w:val="26"/>
      <w:szCs w:val="26"/>
      <w:lang w:eastAsia="en-US"/>
    </w:rPr>
  </w:style>
  <w:style w:type="character" w:customStyle="1" w:styleId="Nadpis5Char">
    <w:name w:val="Nadpis 5 Char"/>
    <w:basedOn w:val="Standardnpsmoodstavce"/>
    <w:link w:val="Nadpis5"/>
    <w:uiPriority w:val="9"/>
    <w:semiHidden/>
    <w:rsid w:val="00D22B5D"/>
    <w:rPr>
      <w:rFonts w:ascii="Calibri" w:eastAsia="Times New Roman" w:hAnsi="Calibri" w:cs="Times New Roman"/>
      <w:b/>
      <w:bCs/>
      <w:i/>
      <w:iCs/>
      <w:sz w:val="26"/>
      <w:szCs w:val="26"/>
      <w:lang w:eastAsia="en-US"/>
    </w:rPr>
  </w:style>
  <w:style w:type="character" w:customStyle="1" w:styleId="Nadpis6Char">
    <w:name w:val="Nadpis 6 Char"/>
    <w:basedOn w:val="Standardnpsmoodstavce"/>
    <w:link w:val="Nadpis6"/>
    <w:uiPriority w:val="9"/>
    <w:semiHidden/>
    <w:rsid w:val="00D22B5D"/>
    <w:rPr>
      <w:rFonts w:ascii="Calibri" w:eastAsia="Times New Roman" w:hAnsi="Calibri" w:cs="Times New Roman"/>
      <w:b/>
      <w:bCs/>
      <w:lang w:eastAsia="en-US"/>
    </w:rPr>
  </w:style>
  <w:style w:type="character" w:customStyle="1" w:styleId="Nadpis7Char">
    <w:name w:val="Nadpis 7 Char"/>
    <w:basedOn w:val="Standardnpsmoodstavce"/>
    <w:link w:val="Nadpis7"/>
    <w:uiPriority w:val="9"/>
    <w:semiHidden/>
    <w:rsid w:val="00D22B5D"/>
    <w:rPr>
      <w:rFonts w:ascii="Calibri" w:eastAsia="Times New Roman" w:hAnsi="Calibri" w:cs="Times New Roman"/>
      <w:sz w:val="24"/>
      <w:szCs w:val="24"/>
      <w:lang w:eastAsia="en-US"/>
    </w:rPr>
  </w:style>
  <w:style w:type="character" w:customStyle="1" w:styleId="Nadpis8Char">
    <w:name w:val="Nadpis 8 Char"/>
    <w:basedOn w:val="Standardnpsmoodstavce"/>
    <w:link w:val="Nadpis8"/>
    <w:uiPriority w:val="9"/>
    <w:semiHidden/>
    <w:rsid w:val="00D22B5D"/>
    <w:rPr>
      <w:rFonts w:ascii="Calibri" w:eastAsia="Times New Roman" w:hAnsi="Calibri" w:cs="Times New Roman"/>
      <w:i/>
      <w:iCs/>
      <w:sz w:val="24"/>
      <w:szCs w:val="24"/>
      <w:lang w:eastAsia="en-US"/>
    </w:rPr>
  </w:style>
  <w:style w:type="character" w:customStyle="1" w:styleId="Nadpis9Char">
    <w:name w:val="Nadpis 9 Char"/>
    <w:basedOn w:val="Standardnpsmoodstavce"/>
    <w:link w:val="Nadpis9"/>
    <w:uiPriority w:val="9"/>
    <w:semiHidden/>
    <w:rsid w:val="00D22B5D"/>
    <w:rPr>
      <w:rFonts w:ascii="Cambria" w:eastAsia="Times New Roman" w:hAnsi="Cambria" w:cs="Times New Roman"/>
      <w:lang w:eastAsia="en-US"/>
    </w:rPr>
  </w:style>
  <w:style w:type="paragraph" w:styleId="Nzev">
    <w:name w:val="Title"/>
    <w:basedOn w:val="Normln"/>
    <w:next w:val="Normln"/>
    <w:link w:val="NzevChar"/>
    <w:uiPriority w:val="10"/>
    <w:qFormat/>
    <w:rsid w:val="00D22B5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NzevChar">
    <w:name w:val="Název Char"/>
    <w:basedOn w:val="Standardnpsmoodstavce"/>
    <w:link w:val="Nzev"/>
    <w:uiPriority w:val="10"/>
    <w:rsid w:val="00D22B5D"/>
    <w:rPr>
      <w:rFonts w:ascii="Cambria" w:eastAsia="Times New Roman" w:hAnsi="Cambria" w:cs="Times New Roman"/>
      <w:color w:val="17365D"/>
      <w:spacing w:val="5"/>
      <w:kern w:val="28"/>
      <w:sz w:val="52"/>
      <w:szCs w:val="52"/>
      <w:lang w:eastAsia="en-US"/>
    </w:rPr>
  </w:style>
  <w:style w:type="character" w:styleId="Hypertextovodkaz">
    <w:name w:val="Hyperlink"/>
    <w:uiPriority w:val="99"/>
    <w:unhideWhenUsed/>
    <w:rsid w:val="00D22B5D"/>
    <w:rPr>
      <w:color w:val="0000FF"/>
      <w:u w:val="single"/>
    </w:rPr>
  </w:style>
  <w:style w:type="paragraph" w:styleId="Odstavecseseznamem">
    <w:name w:val="List Paragraph"/>
    <w:basedOn w:val="Normln"/>
    <w:link w:val="OdstavecseseznamemChar"/>
    <w:uiPriority w:val="34"/>
    <w:qFormat/>
    <w:rsid w:val="00D22B5D"/>
    <w:pPr>
      <w:spacing w:after="200" w:line="276" w:lineRule="auto"/>
      <w:contextualSpacing/>
    </w:pPr>
    <w:rPr>
      <w:rFonts w:ascii="Calibri" w:eastAsia="Calibri" w:hAnsi="Calibri" w:cs="Times New Roman"/>
      <w:lang w:eastAsia="en-US"/>
    </w:rPr>
  </w:style>
  <w:style w:type="paragraph" w:styleId="Zhlav">
    <w:name w:val="header"/>
    <w:basedOn w:val="Normln"/>
    <w:link w:val="ZhlavChar"/>
    <w:uiPriority w:val="99"/>
    <w:unhideWhenUsed/>
    <w:rsid w:val="00D22B5D"/>
    <w:pPr>
      <w:tabs>
        <w:tab w:val="center" w:pos="4536"/>
        <w:tab w:val="right" w:pos="9072"/>
      </w:tabs>
      <w:spacing w:after="0" w:line="240" w:lineRule="auto"/>
    </w:pPr>
    <w:rPr>
      <w:rFonts w:ascii="Calibri" w:eastAsia="Calibri" w:hAnsi="Calibri" w:cs="Times New Roman"/>
      <w:lang w:eastAsia="en-US"/>
    </w:rPr>
  </w:style>
  <w:style w:type="character" w:customStyle="1" w:styleId="ZhlavChar">
    <w:name w:val="Záhlaví Char"/>
    <w:basedOn w:val="Standardnpsmoodstavce"/>
    <w:link w:val="Zhlav"/>
    <w:uiPriority w:val="99"/>
    <w:rsid w:val="00D22B5D"/>
    <w:rPr>
      <w:rFonts w:ascii="Calibri" w:eastAsia="Calibri" w:hAnsi="Calibri" w:cs="Times New Roman"/>
      <w:lang w:eastAsia="en-US"/>
    </w:rPr>
  </w:style>
  <w:style w:type="character" w:customStyle="1" w:styleId="OdstavecseseznamemChar">
    <w:name w:val="Odstavec se seznamem Char"/>
    <w:basedOn w:val="Standardnpsmoodstavce"/>
    <w:link w:val="Odstavecseseznamem"/>
    <w:uiPriority w:val="34"/>
    <w:rsid w:val="00D22B5D"/>
    <w:rPr>
      <w:rFonts w:ascii="Calibri" w:eastAsia="Calibri" w:hAnsi="Calibri" w:cs="Times New Roman"/>
      <w:lang w:eastAsia="en-US"/>
    </w:rPr>
  </w:style>
  <w:style w:type="character" w:customStyle="1" w:styleId="preformatted">
    <w:name w:val="preformatted"/>
    <w:basedOn w:val="Standardnpsmoodstavce"/>
    <w:rsid w:val="00D22B5D"/>
  </w:style>
  <w:style w:type="paragraph" w:customStyle="1" w:styleId="BlueRule">
    <w:name w:val="Blue Rule"/>
    <w:basedOn w:val="Normln"/>
    <w:qFormat/>
    <w:rsid w:val="00D22B5D"/>
    <w:pPr>
      <w:pBdr>
        <w:top w:val="single" w:sz="4" w:space="1" w:color="A5A5A5" w:themeColor="accent3"/>
        <w:bottom w:val="single" w:sz="4" w:space="1" w:color="FFFFFF" w:themeColor="background1"/>
      </w:pBdr>
      <w:spacing w:after="0" w:line="250" w:lineRule="atLeast"/>
    </w:pPr>
    <w:rPr>
      <w:rFonts w:eastAsiaTheme="minorHAnsi"/>
      <w:sz w:val="18"/>
      <w:lang w:val="en-GB" w:eastAsia="en-US"/>
    </w:rPr>
  </w:style>
  <w:style w:type="paragraph" w:customStyle="1" w:styleId="Default">
    <w:name w:val="Default"/>
    <w:rsid w:val="00D22B5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UnresolvedMention">
    <w:name w:val="Unresolved Mention"/>
    <w:basedOn w:val="Standardnpsmoodstavce"/>
    <w:uiPriority w:val="99"/>
    <w:semiHidden/>
    <w:unhideWhenUsed/>
    <w:rsid w:val="00FB3853"/>
    <w:rPr>
      <w:color w:val="605E5C"/>
      <w:shd w:val="clear" w:color="auto" w:fill="E1DFDD"/>
    </w:rPr>
  </w:style>
  <w:style w:type="character" w:styleId="Odkaznakoment">
    <w:name w:val="annotation reference"/>
    <w:basedOn w:val="Standardnpsmoodstavce"/>
    <w:uiPriority w:val="99"/>
    <w:semiHidden/>
    <w:unhideWhenUsed/>
    <w:rsid w:val="00E816A0"/>
    <w:rPr>
      <w:sz w:val="16"/>
      <w:szCs w:val="16"/>
    </w:rPr>
  </w:style>
  <w:style w:type="paragraph" w:styleId="Textkomente">
    <w:name w:val="annotation text"/>
    <w:basedOn w:val="Normln"/>
    <w:link w:val="TextkomenteChar"/>
    <w:uiPriority w:val="99"/>
    <w:unhideWhenUsed/>
    <w:rsid w:val="00E816A0"/>
    <w:pPr>
      <w:spacing w:line="240" w:lineRule="auto"/>
    </w:pPr>
    <w:rPr>
      <w:sz w:val="20"/>
      <w:szCs w:val="20"/>
    </w:rPr>
  </w:style>
  <w:style w:type="character" w:customStyle="1" w:styleId="TextkomenteChar">
    <w:name w:val="Text komentáře Char"/>
    <w:basedOn w:val="Standardnpsmoodstavce"/>
    <w:link w:val="Textkomente"/>
    <w:uiPriority w:val="99"/>
    <w:rsid w:val="00E816A0"/>
    <w:rPr>
      <w:sz w:val="20"/>
      <w:szCs w:val="20"/>
    </w:rPr>
  </w:style>
  <w:style w:type="paragraph" w:styleId="Pedmtkomente">
    <w:name w:val="annotation subject"/>
    <w:basedOn w:val="Textkomente"/>
    <w:next w:val="Textkomente"/>
    <w:link w:val="PedmtkomenteChar"/>
    <w:uiPriority w:val="99"/>
    <w:semiHidden/>
    <w:unhideWhenUsed/>
    <w:rsid w:val="00E816A0"/>
    <w:rPr>
      <w:b/>
      <w:bCs/>
    </w:rPr>
  </w:style>
  <w:style w:type="character" w:customStyle="1" w:styleId="PedmtkomenteChar">
    <w:name w:val="Předmět komentáře Char"/>
    <w:basedOn w:val="TextkomenteChar"/>
    <w:link w:val="Pedmtkomente"/>
    <w:uiPriority w:val="99"/>
    <w:semiHidden/>
    <w:rsid w:val="00E816A0"/>
    <w:rPr>
      <w:b/>
      <w:bCs/>
      <w:sz w:val="20"/>
      <w:szCs w:val="20"/>
    </w:rPr>
  </w:style>
  <w:style w:type="paragraph" w:styleId="Revize">
    <w:name w:val="Revision"/>
    <w:hidden/>
    <w:uiPriority w:val="99"/>
    <w:semiHidden/>
    <w:rsid w:val="00190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4299">
      <w:bodyDiv w:val="1"/>
      <w:marLeft w:val="0"/>
      <w:marRight w:val="0"/>
      <w:marTop w:val="0"/>
      <w:marBottom w:val="0"/>
      <w:divBdr>
        <w:top w:val="none" w:sz="0" w:space="0" w:color="auto"/>
        <w:left w:val="none" w:sz="0" w:space="0" w:color="auto"/>
        <w:bottom w:val="none" w:sz="0" w:space="0" w:color="auto"/>
        <w:right w:val="none" w:sz="0" w:space="0" w:color="auto"/>
      </w:divBdr>
    </w:div>
    <w:div w:id="440615609">
      <w:bodyDiv w:val="1"/>
      <w:marLeft w:val="0"/>
      <w:marRight w:val="0"/>
      <w:marTop w:val="0"/>
      <w:marBottom w:val="0"/>
      <w:divBdr>
        <w:top w:val="none" w:sz="0" w:space="0" w:color="auto"/>
        <w:left w:val="none" w:sz="0" w:space="0" w:color="auto"/>
        <w:bottom w:val="none" w:sz="0" w:space="0" w:color="auto"/>
        <w:right w:val="none" w:sz="0" w:space="0" w:color="auto"/>
      </w:divBdr>
    </w:div>
    <w:div w:id="592052748">
      <w:bodyDiv w:val="1"/>
      <w:marLeft w:val="0"/>
      <w:marRight w:val="0"/>
      <w:marTop w:val="0"/>
      <w:marBottom w:val="0"/>
      <w:divBdr>
        <w:top w:val="none" w:sz="0" w:space="0" w:color="auto"/>
        <w:left w:val="none" w:sz="0" w:space="0" w:color="auto"/>
        <w:bottom w:val="none" w:sz="0" w:space="0" w:color="auto"/>
        <w:right w:val="none" w:sz="0" w:space="0" w:color="auto"/>
      </w:divBdr>
    </w:div>
    <w:div w:id="679114986">
      <w:bodyDiv w:val="1"/>
      <w:marLeft w:val="0"/>
      <w:marRight w:val="0"/>
      <w:marTop w:val="0"/>
      <w:marBottom w:val="0"/>
      <w:divBdr>
        <w:top w:val="none" w:sz="0" w:space="0" w:color="auto"/>
        <w:left w:val="none" w:sz="0" w:space="0" w:color="auto"/>
        <w:bottom w:val="none" w:sz="0" w:space="0" w:color="auto"/>
        <w:right w:val="none" w:sz="0" w:space="0" w:color="auto"/>
      </w:divBdr>
    </w:div>
    <w:div w:id="921639996">
      <w:bodyDiv w:val="1"/>
      <w:marLeft w:val="0"/>
      <w:marRight w:val="0"/>
      <w:marTop w:val="0"/>
      <w:marBottom w:val="0"/>
      <w:divBdr>
        <w:top w:val="none" w:sz="0" w:space="0" w:color="auto"/>
        <w:left w:val="none" w:sz="0" w:space="0" w:color="auto"/>
        <w:bottom w:val="none" w:sz="0" w:space="0" w:color="auto"/>
        <w:right w:val="none" w:sz="0" w:space="0" w:color="auto"/>
      </w:divBdr>
    </w:div>
    <w:div w:id="1028720833">
      <w:bodyDiv w:val="1"/>
      <w:marLeft w:val="0"/>
      <w:marRight w:val="0"/>
      <w:marTop w:val="0"/>
      <w:marBottom w:val="0"/>
      <w:divBdr>
        <w:top w:val="none" w:sz="0" w:space="0" w:color="auto"/>
        <w:left w:val="none" w:sz="0" w:space="0" w:color="auto"/>
        <w:bottom w:val="none" w:sz="0" w:space="0" w:color="auto"/>
        <w:right w:val="none" w:sz="0" w:space="0" w:color="auto"/>
      </w:divBdr>
    </w:div>
    <w:div w:id="1137914853">
      <w:bodyDiv w:val="1"/>
      <w:marLeft w:val="0"/>
      <w:marRight w:val="0"/>
      <w:marTop w:val="0"/>
      <w:marBottom w:val="0"/>
      <w:divBdr>
        <w:top w:val="none" w:sz="0" w:space="0" w:color="auto"/>
        <w:left w:val="none" w:sz="0" w:space="0" w:color="auto"/>
        <w:bottom w:val="none" w:sz="0" w:space="0" w:color="auto"/>
        <w:right w:val="none" w:sz="0" w:space="0" w:color="auto"/>
      </w:divBdr>
    </w:div>
    <w:div w:id="1225217894">
      <w:bodyDiv w:val="1"/>
      <w:marLeft w:val="0"/>
      <w:marRight w:val="0"/>
      <w:marTop w:val="0"/>
      <w:marBottom w:val="0"/>
      <w:divBdr>
        <w:top w:val="none" w:sz="0" w:space="0" w:color="auto"/>
        <w:left w:val="none" w:sz="0" w:space="0" w:color="auto"/>
        <w:bottom w:val="none" w:sz="0" w:space="0" w:color="auto"/>
        <w:right w:val="none" w:sz="0" w:space="0" w:color="auto"/>
      </w:divBdr>
    </w:div>
    <w:div w:id="1557278846">
      <w:bodyDiv w:val="1"/>
      <w:marLeft w:val="0"/>
      <w:marRight w:val="0"/>
      <w:marTop w:val="0"/>
      <w:marBottom w:val="0"/>
      <w:divBdr>
        <w:top w:val="none" w:sz="0" w:space="0" w:color="auto"/>
        <w:left w:val="none" w:sz="0" w:space="0" w:color="auto"/>
        <w:bottom w:val="none" w:sz="0" w:space="0" w:color="auto"/>
        <w:right w:val="none" w:sz="0" w:space="0" w:color="auto"/>
      </w:divBdr>
    </w:div>
    <w:div w:id="1670594198">
      <w:bodyDiv w:val="1"/>
      <w:marLeft w:val="0"/>
      <w:marRight w:val="0"/>
      <w:marTop w:val="0"/>
      <w:marBottom w:val="0"/>
      <w:divBdr>
        <w:top w:val="none" w:sz="0" w:space="0" w:color="auto"/>
        <w:left w:val="none" w:sz="0" w:space="0" w:color="auto"/>
        <w:bottom w:val="none" w:sz="0" w:space="0" w:color="auto"/>
        <w:right w:val="none" w:sz="0" w:space="0" w:color="auto"/>
      </w:divBdr>
    </w:div>
    <w:div w:id="1983146002">
      <w:bodyDiv w:val="1"/>
      <w:marLeft w:val="0"/>
      <w:marRight w:val="0"/>
      <w:marTop w:val="0"/>
      <w:marBottom w:val="0"/>
      <w:divBdr>
        <w:top w:val="none" w:sz="0" w:space="0" w:color="auto"/>
        <w:left w:val="none" w:sz="0" w:space="0" w:color="auto"/>
        <w:bottom w:val="none" w:sz="0" w:space="0" w:color="auto"/>
        <w:right w:val="none" w:sz="0" w:space="0" w:color="auto"/>
      </w:divBdr>
    </w:div>
    <w:div w:id="2083135650">
      <w:bodyDiv w:val="1"/>
      <w:marLeft w:val="0"/>
      <w:marRight w:val="0"/>
      <w:marTop w:val="0"/>
      <w:marBottom w:val="0"/>
      <w:divBdr>
        <w:top w:val="none" w:sz="0" w:space="0" w:color="auto"/>
        <w:left w:val="none" w:sz="0" w:space="0" w:color="auto"/>
        <w:bottom w:val="none" w:sz="0" w:space="0" w:color="auto"/>
        <w:right w:val="none" w:sz="0" w:space="0" w:color="auto"/>
      </w:divBdr>
    </w:div>
    <w:div w:id="2091267027">
      <w:bodyDiv w:val="1"/>
      <w:marLeft w:val="0"/>
      <w:marRight w:val="0"/>
      <w:marTop w:val="0"/>
      <w:marBottom w:val="0"/>
      <w:divBdr>
        <w:top w:val="none" w:sz="0" w:space="0" w:color="auto"/>
        <w:left w:val="none" w:sz="0" w:space="0" w:color="auto"/>
        <w:bottom w:val="none" w:sz="0" w:space="0" w:color="auto"/>
        <w:right w:val="none" w:sz="0" w:space="0" w:color="auto"/>
      </w:divBdr>
    </w:div>
    <w:div w:id="2096172865">
      <w:bodyDiv w:val="1"/>
      <w:marLeft w:val="0"/>
      <w:marRight w:val="0"/>
      <w:marTop w:val="0"/>
      <w:marBottom w:val="0"/>
      <w:divBdr>
        <w:top w:val="none" w:sz="0" w:space="0" w:color="auto"/>
        <w:left w:val="none" w:sz="0" w:space="0" w:color="auto"/>
        <w:bottom w:val="none" w:sz="0" w:space="0" w:color="auto"/>
        <w:right w:val="none" w:sz="0" w:space="0" w:color="auto"/>
      </w:divBdr>
    </w:div>
    <w:div w:id="214716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2" ma:contentTypeDescription="Vytvoří nový dokument" ma:contentTypeScope="" ma:versionID="4b4d1c45f810d70a5a826db06062b1e6">
  <xsd:schema xmlns:xsd="http://www.w3.org/2001/XMLSchema" xmlns:xs="http://www.w3.org/2001/XMLSchema" xmlns:p="http://schemas.microsoft.com/office/2006/metadata/properties" xmlns:ns3="ac7fa858-82e2-4a79-bdef-c3400b55fb98" targetNamespace="http://schemas.microsoft.com/office/2006/metadata/properties" ma:root="true" ma:fieldsID="44b033c7e296e3279ec4cad60727d0c8"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E0C4C-C41A-45E4-BC8D-22C710175E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7fa858-82e2-4a79-bdef-c3400b55fb98"/>
    <ds:schemaRef ds:uri="http://www.w3.org/XML/1998/namespace"/>
    <ds:schemaRef ds:uri="http://purl.org/dc/dcmitype/"/>
  </ds:schemaRefs>
</ds:datastoreItem>
</file>

<file path=customXml/itemProps2.xml><?xml version="1.0" encoding="utf-8"?>
<ds:datastoreItem xmlns:ds="http://schemas.openxmlformats.org/officeDocument/2006/customXml" ds:itemID="{5E787121-A8FC-4B1C-91C1-75DA0BCC7A4F}">
  <ds:schemaRefs>
    <ds:schemaRef ds:uri="http://schemas.microsoft.com/sharepoint/v3/contenttype/forms"/>
  </ds:schemaRefs>
</ds:datastoreItem>
</file>

<file path=customXml/itemProps3.xml><?xml version="1.0" encoding="utf-8"?>
<ds:datastoreItem xmlns:ds="http://schemas.openxmlformats.org/officeDocument/2006/customXml" ds:itemID="{FB81930A-3153-45C9-A847-03C57D4D2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13233</Characters>
  <Application>Microsoft Office Word</Application>
  <DocSecurity>4</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Kružel</dc:creator>
  <cp:keywords/>
  <dc:description>Created by the Microsoft Dynamics NAV report engine.</dc:description>
  <cp:lastModifiedBy>Anna Ročková</cp:lastModifiedBy>
  <cp:revision>2</cp:revision>
  <cp:lastPrinted>2025-06-25T09:58:00Z</cp:lastPrinted>
  <dcterms:created xsi:type="dcterms:W3CDTF">2025-06-26T09:24:00Z</dcterms:created>
  <dcterms:modified xsi:type="dcterms:W3CDTF">2025-06-26T09:24:00Z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y fmtid="{D5CDD505-2E9C-101B-9397-08002B2CF9AE}" pid="3" name="MediaServiceImageTags">
    <vt:lpwstr/>
  </property>
  <property fmtid="{D5CDD505-2E9C-101B-9397-08002B2CF9AE}" pid="4" name="GrammarlyDocumentId">
    <vt:lpwstr>6dafedd5-d08a-4e30-8c8c-00558fc92fa5</vt:lpwstr>
  </property>
</Properties>
</file>