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080"/>
        <w:gridCol w:w="300"/>
        <w:gridCol w:w="60"/>
        <w:gridCol w:w="20"/>
        <w:gridCol w:w="120"/>
        <w:gridCol w:w="500"/>
        <w:gridCol w:w="320"/>
        <w:gridCol w:w="1280"/>
        <w:gridCol w:w="620"/>
        <w:gridCol w:w="160"/>
        <w:gridCol w:w="240"/>
        <w:gridCol w:w="80"/>
        <w:gridCol w:w="20"/>
        <w:gridCol w:w="320"/>
        <w:gridCol w:w="160"/>
        <w:gridCol w:w="280"/>
        <w:gridCol w:w="180"/>
        <w:gridCol w:w="540"/>
        <w:gridCol w:w="100"/>
        <w:gridCol w:w="20"/>
        <w:gridCol w:w="240"/>
        <w:gridCol w:w="440"/>
        <w:gridCol w:w="60"/>
        <w:gridCol w:w="580"/>
        <w:gridCol w:w="16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62569236" name="Picture">
</wp:docPr>
                  <a:graphic>
                    <a:graphicData uri="http://schemas.openxmlformats.org/drawingml/2006/picture">
                      <pic:pic>
                        <pic:nvPicPr>
                          <pic:cNvPr id="862569236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0025020004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25020004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47154122" name="Picture">
</wp:docPr>
                  <a:graphic>
                    <a:graphicData uri="http://schemas.openxmlformats.org/drawingml/2006/picture">
                      <pic:pic>
                        <pic:nvPicPr>
                          <pic:cNvPr id="1347154122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Kompresservis s.r.o.</w:t>
              <w:br/>
              <w:t xml:space="preserve">Libeň 12</w:t>
              <w:br/>
              <w:t xml:space="preserve">252 41 LIBEŘ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10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RNDr. Plocek Jiří, Ph.D.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24800627</w:t>
            </w:r>
          </w:p>
        </w:tc>
        <w:tc>
          <w:tcPr>
            <w:gridSpan w:val="3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CZ24800627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311236916, 723 762 473,  e-mail: plocek@iic.cas.cz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07.07.2025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 ČR,v.v.i., Husinec-Řež č.p. 1001, budova 273 (FIII), 250 68  Husinec-Řež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vlastní odvoz z areálu Tradeco, K Sádkám 158, Praha 5 - Lahovice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Základ DPH [CZK]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DPH %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DPH [CZK]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vč.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Kompresor Junior II-W, napájení 1F230, plnící tlak 200 bar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99 414,00 Kč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99 414,00</w:t>
            </w: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0,00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99 414,00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99 414,00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23.06.2025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748001 \ 100 \ 740100 Vincencová \ 0800   Deník: 2 \ 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