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1" w:after="0" w:line="627" w:lineRule="exact"/>
        <w:ind w:right="0" w:left="72" w:firstLine="0"/>
        <w:jc w:val="center"/>
        <w:textAlignment w:val="baseline"/>
        <w:rPr>
          <w:rFonts w:ascii="Arial" w:hAnsi="Arial" w:eastAsia="Arial"/>
          <w:b w:val="true"/>
          <w:color w:val="000000"/>
          <w:spacing w:val="-5"/>
          <w:w w:val="100"/>
          <w:sz w:val="55"/>
          <w:vertAlign w:val="baseline"/>
          <w:lang w:val="cs-CZ"/>
        </w:rPr>
      </w:pPr>
      <w:r>
        <w:rPr>
          <w:rFonts w:ascii="Arial" w:hAnsi="Arial" w:eastAsia="Arial"/>
          <w:b w:val="true"/>
          <w:color w:val="000000"/>
          <w:spacing w:val="-5"/>
          <w:w w:val="100"/>
          <w:sz w:val="55"/>
          <w:vertAlign w:val="baseline"/>
          <w:lang w:val="cs-CZ"/>
        </w:rPr>
        <w:t xml:space="preserve">DODATEK č. 1</w:t>
      </w:r>
    </w:p>
    <w:p>
      <w:pPr>
        <w:spacing w:before="67" w:after="0" w:line="450" w:lineRule="exact"/>
        <w:ind w:right="0" w:left="72" w:firstLine="0"/>
        <w:jc w:val="center"/>
        <w:textAlignment w:val="baseline"/>
        <w:rPr>
          <w:rFonts w:ascii="Arial" w:hAnsi="Arial" w:eastAsia="Arial"/>
          <w:color w:val="000000"/>
          <w:spacing w:val="6"/>
          <w:w w:val="95"/>
          <w:sz w:val="40"/>
          <w:vertAlign w:val="baseline"/>
          <w:lang w:val="cs-CZ"/>
        </w:rPr>
      </w:pPr>
      <w:r>
        <w:rPr>
          <w:rFonts w:ascii="Arial" w:hAnsi="Arial" w:eastAsia="Arial"/>
          <w:color w:val="000000"/>
          <w:spacing w:val="6"/>
          <w:w w:val="95"/>
          <w:sz w:val="40"/>
          <w:vertAlign w:val="baseline"/>
          <w:lang w:val="cs-CZ"/>
        </w:rPr>
        <w:t xml:space="preserve">(dále také jen „dodatek“)</w:t>
      </w:r>
    </w:p>
    <w:p>
      <w:pPr>
        <w:spacing w:before="80" w:after="0" w:line="627" w:lineRule="exact"/>
        <w:ind w:right="0" w:left="72" w:firstLine="0"/>
        <w:jc w:val="center"/>
        <w:textAlignment w:val="baseline"/>
        <w:rPr>
          <w:rFonts w:ascii="Arial" w:hAnsi="Arial" w:eastAsia="Arial"/>
          <w:b w:val="true"/>
          <w:color w:val="000000"/>
          <w:spacing w:val="0"/>
          <w:w w:val="100"/>
          <w:sz w:val="55"/>
          <w:vertAlign w:val="baseline"/>
          <w:lang w:val="cs-CZ"/>
        </w:rPr>
      </w:pPr>
      <w:r>
        <w:rPr>
          <w:rFonts w:ascii="Arial" w:hAnsi="Arial" w:eastAsia="Arial"/>
          <w:b w:val="true"/>
          <w:color w:val="000000"/>
          <w:spacing w:val="0"/>
          <w:w w:val="100"/>
          <w:sz w:val="55"/>
          <w:vertAlign w:val="baseline"/>
          <w:lang w:val="cs-CZ"/>
        </w:rPr>
        <w:t xml:space="preserve">k pojistné smlouvě č.</w:t>
      </w:r>
    </w:p>
    <w:p>
      <w:pPr>
        <w:spacing w:before="79" w:after="0" w:line="627" w:lineRule="exact"/>
        <w:ind w:right="0" w:left="72" w:firstLine="0"/>
        <w:jc w:val="center"/>
        <w:textAlignment w:val="baseline"/>
        <w:rPr>
          <w:rFonts w:ascii="Arial" w:hAnsi="Arial" w:eastAsia="Arial"/>
          <w:b w:val="true"/>
          <w:color w:val="000000"/>
          <w:spacing w:val="0"/>
          <w:w w:val="100"/>
          <w:sz w:val="55"/>
          <w:vertAlign w:val="baseline"/>
          <w:lang w:val="cs-CZ"/>
        </w:rPr>
      </w:pPr>
      <w:r>
        <w:rPr>
          <w:rFonts w:ascii="Arial" w:hAnsi="Arial" w:eastAsia="Arial"/>
          <w:b w:val="true"/>
          <w:color w:val="000000"/>
          <w:spacing w:val="0"/>
          <w:w w:val="100"/>
          <w:sz w:val="55"/>
          <w:vertAlign w:val="baseline"/>
          <w:lang w:val="cs-CZ"/>
        </w:rPr>
        <w:t xml:space="preserve">8074554117</w:t>
      </w:r>
    </w:p>
    <w:p>
      <w:pPr>
        <w:spacing w:before="62" w:after="0" w:line="450" w:lineRule="exact"/>
        <w:ind w:right="0" w:left="72" w:firstLine="0"/>
        <w:jc w:val="center"/>
        <w:textAlignment w:val="baseline"/>
        <w:rPr>
          <w:rFonts w:ascii="Arial" w:hAnsi="Arial" w:eastAsia="Arial"/>
          <w:color w:val="000000"/>
          <w:spacing w:val="7"/>
          <w:w w:val="95"/>
          <w:sz w:val="40"/>
          <w:vertAlign w:val="baseline"/>
          <w:lang w:val="cs-CZ"/>
        </w:rPr>
      </w:pPr>
      <w:r>
        <w:rPr>
          <w:rFonts w:ascii="Arial" w:hAnsi="Arial" w:eastAsia="Arial"/>
          <w:color w:val="000000"/>
          <w:spacing w:val="7"/>
          <w:w w:val="95"/>
          <w:sz w:val="40"/>
          <w:vertAlign w:val="baseline"/>
          <w:lang w:val="cs-CZ"/>
        </w:rPr>
        <w:t xml:space="preserve">(dále také jen „pojistná smlouva“)</w:t>
      </w:r>
    </w:p>
    <w:p>
      <w:pPr>
        <w:spacing w:before="602" w:after="0" w:line="223" w:lineRule="exact"/>
        <w:ind w:right="0" w:left="72" w:firstLine="0"/>
        <w:jc w:val="left"/>
        <w:textAlignment w:val="baseline"/>
        <w:rPr>
          <w:rFonts w:ascii="Arial" w:hAnsi="Arial" w:eastAsia="Arial"/>
          <w:color w:val="000000"/>
          <w:spacing w:val="-2"/>
          <w:w w:val="100"/>
          <w:sz w:val="20"/>
          <w:vertAlign w:val="baseline"/>
          <w:lang w:val="cs-CZ"/>
        </w:rPr>
      </w:pPr>
      <w:r>
        <w:rPr>
          <w:rFonts w:ascii="Arial" w:hAnsi="Arial" w:eastAsia="Arial"/>
          <w:color w:val="000000"/>
          <w:spacing w:val="-2"/>
          <w:w w:val="100"/>
          <w:sz w:val="20"/>
          <w:vertAlign w:val="baseline"/>
          <w:lang w:val="cs-CZ"/>
        </w:rPr>
        <w:t xml:space="preserve">Smluvní strany:</w:t>
      </w:r>
    </w:p>
    <w:p>
      <w:pPr>
        <w:spacing w:before="639" w:after="0" w:line="279" w:lineRule="exact"/>
        <w:ind w:right="0" w:left="72" w:firstLine="0"/>
        <w:jc w:val="left"/>
        <w:textAlignment w:val="baseline"/>
        <w:rPr>
          <w:rFonts w:ascii="Arial" w:hAnsi="Arial" w:eastAsia="Arial"/>
          <w:b w:val="true"/>
          <w:color w:val="000000"/>
          <w:spacing w:val="0"/>
          <w:w w:val="100"/>
          <w:sz w:val="24"/>
          <w:vertAlign w:val="baseline"/>
          <w:lang w:val="cs-CZ"/>
        </w:rPr>
      </w:pPr>
      <w:r>
        <w:rPr>
          <w:rFonts w:ascii="Arial" w:hAnsi="Arial" w:eastAsia="Arial"/>
          <w:b w:val="true"/>
          <w:color w:val="000000"/>
          <w:spacing w:val="0"/>
          <w:w w:val="100"/>
          <w:sz w:val="24"/>
          <w:vertAlign w:val="baseline"/>
          <w:lang w:val="cs-CZ"/>
        </w:rPr>
        <w:t xml:space="preserve">ČSOB Pojišťovna, a. s., člen holdingu ČSOB</w:t>
      </w:r>
    </w:p>
    <w:p>
      <w:pPr>
        <w:spacing w:before="2"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se sídlem Masarykovo náměstí 1458, Zelené Předměstí</w:t>
      </w:r>
    </w:p>
    <w:p>
      <w:pPr>
        <w:spacing w:before="5" w:after="0" w:line="225"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53002 Pardubice, Česká republika</w:t>
      </w:r>
    </w:p>
    <w:p>
      <w:pPr>
        <w:spacing w:before="5" w:after="0" w:line="226"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IČO: 45534306, DIČ: CZ699000761</w:t>
      </w:r>
    </w:p>
    <w:p>
      <w:pPr>
        <w:spacing w:before="7"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zapsaná v obchodním rejstříku u Krajského soudu Hradec Králové, oddíl B, vložka 567</w:t>
      </w:r>
    </w:p>
    <w:p>
      <w:pPr>
        <w:spacing w:before="7" w:after="0" w:line="223"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(dále jen pojistitel)</w:t>
      </w:r>
    </w:p>
    <w:p>
      <w:pPr>
        <w:spacing w:before="8" w:after="0" w:line="223" w:lineRule="exact"/>
        <w:ind w:right="0" w:left="72" w:firstLine="0"/>
        <w:jc w:val="left"/>
        <w:textAlignment w:val="baseline"/>
        <w:rPr>
          <w:rFonts w:ascii="Arial" w:hAnsi="Arial" w:eastAsia="Arial"/>
          <w:color w:val="000000"/>
          <w:spacing w:val="4"/>
          <w:w w:val="100"/>
          <w:sz w:val="20"/>
          <w:vertAlign w:val="baseline"/>
          <w:lang w:val="cs-CZ"/>
        </w:rPr>
      </w:pPr>
      <w:r>
        <w:rPr>
          <w:rFonts w:ascii="Arial" w:hAnsi="Arial" w:eastAsia="Arial"/>
          <w:color w:val="000000"/>
          <w:spacing w:val="4"/>
          <w:w w:val="100"/>
          <w:sz w:val="20"/>
          <w:vertAlign w:val="baseline"/>
          <w:lang w:val="cs-CZ"/>
        </w:rPr>
        <w:t xml:space="preserve">tel.: xxxx xxxx fax: xxx xxxx www.c</w:t>
      </w:r>
      <w:hyperlink r:id="dhId1">
        <w:r>
          <w:rPr>
            <w:rFonts w:ascii="Arial" w:hAnsi="Arial" w:eastAsia="Arial"/>
            <w:color w:val="0000FF"/>
            <w:spacing w:val="4"/>
            <w:w w:val="100"/>
            <w:sz w:val="20"/>
            <w:u w:val="single"/>
            <w:vertAlign w:val="baseline"/>
            <w:lang w:val="cs-CZ"/>
          </w:rPr>
          <w:t xml:space="preserve">sobpoj.cz</w:t>
        </w:r>
      </w:hyperlink>
      <w:r>
        <w:rPr>
          <w:rFonts w:ascii="Arial" w:hAnsi="Arial" w:eastAsia="Arial"/>
          <w:color w:val="000000"/>
          <w:spacing w:val="4"/>
          <w:w w:val="100"/>
          <w:sz w:val="20"/>
          <w:vertAlign w:val="baseline"/>
          <w:lang w:val="cs-CZ"/>
        </w:rPr>
        <w:t xml:space="preserve">
</w:t>
      </w:r>
    </w:p>
    <w:p>
      <w:pPr>
        <w:spacing w:before="305"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pojistitele zastupuje: xxxx xxxx, account manager</w:t>
      </w:r>
    </w:p>
    <w:p>
      <w:pPr>
        <w:spacing w:before="622"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a</w:t>
      </w:r>
    </w:p>
    <w:p>
      <w:pPr>
        <w:spacing w:before="649" w:after="0" w:line="268" w:lineRule="exact"/>
        <w:ind w:right="0" w:left="72" w:firstLine="0"/>
        <w:jc w:val="left"/>
        <w:textAlignment w:val="baseline"/>
        <w:rPr>
          <w:rFonts w:ascii="Arial" w:hAnsi="Arial" w:eastAsia="Arial"/>
          <w:b w:val="true"/>
          <w:color w:val="000000"/>
          <w:spacing w:val="0"/>
          <w:w w:val="100"/>
          <w:sz w:val="24"/>
          <w:vertAlign w:val="baseline"/>
          <w:lang w:val="cs-CZ"/>
        </w:rPr>
      </w:pPr>
      <w:r>
        <w:rPr>
          <w:rFonts w:ascii="Arial" w:hAnsi="Arial" w:eastAsia="Arial"/>
          <w:b w:val="true"/>
          <w:color w:val="000000"/>
          <w:spacing w:val="0"/>
          <w:w w:val="100"/>
          <w:sz w:val="24"/>
          <w:vertAlign w:val="baseline"/>
          <w:lang w:val="cs-CZ"/>
        </w:rPr>
        <w:t xml:space="preserve">Pelhřimovská vodárenská s.r.o.</w:t>
      </w:r>
    </w:p>
    <w:p>
      <w:pPr>
        <w:spacing w:before="0" w:after="0" w:line="227"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se sídlem / místem podnikání Radětínská 1158</w:t>
        <w:br/>
      </w:r>
      <w:r>
        <w:rPr>
          <w:rFonts w:ascii="Arial" w:hAnsi="Arial" w:eastAsia="Arial"/>
          <w:color w:val="000000"/>
          <w:spacing w:val="0"/>
          <w:w w:val="100"/>
          <w:sz w:val="20"/>
          <w:vertAlign w:val="baseline"/>
          <w:lang w:val="cs-CZ"/>
        </w:rPr>
        <w:t xml:space="preserve">39301, Pelhřimov</w:t>
      </w:r>
    </w:p>
    <w:p>
      <w:pPr>
        <w:spacing w:before="308" w:after="0" w:line="225" w:lineRule="exact"/>
        <w:ind w:right="0" w:left="72" w:firstLine="0"/>
        <w:jc w:val="left"/>
        <w:textAlignment w:val="baseline"/>
        <w:rPr>
          <w:rFonts w:ascii="Arial" w:hAnsi="Arial" w:eastAsia="Arial"/>
          <w:color w:val="000000"/>
          <w:spacing w:val="-2"/>
          <w:w w:val="100"/>
          <w:sz w:val="20"/>
          <w:vertAlign w:val="baseline"/>
          <w:lang w:val="cs-CZ"/>
        </w:rPr>
      </w:pPr>
      <w:r>
        <w:rPr>
          <w:rFonts w:ascii="Arial" w:hAnsi="Arial" w:eastAsia="Arial"/>
          <w:color w:val="000000"/>
          <w:spacing w:val="-2"/>
          <w:w w:val="100"/>
          <w:sz w:val="20"/>
          <w:vertAlign w:val="baseline"/>
          <w:lang w:val="cs-CZ"/>
        </w:rPr>
        <w:t xml:space="preserve">IČO: 04605683</w:t>
      </w:r>
    </w:p>
    <w:p>
      <w:pPr>
        <w:spacing w:before="8"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w:t>
      </w:r>
    </w:p>
    <w:p>
      <w:pPr>
        <w:spacing w:before="7" w:after="0" w:line="223"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(dále jen „pojistník“)</w:t>
      </w:r>
    </w:p>
    <w:p>
      <w:pPr>
        <w:spacing w:before="303" w:after="0" w:line="225"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pojistníka zastupuje: Ing. Vlastimil Šebesta, jednatel</w:t>
      </w:r>
    </w:p>
    <w:p>
      <w:pPr>
        <w:spacing w:before="305"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se dohodly, že výše uvedená pojistná smlouva se mění a doplňuje takto:</w:t>
      </w:r>
    </w:p>
    <w:p>
      <w:pPr>
        <w:spacing w:before="283" w:after="0" w:line="328" w:lineRule="exact"/>
        <w:ind w:right="0" w:left="72" w:firstLine="0"/>
        <w:jc w:val="center"/>
        <w:textAlignment w:val="baseline"/>
        <w:rPr>
          <w:rFonts w:ascii="Arial" w:hAnsi="Arial" w:eastAsia="Arial"/>
          <w:b w:val="true"/>
          <w:i w:val="true"/>
          <w:color w:val="000000"/>
          <w:spacing w:val="-4"/>
          <w:w w:val="100"/>
          <w:sz w:val="28"/>
          <w:vertAlign w:val="baseline"/>
          <w:lang w:val="cs-CZ"/>
        </w:rPr>
      </w:pPr>
      <w:r>
        <w:rPr>
          <w:rFonts w:ascii="Arial" w:hAnsi="Arial" w:eastAsia="Arial"/>
          <w:b w:val="true"/>
          <w:i w:val="true"/>
          <w:color w:val="000000"/>
          <w:spacing w:val="-4"/>
          <w:w w:val="100"/>
          <w:sz w:val="28"/>
          <w:vertAlign w:val="baseline"/>
          <w:lang w:val="cs-CZ"/>
        </w:rPr>
        <w:t xml:space="preserve">Článek I.</w:t>
      </w:r>
    </w:p>
    <w:p>
      <w:pPr>
        <w:spacing w:before="5" w:after="0" w:line="271" w:lineRule="exact"/>
        <w:ind w:right="0" w:left="72"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Změna již existujících právních vztahů pojištění sjednaných pojistnou</w:t>
      </w:r>
    </w:p>
    <w:p>
      <w:pPr>
        <w:spacing w:before="2" w:after="0" w:line="271" w:lineRule="exact"/>
        <w:ind w:right="0" w:left="72"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smlouvou</w:t>
      </w:r>
    </w:p>
    <w:p>
      <w:pPr>
        <w:spacing w:before="258" w:after="0" w:line="233" w:lineRule="exact"/>
        <w:ind w:right="648" w:left="432" w:hanging="360"/>
        <w:jc w:val="left"/>
        <w:textAlignment w:val="baseline"/>
        <w:rPr>
          <w:rFonts w:ascii="Arial" w:hAnsi="Arial" w:eastAsia="Arial"/>
          <w:b w:val="true"/>
          <w:color w:val="000000"/>
          <w:spacing w:val="0"/>
          <w:w w:val="100"/>
          <w:sz w:val="24"/>
          <w:vertAlign w:val="baseline"/>
          <w:lang w:val="cs-CZ"/>
        </w:rPr>
      </w:pPr>
      <w:r>
        <w:rPr>
          <w:rFonts w:ascii="Arial" w:hAnsi="Arial" w:eastAsia="Arial"/>
          <w:b w:val="true"/>
          <w:color w:val="000000"/>
          <w:spacing w:val="0"/>
          <w:w w:val="100"/>
          <w:sz w:val="24"/>
          <w:vertAlign w:val="baseline"/>
          <w:lang w:val="cs-CZ"/>
        </w:rPr>
        <w:t xml:space="preserve">1. Pojištění strojů </w:t>
      </w:r>
      <w:r>
        <w:rPr>
          <w:rFonts w:ascii="Arial" w:hAnsi="Arial" w:eastAsia="Arial"/>
          <w:b w:val="true"/>
          <w:color w:val="000000"/>
          <w:spacing w:val="0"/>
          <w:w w:val="100"/>
          <w:sz w:val="20"/>
          <w:vertAlign w:val="baseline"/>
          <w:lang w:val="cs-CZ"/>
        </w:rPr>
        <w:t xml:space="preserve">sjednané článkem II. pojistné smlouvy se ode dne nabytí účinnosti tohoto dodatku mění následovně:</w:t>
      </w:r>
    </w:p>
    <w:p>
      <w:pPr>
        <w:spacing w:before="387" w:after="0" w:line="273" w:lineRule="exact"/>
        <w:ind w:right="0" w:left="72" w:firstLine="0"/>
        <w:jc w:val="left"/>
        <w:textAlignment w:val="baseline"/>
        <w:rPr>
          <w:rFonts w:ascii="Arial" w:hAnsi="Arial" w:eastAsia="Arial"/>
          <w:b w:val="true"/>
          <w:color w:val="000000"/>
          <w:spacing w:val="-6"/>
          <w:w w:val="100"/>
          <w:sz w:val="24"/>
          <w:vertAlign w:val="baseline"/>
          <w:lang w:val="cs-CZ"/>
        </w:rPr>
      </w:pPr>
      <w:r>
        <w:rPr>
          <w:rFonts w:ascii="Arial" w:hAnsi="Arial" w:eastAsia="Arial"/>
          <w:b w:val="true"/>
          <w:color w:val="000000"/>
          <w:spacing w:val="-6"/>
          <w:w w:val="100"/>
          <w:sz w:val="24"/>
          <w:vertAlign w:val="baseline"/>
          <w:lang w:val="cs-CZ"/>
        </w:rPr>
        <w:t xml:space="preserve">NOVÉ</w:t>
      </w:r>
    </w:p>
    <w:p>
      <w:pPr>
        <w:spacing w:before="162" w:after="0" w:line="233" w:lineRule="exact"/>
        <w:ind w:right="0" w:left="72" w:firstLine="0"/>
        <w:jc w:val="both"/>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Pojistitel a pojistník výslovně sjednávají, že </w:t>
      </w:r>
      <w:r>
        <w:rPr>
          <w:rFonts w:ascii="Arial" w:hAnsi="Arial" w:eastAsia="Arial"/>
          <w:b w:val="true"/>
          <w:color w:val="000000"/>
          <w:spacing w:val="0"/>
          <w:w w:val="100"/>
          <w:sz w:val="20"/>
          <w:vertAlign w:val="baseline"/>
          <w:lang w:val="cs-CZ"/>
        </w:rPr>
        <w:t xml:space="preserve">pojištění se </w:t>
      </w:r>
      <w:r>
        <w:rPr>
          <w:rFonts w:ascii="Arial" w:hAnsi="Arial" w:eastAsia="Arial"/>
          <w:color w:val="000000"/>
          <w:spacing w:val="0"/>
          <w:w w:val="100"/>
          <w:sz w:val="20"/>
          <w:vertAlign w:val="baseline"/>
          <w:lang w:val="cs-CZ"/>
        </w:rPr>
        <w:t xml:space="preserve">ode dne nabytí účinnosti tohoto dodatku </w:t>
      </w:r>
      <w:r>
        <w:rPr>
          <w:rFonts w:ascii="Arial" w:hAnsi="Arial" w:eastAsia="Arial"/>
          <w:b w:val="true"/>
          <w:color w:val="000000"/>
          <w:spacing w:val="0"/>
          <w:w w:val="100"/>
          <w:sz w:val="20"/>
          <w:vertAlign w:val="baseline"/>
          <w:lang w:val="cs-CZ"/>
        </w:rPr>
        <w:t xml:space="preserve">NOVĚ VZTAHUJE i na následující hodnoty pojistného zájmu (následující nové předměty pojištění)</w:t>
      </w:r>
      <w:r>
        <w:rPr>
          <w:rFonts w:ascii="Arial" w:hAnsi="Arial" w:eastAsia="Arial"/>
          <w:color w:val="000000"/>
          <w:spacing w:val="0"/>
          <w:w w:val="100"/>
          <w:sz w:val="20"/>
          <w:vertAlign w:val="baseline"/>
          <w:lang w:val="cs-CZ"/>
        </w:rPr>
        <w:t xml:space="preserve">, a to s parametry pojištění uvedenými u jednotlivých nových hodnot pojistného zájmu (nových předmětů pojištění):</w:t>
      </w:r>
    </w:p>
    <w:p>
      <w:pPr>
        <w:sectPr>
          <w:type w:val="nextPage"/>
          <w:pgSz w:w="11899" w:h="16843" w:orient="portrait"/>
          <w:pgMar w:bottom="807" w:top="1000" w:right="1360" w:left="1339" w:header="720" w:footer="720"/>
          <w:titlePg w:val="false"/>
          <w:textDirection w:val="lrTb"/>
        </w:sectPr>
      </w:pPr>
    </w:p>
    <w:p>
      <w:pPr>
        <w:spacing w:before="8" w:after="0" w:line="206"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Číslo pojistné smlouvy: 8074554117 dodatek 1</w:t>
      </w:r>
    </w:p>
    <w:p>
      <w:pPr>
        <w:spacing w:before="304" w:after="0"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 souladu s článkem I. pojistné smlouvy se toto pojištění řídí také Všeobecnými pojistnými podmínkami - zvláštní část Pojištění strojů VPP STR 2014 (dále jen "VPP STR 2014"), které jsou nedílnou součástí a přílohou této pojistné smlouvy. Dále se toto pojištění řídí také Doplňkovými pojistnými podmínkami - Pravidla zabezpečení proti odcizení DPP PZK 2014 (dále jen „DPP PZK 2014“), které jsou také nedílnou součástí a přílohou této pojistné smlouvy.</w:t>
      </w:r>
    </w:p>
    <w:p>
      <w:pPr>
        <w:spacing w:before="180" w:after="0" w:line="207" w:lineRule="exact"/>
        <w:ind w:right="288" w:left="0" w:firstLine="0"/>
        <w:jc w:val="left"/>
        <w:textAlignment w:val="baseline"/>
        <w:rPr>
          <w:rFonts w:ascii="Arial" w:hAnsi="Arial" w:eastAsia="Arial"/>
          <w:b w:val="true"/>
          <w:color w:val="000000"/>
          <w:spacing w:val="-1"/>
          <w:w w:val="100"/>
          <w:sz w:val="18"/>
          <w:vertAlign w:val="baseline"/>
          <w:lang w:val="cs-CZ"/>
        </w:rPr>
      </w:pPr>
      <w:r>
        <w:rPr>
          <w:rFonts w:ascii="Arial" w:hAnsi="Arial" w:eastAsia="Arial"/>
          <w:b w:val="true"/>
          <w:color w:val="000000"/>
          <w:spacing w:val="-1"/>
          <w:w w:val="100"/>
          <w:sz w:val="18"/>
          <w:vertAlign w:val="baseline"/>
          <w:lang w:val="cs-CZ"/>
        </w:rPr>
        <w:t xml:space="preserve">Odchylně od VPP STR 2014, článek VI, odstavec 2, písmeno f) se ujednává, že pojistitel poskytne pro škodné události způsobené na skleněných součástech předmětu pojištění limit pojistného plnění pro pojistnou událost ve výši 20 000,- Kč a zároveň limit pojistného plnění ve výši 100 000,- Kč, tento limit je horní hranicí pojistného plnění pojistitele v každém jednom roce trvání účinnosti této pojistné smlouvy.</w:t>
      </w:r>
    </w:p>
    <w:p>
      <w:pPr>
        <w:spacing w:before="220" w:after="0" w:line="207" w:lineRule="exact"/>
        <w:ind w:right="144"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 návaznosti na výluky uvedené ve VPP STR 2014, článku VI, se dále pojištění nevztahuje na jakékoli ztráty, škody, nároky, náklady nebo výdaje jakékoli povahy, uhrazené nebo vynaložené přímo či nepřímo v souvislosti s:</w:t>
      </w:r>
    </w:p>
    <w:p>
      <w:pPr>
        <w:numPr>
          <w:ilvl w:val="0"/>
          <w:numId w:val="1"/>
        </w:numPr>
        <w:tabs>
          <w:tab w:val="clear" w:pos="504"/>
          <w:tab w:val="left" w:pos="504"/>
        </w:tabs>
        <w:spacing w:before="1" w:after="0" w:line="206" w:lineRule="exact"/>
        <w:ind w:right="0" w:left="504" w:hanging="504"/>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jakoukoliv přenosnou chorobou nebo obavou z jejího přenosu nebo hrozbou (ať už skutečnou nebo vnímanou) přenosu jakékoli choroby bez ohledu na příčinu jejího vzniku nebo událost, která k přenosu choroby, obavě z jejího přenosu nebo hrozbě přenosu choroby přispěla současně nebo v jakémkoliv jiném pořadí,</w:t>
      </w:r>
    </w:p>
    <w:p>
      <w:pPr>
        <w:numPr>
          <w:ilvl w:val="0"/>
          <w:numId w:val="1"/>
        </w:numPr>
        <w:tabs>
          <w:tab w:val="clear" w:pos="504"/>
          <w:tab w:val="left" w:pos="504"/>
        </w:tabs>
        <w:spacing w:before="183" w:after="0" w:line="206" w:lineRule="exact"/>
        <w:ind w:right="0" w:left="504" w:hanging="504"/>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jakýmikoliv přijatými nebo nepřijatými opatřeními k prevenci, potlačení, zmírnění následků v souvislosti s písm. a) tohoto odstavce.</w:t>
      </w:r>
    </w:p>
    <w:p>
      <w:pPr>
        <w:spacing w:before="183" w:after="0" w:line="206" w:lineRule="exact"/>
        <w:ind w:right="144"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Přenosná choroba je každá nemoc, která se může přenášet pomocí jakékoli látky nebo prostředku, z kteréhokoliv organismu na jiný organismus jestliže:</w:t>
      </w:r>
    </w:p>
    <w:p>
      <w:pPr>
        <w:numPr>
          <w:ilvl w:val="0"/>
          <w:numId w:val="2"/>
        </w:numPr>
        <w:tabs>
          <w:tab w:val="clear" w:pos="504"/>
          <w:tab w:val="left" w:pos="504"/>
        </w:tabs>
        <w:spacing w:before="1" w:after="0" w:line="206" w:lineRule="exact"/>
        <w:ind w:right="0" w:left="504" w:hanging="504"/>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přenosnou látkou nebo prostředkem je virus, bakterie, parazit nebo jiný organismus nebo jejich varianty, derivace nebo mutace, ať už se považují za živé nebo ne, a</w:t>
      </w:r>
    </w:p>
    <w:p>
      <w:pPr>
        <w:numPr>
          <w:ilvl w:val="0"/>
          <w:numId w:val="2"/>
        </w:numPr>
        <w:tabs>
          <w:tab w:val="clear" w:pos="504"/>
          <w:tab w:val="left" w:pos="504"/>
        </w:tabs>
        <w:spacing w:before="183" w:after="0" w:line="206" w:lineRule="exact"/>
        <w:ind w:right="0" w:left="504" w:hanging="504"/>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přenos mezi organismy, ať už přímý či nepřímý je realizován mj. vzduchem, tělesnými tekutinami, z nebo na jakýkoliv povrch nebo objekt ve formě tuhé, kapalné nebo plynné a</w:t>
      </w:r>
    </w:p>
    <w:p>
      <w:pPr>
        <w:numPr>
          <w:ilvl w:val="0"/>
          <w:numId w:val="2"/>
        </w:numPr>
        <w:tabs>
          <w:tab w:val="clear" w:pos="504"/>
          <w:tab w:val="left" w:pos="504"/>
        </w:tabs>
        <w:spacing w:before="176" w:after="0" w:line="208" w:lineRule="exact"/>
        <w:ind w:right="0" w:left="504" w:hanging="504"/>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samotná nemoc, přenosná látka nebo původce přenosu způsobí nebo by mohly způsobit poškození nebo ohrozit lidské zdraví nebo životní podmínky lidí nebo způsobí nebo by mohly způsobit nebo ohrozit poškození, zhoršení kvality, ztrátu hodnoty, prodejnost nebo ztrátu možnosti užívání majetku nebo jakoukoliv ztrátu možnosti podnikání.</w:t>
      </w:r>
    </w:p>
    <w:p>
      <w:pPr>
        <w:spacing w:before="361" w:after="144" w:line="225" w:lineRule="exact"/>
        <w:ind w:right="0" w:left="0" w:firstLine="0"/>
        <w:jc w:val="left"/>
        <w:textAlignment w:val="baseline"/>
        <w:rPr>
          <w:rFonts w:ascii="Arial" w:hAnsi="Arial" w:eastAsia="Arial"/>
          <w:b w:val="true"/>
          <w:color w:val="000000"/>
          <w:spacing w:val="0"/>
          <w:w w:val="100"/>
          <w:sz w:val="19"/>
          <w:vertAlign w:val="baseline"/>
          <w:lang w:val="cs-CZ"/>
        </w:rPr>
      </w:pPr>
      <w:r>
        <w:rPr>
          <w:rFonts w:ascii="Arial" w:hAnsi="Arial" w:eastAsia="Arial"/>
          <w:b w:val="true"/>
          <w:color w:val="000000"/>
          <w:spacing w:val="0"/>
          <w:w w:val="100"/>
          <w:sz w:val="19"/>
          <w:vertAlign w:val="baseline"/>
          <w:lang w:val="cs-CZ"/>
        </w:rPr>
        <w:t xml:space="preserve">ROZSAH POJIŠTĚNÍ</w:t>
      </w:r>
    </w:p>
    <w:p>
      <w:pPr>
        <w:spacing w:before="4" w:after="0" w:line="20" w:lineRule="exact"/>
      </w:pPr>
    </w:p>
    <w:tbl>
      <w:tblPr>
        <w:jc w:val="left"/>
        <w:tblInd w:w="18" w:type="dxa"/>
        <w:tblLayout w:type="fixed"/>
        <w:tblCellMar>
          <w:left w:w="0" w:type="dxa"/>
          <w:right w:w="0" w:type="dxa"/>
        </w:tblCellMar>
      </w:tblPr>
      <w:tblGrid>
        <w:gridCol w:w="2909"/>
        <w:gridCol w:w="360"/>
        <w:gridCol w:w="1901"/>
        <w:gridCol w:w="1459"/>
        <w:gridCol w:w="801"/>
        <w:gridCol w:w="1733"/>
      </w:tblGrid>
      <w:tr>
        <w:trPr>
          <w:trHeight w:val="720" w:hRule="exact"/>
        </w:trPr>
        <w:tc>
          <w:tcPr>
            <w:tcW w:w="2909" w:type="dxa"/>
            <w:tcBorders>
              <w:top w:val="single" w:sz="9" w:color="000000"/>
              <w:left w:val="single" w:sz="9" w:color="000000"/>
              <w:bottom w:val="single" w:sz="9" w:color="000000"/>
              <w:right w:val="single" w:sz="9" w:color="000000"/>
            </w:tcBorders>
            <w:textDirection w:val="lrTb"/>
            <w:vAlign w:val="top"/>
          </w:tcPr>
          <w:p>
            <w:pPr>
              <w:spacing w:before="41" w:after="0" w:line="203"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předmět pojištění:</w:t>
            </w:r>
          </w:p>
          <w:p>
            <w:pPr>
              <w:spacing w:before="5" w:after="0" w:line="221" w:lineRule="exact"/>
              <w:ind w:right="0" w:left="72" w:firstLine="0"/>
              <w:jc w:val="left"/>
              <w:textAlignment w:val="baseline"/>
              <w:rPr>
                <w:rFonts w:ascii="Arial" w:hAnsi="Arial" w:eastAsia="Arial"/>
                <w:b w:val="true"/>
                <w:color w:val="000000"/>
                <w:spacing w:val="0"/>
                <w:w w:val="100"/>
                <w:sz w:val="19"/>
                <w:vertAlign w:val="baseline"/>
                <w:lang w:val="cs-CZ"/>
              </w:rPr>
            </w:pPr>
            <w:r>
              <w:rPr>
                <w:rFonts w:ascii="Arial" w:hAnsi="Arial" w:eastAsia="Arial"/>
                <w:b w:val="true"/>
                <w:color w:val="000000"/>
                <w:spacing w:val="0"/>
                <w:w w:val="100"/>
                <w:sz w:val="19"/>
                <w:vertAlign w:val="baseline"/>
                <w:lang w:val="cs-CZ"/>
              </w:rPr>
              <w:t xml:space="preserve">2. stroj, strojní zařízení,</w:t>
            </w:r>
          </w:p>
          <w:p>
            <w:pPr>
              <w:spacing w:before="9" w:after="15" w:line="221" w:lineRule="exact"/>
              <w:ind w:right="0" w:left="72" w:firstLine="0"/>
              <w:jc w:val="left"/>
              <w:textAlignment w:val="baseline"/>
              <w:rPr>
                <w:rFonts w:ascii="Arial" w:hAnsi="Arial" w:eastAsia="Arial"/>
                <w:b w:val="true"/>
                <w:color w:val="000000"/>
                <w:spacing w:val="0"/>
                <w:w w:val="100"/>
                <w:sz w:val="19"/>
                <w:vertAlign w:val="baseline"/>
                <w:lang w:val="cs-CZ"/>
              </w:rPr>
            </w:pPr>
            <w:r>
              <w:rPr>
                <w:rFonts w:ascii="Arial" w:hAnsi="Arial" w:eastAsia="Arial"/>
                <w:b w:val="true"/>
                <w:color w:val="000000"/>
                <w:spacing w:val="0"/>
                <w:w w:val="100"/>
                <w:sz w:val="19"/>
                <w:vertAlign w:val="baseline"/>
                <w:lang w:val="cs-CZ"/>
              </w:rPr>
              <w:t xml:space="preserve">příslušenství</w:t>
            </w:r>
          </w:p>
        </w:tc>
        <w:tc>
          <w:tcPr>
            <w:tcW w:w="2261" w:type="dxa"/>
            <w:gridSpan w:val="2"/>
            <w:tcBorders>
              <w:top w:val="single" w:sz="9" w:color="000000"/>
              <w:left w:val="single" w:sz="9" w:color="000000"/>
              <w:bottom w:val="single" w:sz="9" w:color="000000"/>
              <w:right w:val="single" w:sz="9" w:color="000000"/>
            </w:tcBorders>
            <w:textDirection w:val="lrTb"/>
            <w:vAlign w:val="top"/>
          </w:tcPr>
          <w:p>
            <w:pPr>
              <w:spacing w:before="37" w:after="264" w:line="207" w:lineRule="exact"/>
              <w:ind w:right="0" w:left="36"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místo pojištění:</w:t>
              <w:br/>
            </w:r>
            <w:r>
              <w:rPr>
                <w:rFonts w:ascii="Arial" w:hAnsi="Arial" w:eastAsia="Arial"/>
                <w:color w:val="000000"/>
                <w:spacing w:val="0"/>
                <w:w w:val="100"/>
                <w:sz w:val="17"/>
                <w:vertAlign w:val="baseline"/>
                <w:lang w:val="cs-CZ"/>
              </w:rPr>
              <w:t xml:space="preserve">ČR</w:t>
            </w:r>
          </w:p>
        </w:tc>
        <w:tc>
          <w:tcPr>
            <w:tcW w:w="2260" w:type="dxa"/>
            <w:gridSpan w:val="2"/>
            <w:tcBorders>
              <w:top w:val="single" w:sz="9" w:color="000000"/>
              <w:left w:val="single" w:sz="9" w:color="000000"/>
              <w:bottom w:val="single" w:sz="9" w:color="000000"/>
              <w:right w:val="single" w:sz="9" w:color="000000"/>
            </w:tcBorders>
            <w:textDirection w:val="lrTb"/>
            <w:vAlign w:val="top"/>
          </w:tcPr>
          <w:p>
            <w:pPr>
              <w:spacing w:before="41" w:after="0" w:line="203"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vlastnictví předmětu</w:t>
            </w:r>
          </w:p>
          <w:p>
            <w:pPr>
              <w:spacing w:before="4" w:after="0" w:line="203"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pojištění:</w:t>
            </w:r>
          </w:p>
          <w:p>
            <w:pPr>
              <w:spacing w:before="3" w:after="58" w:line="203"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vlastní</w:t>
            </w:r>
          </w:p>
        </w:tc>
        <w:tc>
          <w:tcPr>
            <w:tcW w:w="1733" w:type="dxa"/>
            <w:tcBorders>
              <w:top w:val="single" w:sz="9" w:color="000000"/>
              <w:left w:val="single" w:sz="9" w:color="000000"/>
              <w:bottom w:val="single" w:sz="9" w:color="000000"/>
              <w:right w:val="single" w:sz="9" w:color="000000"/>
            </w:tcBorders>
            <w:textDirection w:val="lrTb"/>
            <w:vAlign w:val="top"/>
          </w:tcPr>
          <w:p>
            <w:pPr>
              <w:spacing w:before="37" w:after="264" w:line="207" w:lineRule="exact"/>
              <w:ind w:right="0" w:left="36"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pojistná hodnota: nová cena</w:t>
            </w:r>
          </w:p>
        </w:tc>
      </w:tr>
      <w:tr>
        <w:trPr>
          <w:trHeight w:val="490" w:hRule="exact"/>
        </w:trPr>
        <w:tc>
          <w:tcPr>
            <w:tcW w:w="7430" w:type="dxa"/>
            <w:gridSpan w:val="5"/>
            <w:tcBorders>
              <w:top w:val="single" w:sz="9" w:color="000000"/>
              <w:left w:val="single" w:sz="9" w:color="000000"/>
              <w:bottom w:val="single" w:sz="9" w:color="000000"/>
              <w:right w:val="none"/>
            </w:tcBorders>
            <w:textDirection w:val="lrTb"/>
            <w:vAlign w:val="top"/>
          </w:tcPr>
          <w:p>
            <w:pPr>
              <w:spacing w:before="0" w:after="0" w:line="203"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Specifikace předmětu</w:t>
            </w:r>
          </w:p>
          <w:p>
            <w:pPr>
              <w:spacing w:before="43" w:after="14" w:line="207" w:lineRule="exact"/>
              <w:ind w:right="0" w:left="72"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sekací traktor KUBOTA G231 HD, r.v.2025, v.č.21298</w:t>
            </w:r>
          </w:p>
        </w:tc>
        <w:tc>
          <w:tcPr>
            <w:tcW w:w="1733" w:type="dxa"/>
            <w:tcBorders>
              <w:top w:val="single" w:sz="9" w:color="000000"/>
              <w:left w:val="none"/>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r>
      <w:tr>
        <w:trPr>
          <w:trHeight w:val="681" w:hRule="exact"/>
        </w:trPr>
        <w:tc>
          <w:tcPr>
            <w:tcW w:w="3269" w:type="dxa"/>
            <w:gridSpan w:val="2"/>
            <w:tcBorders>
              <w:top w:val="single" w:sz="9" w:color="000000"/>
              <w:left w:val="single" w:sz="9" w:color="000000"/>
              <w:bottom w:val="single" w:sz="9" w:color="000000"/>
              <w:right w:val="single" w:sz="9" w:color="000000"/>
            </w:tcBorders>
            <w:shd w:val="clear" w:color="CCCCCC" w:fill="CCCCCC"/>
            <w:textDirection w:val="lrTb"/>
            <w:vAlign w:val="top"/>
          </w:tcPr>
          <w:p>
            <w:pPr>
              <w:spacing w:before="41" w:after="9" w:line="207" w:lineRule="exact"/>
              <w:ind w:right="0" w:left="36"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Pojištění se sjednává pro případ negativního působení pojistných nebezpečí:</w:t>
            </w:r>
          </w:p>
        </w:tc>
        <w:tc>
          <w:tcPr>
            <w:tcW w:w="3360" w:type="dxa"/>
            <w:gridSpan w:val="2"/>
            <w:tcBorders>
              <w:top w:val="single" w:sz="9" w:color="000000"/>
              <w:left w:val="single" w:sz="9" w:color="000000"/>
              <w:bottom w:val="single" w:sz="9" w:color="000000"/>
              <w:right w:val="single" w:sz="9" w:color="000000"/>
            </w:tcBorders>
            <w:shd w:val="clear" w:color="CCCCCC" w:fill="CCCCCC"/>
            <w:textDirection w:val="lrTb"/>
            <w:vAlign w:val="top"/>
          </w:tcPr>
          <w:p>
            <w:pPr>
              <w:spacing w:before="37" w:after="427" w:line="207" w:lineRule="exact"/>
              <w:ind w:right="133"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horní hranice pojistného plnění (Kč):</w:t>
            </w:r>
          </w:p>
        </w:tc>
        <w:tc>
          <w:tcPr>
            <w:tcW w:w="2534" w:type="dxa"/>
            <w:gridSpan w:val="2"/>
            <w:tcBorders>
              <w:top w:val="single" w:sz="9" w:color="000000"/>
              <w:left w:val="single" w:sz="9" w:color="000000"/>
              <w:bottom w:val="single" w:sz="9" w:color="000000"/>
              <w:right w:val="single" w:sz="9" w:color="000000"/>
            </w:tcBorders>
            <w:shd w:val="clear" w:color="CCCCCC" w:fill="CCCCCC"/>
            <w:textDirection w:val="lrTb"/>
            <w:vAlign w:val="top"/>
          </w:tcPr>
          <w:p>
            <w:pPr>
              <w:spacing w:before="37" w:after="427" w:line="207" w:lineRule="exact"/>
              <w:ind w:right="1492"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spoluúčast:</w:t>
            </w:r>
          </w:p>
        </w:tc>
      </w:tr>
      <w:tr>
        <w:trPr>
          <w:trHeight w:val="269"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2" w:after="19" w:line="203"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Základní pojištění</w:t>
            </w:r>
          </w:p>
        </w:tc>
        <w:tc>
          <w:tcPr>
            <w:tcW w:w="3360" w:type="dxa"/>
            <w:gridSpan w:val="2"/>
            <w:tcBorders>
              <w:top w:val="single" w:sz="9" w:color="000000"/>
              <w:left w:val="single" w:sz="9" w:color="000000"/>
              <w:bottom w:val="single" w:sz="9" w:color="000000"/>
              <w:right w:val="single" w:sz="9" w:color="000000"/>
            </w:tcBorders>
            <w:textDirection w:val="lrTb"/>
            <w:vAlign w:val="center"/>
          </w:tcPr>
          <w:p>
            <w:pPr>
              <w:spacing w:before="42" w:after="19" w:line="203" w:lineRule="exact"/>
              <w:ind w:right="4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510 000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2" w:after="19" w:line="203"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9"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24" w:line="203"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FLEXA</w:t>
            </w:r>
          </w:p>
        </w:tc>
        <w:tc>
          <w:tcPr>
            <w:tcW w:w="3360" w:type="dxa"/>
            <w:gridSpan w:val="2"/>
            <w:tcBorders>
              <w:top w:val="single" w:sz="9" w:color="000000"/>
              <w:left w:val="single" w:sz="9" w:color="000000"/>
              <w:bottom w:val="single" w:sz="9" w:color="000000"/>
              <w:right w:val="single" w:sz="9" w:color="000000"/>
            </w:tcBorders>
            <w:textDirection w:val="lrTb"/>
            <w:vAlign w:val="center"/>
          </w:tcPr>
          <w:p>
            <w:pPr>
              <w:spacing w:before="41" w:after="24" w:line="203" w:lineRule="exact"/>
              <w:ind w:right="4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510 000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24" w:line="203"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4"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36" w:after="19" w:line="203"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Povodeň nebo záplava</w:t>
            </w:r>
          </w:p>
        </w:tc>
        <w:tc>
          <w:tcPr>
            <w:tcW w:w="3360" w:type="dxa"/>
            <w:gridSpan w:val="2"/>
            <w:tcBorders>
              <w:top w:val="single" w:sz="9" w:color="000000"/>
              <w:left w:val="single" w:sz="9" w:color="000000"/>
              <w:bottom w:val="single" w:sz="9" w:color="000000"/>
              <w:right w:val="single" w:sz="9" w:color="000000"/>
            </w:tcBorders>
            <w:textDirection w:val="lrTb"/>
            <w:vAlign w:val="center"/>
          </w:tcPr>
          <w:p>
            <w:pPr>
              <w:spacing w:before="36" w:after="19" w:line="203" w:lineRule="exact"/>
              <w:ind w:right="4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510 000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36" w:after="19" w:line="203"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9"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24" w:line="203"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Doplňková živelní nebezpečí</w:t>
            </w:r>
          </w:p>
        </w:tc>
        <w:tc>
          <w:tcPr>
            <w:tcW w:w="3360" w:type="dxa"/>
            <w:gridSpan w:val="2"/>
            <w:tcBorders>
              <w:top w:val="single" w:sz="9" w:color="000000"/>
              <w:left w:val="single" w:sz="9" w:color="000000"/>
              <w:bottom w:val="single" w:sz="9" w:color="000000"/>
              <w:right w:val="single" w:sz="9" w:color="000000"/>
            </w:tcBorders>
            <w:textDirection w:val="lrTb"/>
            <w:vAlign w:val="center"/>
          </w:tcPr>
          <w:p>
            <w:pPr>
              <w:spacing w:before="41" w:after="24" w:line="203" w:lineRule="exact"/>
              <w:ind w:right="4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510 000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24" w:line="203"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4"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14" w:line="203"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Vodovodní škoda</w:t>
            </w:r>
          </w:p>
        </w:tc>
        <w:tc>
          <w:tcPr>
            <w:tcW w:w="3360" w:type="dxa"/>
            <w:gridSpan w:val="2"/>
            <w:tcBorders>
              <w:top w:val="single" w:sz="9" w:color="000000"/>
              <w:left w:val="single" w:sz="9" w:color="000000"/>
              <w:bottom w:val="single" w:sz="9" w:color="000000"/>
              <w:right w:val="single" w:sz="9" w:color="000000"/>
            </w:tcBorders>
            <w:textDirection w:val="lrTb"/>
            <w:vAlign w:val="center"/>
          </w:tcPr>
          <w:p>
            <w:pPr>
              <w:spacing w:before="41" w:after="14" w:line="203" w:lineRule="exact"/>
              <w:ind w:right="4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510 000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14" w:line="203"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8"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9" w:line="203"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Odcizení</w:t>
            </w:r>
          </w:p>
        </w:tc>
        <w:tc>
          <w:tcPr>
            <w:tcW w:w="3360" w:type="dxa"/>
            <w:gridSpan w:val="2"/>
            <w:tcBorders>
              <w:top w:val="single" w:sz="9" w:color="000000"/>
              <w:left w:val="single" w:sz="9" w:color="000000"/>
              <w:bottom w:val="single" w:sz="9" w:color="000000"/>
              <w:right w:val="single" w:sz="9" w:color="000000"/>
            </w:tcBorders>
            <w:textDirection w:val="lrTb"/>
            <w:vAlign w:val="center"/>
          </w:tcPr>
          <w:p>
            <w:pPr>
              <w:spacing w:before="41" w:after="9" w:line="203" w:lineRule="exact"/>
              <w:ind w:right="4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510 000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9" w:line="203"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83"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2" w:after="28" w:line="203"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Pojištění skel</w:t>
            </w:r>
          </w:p>
        </w:tc>
        <w:tc>
          <w:tcPr>
            <w:tcW w:w="3360" w:type="dxa"/>
            <w:gridSpan w:val="2"/>
            <w:tcBorders>
              <w:top w:val="single" w:sz="9" w:color="000000"/>
              <w:left w:val="single" w:sz="9" w:color="000000"/>
              <w:bottom w:val="single" w:sz="9" w:color="000000"/>
              <w:right w:val="single" w:sz="9" w:color="000000"/>
            </w:tcBorders>
            <w:textDirection w:val="lrTb"/>
            <w:vAlign w:val="center"/>
          </w:tcPr>
          <w:p>
            <w:pPr>
              <w:spacing w:before="42" w:after="28" w:line="203" w:lineRule="exact"/>
              <w:ind w:right="4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510 000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2" w:after="28" w:line="203"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bl>
    <w:p>
      <w:pPr>
        <w:spacing w:before="0" w:after="369" w:line="20" w:lineRule="exact"/>
      </w:pPr>
    </w:p>
    <w:p>
      <w:pPr>
        <w:spacing w:before="0" w:after="0" w:line="226" w:lineRule="exact"/>
        <w:ind w:right="0" w:left="0" w:firstLine="0"/>
        <w:jc w:val="left"/>
        <w:textAlignment w:val="baseline"/>
        <w:rPr>
          <w:rFonts w:ascii="Arial" w:hAnsi="Arial" w:eastAsia="Arial"/>
          <w:b w:val="true"/>
          <w:color w:val="000000"/>
          <w:spacing w:val="0"/>
          <w:w w:val="100"/>
          <w:sz w:val="19"/>
          <w:vertAlign w:val="baseline"/>
          <w:lang w:val="cs-CZ"/>
        </w:rPr>
      </w:pPr>
      <w:r>
        <w:rPr>
          <w:rFonts w:ascii="Arial" w:hAnsi="Arial" w:eastAsia="Arial"/>
          <w:b w:val="true"/>
          <w:color w:val="000000"/>
          <w:spacing w:val="0"/>
          <w:w w:val="100"/>
          <w:sz w:val="19"/>
          <w:vertAlign w:val="baseline"/>
          <w:lang w:val="cs-CZ"/>
        </w:rPr>
        <w:t xml:space="preserve">VÝKLAD POJMŮ</w:t>
      </w:r>
    </w:p>
    <w:p>
      <w:pPr>
        <w:spacing w:before="176" w:after="0" w:line="212"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Základní pojištění </w:t>
      </w:r>
      <w:r>
        <w:rPr>
          <w:rFonts w:ascii="Arial" w:hAnsi="Arial" w:eastAsia="Arial"/>
          <w:color w:val="000000"/>
          <w:spacing w:val="0"/>
          <w:w w:val="100"/>
          <w:sz w:val="17"/>
          <w:vertAlign w:val="baseline"/>
          <w:lang w:val="cs-CZ"/>
        </w:rPr>
        <w:t xml:space="preserve">se pro účely této pojistné smlouvy rozumí pojištění strojů sjednané pro případ poškození, zničení nebo pohřešování předmětu pojištění, v rozsahu dle čl. II odst. 1. VPP STR 2014.</w:t>
      </w:r>
    </w:p>
    <w:p>
      <w:pPr>
        <w:spacing w:before="175" w:after="1277" w:line="207"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FLEXA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a) VPP STR 2014 pro případ škodné události způsobené pojistným nebezpečím požár, chemický výbuch, úder blesku, náraz nebo zřícení pilotovaného letícího tělesa, jeho části nebo jeho nákladu.</w:t>
      </w:r>
    </w:p>
    <w:p>
      <w:pPr>
        <w:spacing w:before="175" w:after="1277" w:line="207" w:lineRule="exact"/>
        <w:sectPr>
          <w:type w:val="nextPage"/>
          <w:pgSz w:w="11899" w:h="16843" w:orient="portrait"/>
          <w:pgMar w:bottom="587" w:top="1000" w:right="1330" w:left="1369" w:header="720" w:footer="720"/>
          <w:titlePg w:val="false"/>
          <w:textDirection w:val="lrTb"/>
        </w:sectPr>
      </w:pPr>
    </w:p>
    <w:p>
      <w:pPr>
        <w:spacing w:before="0" w:after="0" w:line="197"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2 (z celkem stran 6)</w:t>
      </w:r>
    </w:p>
    <w:p>
      <w:pPr>
        <w:sectPr>
          <w:type w:val="continuous"/>
          <w:pgSz w:w="11899" w:h="16843" w:orient="portrait"/>
          <w:pgMar w:bottom="587" w:top="1000" w:right="1342" w:left="1357" w:header="720" w:footer="720"/>
          <w:titlePg w:val="false"/>
          <w:textDirection w:val="lrTb"/>
        </w:sectPr>
      </w:pPr>
    </w:p>
    <w:p>
      <w:pPr>
        <w:spacing w:before="8" w:after="0" w:line="207"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Číslo pojistné smlouvy: 8074554117 dodatek 1</w:t>
      </w:r>
    </w:p>
    <w:p>
      <w:pPr>
        <w:spacing w:before="304" w:after="0"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Povodeň nebo záplava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b) VPP STR 2014 pro případ škodné události způsobené pojistným nebezpečím povodeň nebo záplava.</w:t>
      </w:r>
    </w:p>
    <w:p>
      <w:pPr>
        <w:spacing w:before="184" w:after="0"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Doplňková živelní nebezpečí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c) VPP STR 2014 pro případ škodné události způsobené pojistným nebezpečím vichřice, krupobití, sesouvání půdy, zřícení skal nebo zemin, lavina, pád stromů, stožárů a jiných předmětů, zemětřesení, kouř nebo nadzvuková vlna (aerodynamický třesk).</w:t>
      </w:r>
    </w:p>
    <w:p>
      <w:pPr>
        <w:spacing w:before="183" w:after="0"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Vodovodní škoda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d) VPP STR 2014 pro případ škodné události způsobené pojistným nebezpečím vodovodní škoda.</w:t>
      </w:r>
    </w:p>
    <w:p>
      <w:pPr>
        <w:spacing w:before="175" w:after="0" w:line="209" w:lineRule="exact"/>
        <w:ind w:right="0" w:left="0" w:firstLine="0"/>
        <w:jc w:val="both"/>
        <w:textAlignment w:val="baseline"/>
        <w:rPr>
          <w:rFonts w:ascii="Arial" w:hAnsi="Arial" w:eastAsia="Arial"/>
          <w:color w:val="000000"/>
          <w:spacing w:val="2"/>
          <w:w w:val="100"/>
          <w:sz w:val="17"/>
          <w:vertAlign w:val="baseline"/>
          <w:lang w:val="cs-CZ"/>
        </w:rPr>
      </w:pPr>
      <w:r>
        <w:rPr>
          <w:rFonts w:ascii="Arial" w:hAnsi="Arial" w:eastAsia="Arial"/>
          <w:color w:val="000000"/>
          <w:spacing w:val="2"/>
          <w:w w:val="100"/>
          <w:sz w:val="17"/>
          <w:vertAlign w:val="baseline"/>
          <w:lang w:val="cs-CZ"/>
        </w:rPr>
        <w:t xml:space="preserve">Pojmem </w:t>
      </w:r>
      <w:r>
        <w:rPr>
          <w:rFonts w:ascii="Arial" w:hAnsi="Arial" w:eastAsia="Arial"/>
          <w:b w:val="true"/>
          <w:color w:val="000000"/>
          <w:spacing w:val="2"/>
          <w:w w:val="100"/>
          <w:sz w:val="18"/>
          <w:vertAlign w:val="baseline"/>
          <w:lang w:val="cs-CZ"/>
        </w:rPr>
        <w:t xml:space="preserve">Odcizení </w:t>
      </w:r>
      <w:r>
        <w:rPr>
          <w:rFonts w:ascii="Arial" w:hAnsi="Arial" w:eastAsia="Arial"/>
          <w:color w:val="000000"/>
          <w:spacing w:val="2"/>
          <w:w w:val="100"/>
          <w:sz w:val="17"/>
          <w:vertAlign w:val="baseline"/>
          <w:lang w:val="cs-CZ"/>
        </w:rPr>
        <w:t xml:space="preserve">se pro účely této pojistné smlouvy rozumí pojištění strojů sjednané touto pojistnou smlouvou odchylně od článku VI odst. 2. písm. e) VPP STR 2014 pro případ škodné události způsobené pojistným nebezpečím odcizení.</w:t>
      </w:r>
    </w:p>
    <w:p>
      <w:pPr>
        <w:spacing w:before="175" w:after="0" w:line="209"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Pojištění skel </w:t>
      </w:r>
      <w:r>
        <w:rPr>
          <w:rFonts w:ascii="Arial" w:hAnsi="Arial" w:eastAsia="Arial"/>
          <w:color w:val="000000"/>
          <w:spacing w:val="0"/>
          <w:w w:val="100"/>
          <w:sz w:val="17"/>
          <w:vertAlign w:val="baseline"/>
          <w:lang w:val="cs-CZ"/>
        </w:rPr>
        <w:t xml:space="preserve">se pro účely této pojistné smlouvy rozumí, že se pojištění sjednané touto pojistnou smlouvou odchylně od článku VI odst. 2. písm. f) VPP STR 2014 vztahuje i na škody způsobené na skleněných součástech předmětu pojištění.</w:t>
      </w:r>
    </w:p>
    <w:p>
      <w:pPr>
        <w:spacing w:before="844" w:after="0" w:line="327" w:lineRule="exact"/>
        <w:ind w:right="0" w:left="0" w:firstLine="0"/>
        <w:jc w:val="center"/>
        <w:textAlignment w:val="baseline"/>
        <w:rPr>
          <w:rFonts w:ascii="Arial" w:hAnsi="Arial" w:eastAsia="Arial"/>
          <w:b w:val="true"/>
          <w:i w:val="true"/>
          <w:color w:val="000000"/>
          <w:spacing w:val="-4"/>
          <w:w w:val="100"/>
          <w:sz w:val="28"/>
          <w:vertAlign w:val="baseline"/>
          <w:lang w:val="cs-CZ"/>
        </w:rPr>
      </w:pPr>
      <w:r>
        <w:rPr>
          <w:rFonts w:ascii="Arial" w:hAnsi="Arial" w:eastAsia="Arial"/>
          <w:b w:val="true"/>
          <w:i w:val="true"/>
          <w:color w:val="000000"/>
          <w:spacing w:val="-4"/>
          <w:w w:val="100"/>
          <w:sz w:val="28"/>
          <w:vertAlign w:val="baseline"/>
          <w:lang w:val="cs-CZ"/>
        </w:rPr>
        <w:t xml:space="preserve">Článek II.</w:t>
      </w:r>
    </w:p>
    <w:p>
      <w:pPr>
        <w:spacing w:before="0" w:after="366" w:line="271" w:lineRule="exact"/>
        <w:ind w:right="0" w:left="0"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Speciální smluvní ujednání</w:t>
      </w:r>
    </w:p>
    <w:p>
      <w:pPr>
        <w:spacing w:before="32" w:after="0" w:line="216" w:lineRule="exact"/>
        <w:ind w:right="0" w:left="0" w:firstLine="0"/>
        <w:jc w:val="center"/>
        <w:textAlignment w:val="baseline"/>
        <w:rPr>
          <w:rFonts w:ascii="Arial" w:hAnsi="Arial" w:eastAsia="Arial"/>
          <w:b w:val="true"/>
          <w:color w:val="000000"/>
          <w:spacing w:val="4"/>
          <w:w w:val="100"/>
          <w:sz w:val="19"/>
          <w:vertAlign w:val="baseline"/>
          <w:lang w:val="cs-CZ"/>
        </w:rPr>
      </w:pPr>
      <w:r>
        <w:pict>
          <v:line strokeweight="1.2pt" strokecolor="#000000" from="68.45pt,369.1pt" to="528.5pt,369.1pt" style="position:absolute;mso-position-horizontal-relative:page;mso-position-vertical-relative:page;">
            <v:stroke dashstyle="solid"/>
          </v:line>
        </w:pict>
      </w:r>
      <w:r>
        <w:rPr>
          <w:rFonts w:ascii="Arial" w:hAnsi="Arial" w:eastAsia="Arial"/>
          <w:b w:val="true"/>
          <w:color w:val="000000"/>
          <w:spacing w:val="4"/>
          <w:w w:val="100"/>
          <w:sz w:val="19"/>
          <w:vertAlign w:val="baseline"/>
          <w:lang w:val="cs-CZ"/>
        </w:rPr>
        <w:t xml:space="preserve">Souhrnné roční limity pojistného plnění:</w:t>
      </w:r>
    </w:p>
    <w:p>
      <w:pPr>
        <w:spacing w:before="238" w:after="0" w:line="206" w:lineRule="exact"/>
        <w:ind w:right="0" w:left="0" w:firstLine="0"/>
        <w:jc w:val="both"/>
        <w:textAlignment w:val="baseline"/>
        <w:rPr>
          <w:rFonts w:ascii="Arial" w:hAnsi="Arial" w:eastAsia="Arial"/>
          <w:color w:val="000000"/>
          <w:spacing w:val="4"/>
          <w:w w:val="100"/>
          <w:sz w:val="17"/>
          <w:vertAlign w:val="baseline"/>
          <w:lang w:val="cs-CZ"/>
        </w:rPr>
      </w:pPr>
      <w:r>
        <w:pict>
          <v:line strokeweight="1.2pt" strokecolor="#000000" from="68.45pt,382.1pt" to="528.5pt,382.1pt" style="position:absolute;mso-position-horizontal-relative:page;mso-position-vertical-relative:page;">
            <v:stroke dashstyle="solid"/>
          </v:line>
        </w:pict>
      </w:r>
      <w:r>
        <w:rPr>
          <w:rFonts w:ascii="Arial" w:hAnsi="Arial" w:eastAsia="Arial"/>
          <w:color w:val="000000"/>
          <w:spacing w:val="4"/>
          <w:w w:val="100"/>
          <w:sz w:val="17"/>
          <w:vertAlign w:val="baseline"/>
          <w:lang w:val="cs-CZ"/>
        </w:rPr>
        <w:t xml:space="preserve">Bez ohledu na jakákoliv jiná ujednání smluvní strany pojistné smlouvy sjednávají, že limit pojistného plnění ve výši </w:t>
      </w:r>
      <w:r>
        <w:rPr>
          <w:rFonts w:ascii="Arial" w:hAnsi="Arial" w:eastAsia="Arial"/>
          <w:b w:val="true"/>
          <w:color w:val="000000"/>
          <w:spacing w:val="4"/>
          <w:w w:val="100"/>
          <w:sz w:val="18"/>
          <w:vertAlign w:val="baseline"/>
          <w:lang w:val="cs-CZ"/>
        </w:rPr>
        <w:t xml:space="preserve">2 010 000 Kč </w:t>
      </w:r>
      <w:r>
        <w:rPr>
          <w:rFonts w:ascii="Arial" w:hAnsi="Arial" w:eastAsia="Arial"/>
          <w:color w:val="000000"/>
          <w:spacing w:val="4"/>
          <w:w w:val="100"/>
          <w:sz w:val="17"/>
          <w:vertAlign w:val="baseline"/>
          <w:lang w:val="cs-CZ"/>
        </w:rPr>
        <w:t xml:space="preserve">je horní hranicí pojistného plnění pojistitele z pojištění sjednaných touto pojistnou smlouvou za pojistné události nastalé v každém jednom roce trvání účinnosti dle této pojistné smlouvy a způsobené pojistnými nebezpečími </w:t>
      </w:r>
      <w:r>
        <w:rPr>
          <w:rFonts w:ascii="Arial" w:hAnsi="Arial" w:eastAsia="Arial"/>
          <w:b w:val="true"/>
          <w:color w:val="000000"/>
          <w:spacing w:val="4"/>
          <w:w w:val="100"/>
          <w:sz w:val="18"/>
          <w:vertAlign w:val="baseline"/>
          <w:lang w:val="cs-CZ"/>
        </w:rPr>
        <w:t xml:space="preserve">sesuv půdy, zřícení skal nebo zemin, krupobití, zemětřesení, náraz vozidla, kouř, nadzvuková vlna, pád stromů, stožárů a jiných předmětů, lavina, vichřice</w:t>
      </w:r>
      <w:r>
        <w:rPr>
          <w:rFonts w:ascii="Arial" w:hAnsi="Arial" w:eastAsia="Arial"/>
          <w:color w:val="000000"/>
          <w:spacing w:val="4"/>
          <w:w w:val="100"/>
          <w:sz w:val="17"/>
          <w:vertAlign w:val="baseline"/>
          <w:lang w:val="cs-CZ"/>
        </w:rPr>
        <w:t xml:space="preserve">. Tento limit pojistného plnění se vztahuje i na pojištění přerušení nebo omezení provozu z důvodu věcné škody, došlo-li k věcné škodě z příčiny sesuv půdy, zřícení skal nebo zemin, krupobití, zemětřesení, náraz vozidla, kouř, nadzvuková vlna, pád stromů, stožárů a jiných předmětů, lavina, vichřice, je-li v pojistné smlouvě sjednáno. Pokud jsou pojištění s pojistnými nebezpečími vyjmenovanými tímto odstavcem sjednána v čl. II v samostatné části Pojištění vozidel nebo Pojištění přepravovaného nákladu, limit pojistného plnění se na ně nevztahuje.</w:t>
      </w:r>
    </w:p>
    <w:p>
      <w:pPr>
        <w:spacing w:before="178" w:after="0" w:line="207" w:lineRule="exact"/>
        <w:ind w:right="0" w:left="0" w:firstLine="0"/>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Bez ohledu na jakákoliv jiná ujednání smluvní strany pojistné smlouvy sjednávají, že limit pojistného plnění ve výši </w:t>
      </w:r>
      <w:r>
        <w:rPr>
          <w:rFonts w:ascii="Arial" w:hAnsi="Arial" w:eastAsia="Arial"/>
          <w:b w:val="true"/>
          <w:color w:val="000000"/>
          <w:spacing w:val="4"/>
          <w:w w:val="100"/>
          <w:sz w:val="18"/>
          <w:vertAlign w:val="baseline"/>
          <w:lang w:val="cs-CZ"/>
        </w:rPr>
        <w:t xml:space="preserve">2 010 000 Kč </w:t>
      </w:r>
      <w:r>
        <w:rPr>
          <w:rFonts w:ascii="Arial" w:hAnsi="Arial" w:eastAsia="Arial"/>
          <w:color w:val="000000"/>
          <w:spacing w:val="4"/>
          <w:w w:val="100"/>
          <w:sz w:val="17"/>
          <w:vertAlign w:val="baseline"/>
          <w:lang w:val="cs-CZ"/>
        </w:rPr>
        <w:t xml:space="preserve">je horní hranicí pojistného plnění pojistitele z pojištění sjednaných touto pojistnou smlouvou za pojistné události nastalé v každém jednom roce trvání účinnosti dle této pojistné smlouvy a způsobené pojistnými nebezpečími </w:t>
      </w:r>
      <w:r>
        <w:rPr>
          <w:rFonts w:ascii="Arial" w:hAnsi="Arial" w:eastAsia="Arial"/>
          <w:b w:val="true"/>
          <w:color w:val="000000"/>
          <w:spacing w:val="4"/>
          <w:w w:val="100"/>
          <w:sz w:val="18"/>
          <w:vertAlign w:val="baseline"/>
          <w:lang w:val="cs-CZ"/>
        </w:rPr>
        <w:t xml:space="preserve">povodeň nebo záplava</w:t>
      </w:r>
      <w:r>
        <w:rPr>
          <w:rFonts w:ascii="Arial" w:hAnsi="Arial" w:eastAsia="Arial"/>
          <w:color w:val="000000"/>
          <w:spacing w:val="4"/>
          <w:w w:val="100"/>
          <w:sz w:val="17"/>
          <w:vertAlign w:val="baseline"/>
          <w:lang w:val="cs-CZ"/>
        </w:rPr>
        <w:t xml:space="preserve">. Tento limit pojistného plnění se vztahuje i na pojištění přerušení nebo omezení provozu z důvodu věcné škody, došlo-li k věcné škodě z příčiny povodeň nebo záplava, je-li v pojistné smlouvě sjednáno. Pokud jsou pojištění s pojistným nebezpečím záplava, povodeň sjednána v čl. II v samostatné části Pojištění vozidel nebo Pojištění přepravovaného nákladu, limit pojistného plnění se na ně nevztahuje.</w:t>
      </w:r>
    </w:p>
    <w:p>
      <w:pPr>
        <w:spacing w:before="185" w:after="2869"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Pokud je předmětem tohoto dodatku pojištění pro případ působení pojistného nebezpečí povodeň nebo záplava, pojistitel a pojistník výslovně sjednávají pro toto pojistné nebezpečí čekací dobu v délce 10 dnů ode dne uzavření tohoto dodatku. Bylo-li již dříve mezi pojistitelem a pojistníkem sjednáno v rámci této pojistné smlouvy pojištění pro případ působení pojistného nebezpečí povodeň nebo záplava, uplatní se tato čekací doba pouze v rozsahu změny tohoto pojištění tímto dodatkem.</w:t>
      </w:r>
    </w:p>
    <w:p>
      <w:pPr>
        <w:spacing w:before="185" w:after="2869" w:line="206" w:lineRule="exact"/>
        <w:sectPr>
          <w:type w:val="nextPage"/>
          <w:pgSz w:w="11899" w:h="16843" w:orient="portrait"/>
          <w:pgMar w:bottom="587" w:top="1000" w:right="1330" w:left="1369" w:header="720" w:footer="720"/>
          <w:titlePg w:val="false"/>
          <w:textDirection w:val="lrTb"/>
        </w:sectPr>
      </w:pPr>
    </w:p>
    <w:p>
      <w:pPr>
        <w:spacing w:before="0" w:after="0" w:line="198"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3 (z celkem stran 6)</w:t>
      </w:r>
    </w:p>
    <w:p>
      <w:pPr>
        <w:sectPr>
          <w:type w:val="continuous"/>
          <w:pgSz w:w="11899" w:h="16843" w:orient="portrait"/>
          <w:pgMar w:bottom="587" w:top="1000" w:right="1342" w:left="1357" w:header="720" w:footer="720"/>
          <w:titlePg w:val="false"/>
          <w:textDirection w:val="lrTb"/>
        </w:sectPr>
      </w:pPr>
    </w:p>
    <w:p>
      <w:pPr>
        <w:spacing w:before="8" w:after="0" w:line="207"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Číslo pojĺstné smlouvy: 8074554117 dodatek 1</w:t>
      </w:r>
    </w:p>
    <w:p>
      <w:pPr>
        <w:spacing w:before="580" w:after="0" w:line="327" w:lineRule="exact"/>
        <w:ind w:right="0" w:left="0" w:firstLine="0"/>
        <w:jc w:val="center"/>
        <w:textAlignment w:val="baseline"/>
        <w:rPr>
          <w:rFonts w:ascii="Arial" w:hAnsi="Arial" w:eastAsia="Arial"/>
          <w:b w:val="true"/>
          <w:i w:val="true"/>
          <w:color w:val="000000"/>
          <w:spacing w:val="-3"/>
          <w:w w:val="100"/>
          <w:sz w:val="28"/>
          <w:vertAlign w:val="baseline"/>
          <w:lang w:val="cs-CZ"/>
        </w:rPr>
      </w:pPr>
      <w:r>
        <w:rPr>
          <w:rFonts w:ascii="Arial" w:hAnsi="Arial" w:eastAsia="Arial"/>
          <w:b w:val="true"/>
          <w:i w:val="true"/>
          <w:color w:val="000000"/>
          <w:spacing w:val="-3"/>
          <w:w w:val="100"/>
          <w:sz w:val="28"/>
          <w:vertAlign w:val="baseline"/>
          <w:lang w:val="cs-CZ"/>
        </w:rPr>
        <w:t xml:space="preserve">Článek III.</w:t>
      </w:r>
    </w:p>
    <w:p>
      <w:pPr>
        <w:spacing w:before="0" w:after="0" w:line="275" w:lineRule="exact"/>
        <w:ind w:right="0" w:left="2736" w:hanging="2736"/>
        <w:jc w:val="left"/>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Změny ve výši pojistného za všechna pojištění sjednaná pojistnou smlouvou po nabytí účinnosti tohoto dodatku</w:t>
      </w:r>
    </w:p>
    <w:p>
      <w:pPr>
        <w:spacing w:before="181" w:after="0" w:line="185" w:lineRule="exact"/>
        <w:ind w:right="0" w:left="0"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Výše pojistného za jednotlivá pojištění činí:</w:t>
      </w:r>
    </w:p>
    <w:tbl>
      <w:tblPr>
        <w:jc w:val="left"/>
        <w:tblInd w:w="18" w:type="dxa"/>
        <w:tblLayout w:type="fixed"/>
        <w:tblCellMar>
          <w:left w:w="0" w:type="dxa"/>
          <w:right w:w="0" w:type="dxa"/>
        </w:tblCellMar>
      </w:tblPr>
      <w:tblGrid>
        <w:gridCol w:w="509"/>
        <w:gridCol w:w="3221"/>
        <w:gridCol w:w="2899"/>
        <w:gridCol w:w="2534"/>
      </w:tblGrid>
      <w:tr>
        <w:trPr>
          <w:trHeight w:val="278" w:hRule="exact"/>
        </w:trPr>
        <w:tc>
          <w:tcPr>
            <w:tcW w:w="509" w:type="dxa"/>
            <w:tcBorders>
              <w:top w:val="single" w:sz="9" w:color="000000"/>
              <w:left w:val="single" w:sz="9" w:color="000000"/>
              <w:bottom w:val="single" w:sz="9" w:color="000000"/>
              <w:right w:val="single" w:sz="9" w:color="000000"/>
            </w:tcBorders>
            <w:shd w:val="clear" w:color="CCCCCC" w:fill="CCCCCC"/>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3221"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9" w:line="205" w:lineRule="exact"/>
              <w:ind w:right="0" w:left="48"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Pojištění</w:t>
            </w:r>
          </w:p>
        </w:tc>
        <w:tc>
          <w:tcPr>
            <w:tcW w:w="2899"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9" w:line="205" w:lineRule="exact"/>
              <w:ind w:right="38"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Změna ročního pojistného</w:t>
            </w:r>
          </w:p>
        </w:tc>
        <w:tc>
          <w:tcPr>
            <w:tcW w:w="2534"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9" w:line="205" w:lineRule="exact"/>
              <w:ind w:right="52"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Roční pojistné po změnách</w:t>
            </w:r>
          </w:p>
        </w:tc>
      </w:tr>
      <w:tr>
        <w:trPr>
          <w:trHeight w:val="264" w:hRule="exact"/>
        </w:trPr>
        <w:tc>
          <w:tcPr>
            <w:tcW w:w="509" w:type="dxa"/>
            <w:tcBorders>
              <w:top w:val="single" w:sz="9" w:color="000000"/>
              <w:left w:val="single" w:sz="9" w:color="000000"/>
              <w:bottom w:val="single" w:sz="9" w:color="000000"/>
              <w:right w:val="single" w:sz="9" w:color="000000"/>
            </w:tcBorders>
            <w:textDirection w:val="lrTb"/>
            <w:vAlign w:val="center"/>
          </w:tcPr>
          <w:p>
            <w:pPr>
              <w:spacing w:before="41" w:after="13" w:line="205" w:lineRule="exact"/>
              <w:ind w:right="0"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1.</w:t>
            </w:r>
          </w:p>
        </w:tc>
        <w:tc>
          <w:tcPr>
            <w:tcW w:w="3221" w:type="dxa"/>
            <w:tcBorders>
              <w:top w:val="single" w:sz="9" w:color="000000"/>
              <w:left w:val="single" w:sz="9" w:color="000000"/>
              <w:bottom w:val="single" w:sz="9" w:color="000000"/>
              <w:right w:val="single" w:sz="9" w:color="000000"/>
            </w:tcBorders>
            <w:textDirection w:val="lrTb"/>
            <w:vAlign w:val="center"/>
          </w:tcPr>
          <w:p>
            <w:pPr>
              <w:spacing w:before="42" w:after="13" w:line="204" w:lineRule="exact"/>
              <w:ind w:right="0" w:left="4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Pojĺštění strojů</w:t>
            </w:r>
          </w:p>
        </w:tc>
        <w:tc>
          <w:tcPr>
            <w:tcW w:w="2899" w:type="dxa"/>
            <w:tcBorders>
              <w:top w:val="single" w:sz="9" w:color="000000"/>
              <w:left w:val="single" w:sz="9" w:color="000000"/>
              <w:bottom w:val="single" w:sz="9" w:color="000000"/>
              <w:right w:val="single" w:sz="9" w:color="000000"/>
            </w:tcBorders>
            <w:textDirection w:val="lrTb"/>
            <w:vAlign w:val="center"/>
          </w:tcPr>
          <w:p>
            <w:pPr>
              <w:spacing w:before="42" w:after="13" w:line="204" w:lineRule="exact"/>
              <w:ind w:right="3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5 977 Kč</w:t>
            </w:r>
          </w:p>
        </w:tc>
        <w:tc>
          <w:tcPr>
            <w:tcW w:w="2534" w:type="dxa"/>
            <w:tcBorders>
              <w:top w:val="single" w:sz="9" w:color="000000"/>
              <w:left w:val="single" w:sz="9" w:color="000000"/>
              <w:bottom w:val="single" w:sz="9" w:color="000000"/>
              <w:right w:val="single" w:sz="9" w:color="000000"/>
            </w:tcBorders>
            <w:textDirection w:val="lrTb"/>
            <w:vAlign w:val="center"/>
          </w:tcPr>
          <w:p>
            <w:pPr>
              <w:spacing w:before="42" w:after="13" w:line="204"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19 607 Kč</w:t>
            </w:r>
          </w:p>
        </w:tc>
      </w:tr>
      <w:tr>
        <w:trPr>
          <w:trHeight w:val="284" w:hRule="exact"/>
        </w:trPr>
        <w:tc>
          <w:tcPr>
            <w:tcW w:w="509" w:type="dxa"/>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3221" w:type="dxa"/>
            <w:tcBorders>
              <w:top w:val="single" w:sz="9" w:color="000000"/>
              <w:left w:val="single" w:sz="9" w:color="000000"/>
              <w:bottom w:val="single" w:sz="9" w:color="000000"/>
              <w:right w:val="single" w:sz="9" w:color="000000"/>
            </w:tcBorders>
            <w:textDirection w:val="lrTb"/>
            <w:vAlign w:val="center"/>
          </w:tcPr>
          <w:p>
            <w:pPr>
              <w:spacing w:before="41" w:after="37" w:line="205" w:lineRule="exact"/>
              <w:ind w:right="0" w:left="48"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Součet</w:t>
            </w:r>
          </w:p>
        </w:tc>
        <w:tc>
          <w:tcPr>
            <w:tcW w:w="2899" w:type="dxa"/>
            <w:tcBorders>
              <w:top w:val="single" w:sz="9" w:color="000000"/>
              <w:left w:val="single" w:sz="9" w:color="000000"/>
              <w:bottom w:val="single" w:sz="9" w:color="000000"/>
              <w:right w:val="single" w:sz="9" w:color="000000"/>
            </w:tcBorders>
            <w:textDirection w:val="lrTb"/>
            <w:vAlign w:val="center"/>
          </w:tcPr>
          <w:p>
            <w:pPr>
              <w:spacing w:before="41" w:after="37" w:line="205" w:lineRule="exact"/>
              <w:ind w:right="38"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5 977 Kč</w:t>
            </w:r>
          </w:p>
        </w:tc>
        <w:tc>
          <w:tcPr>
            <w:tcW w:w="2534" w:type="dxa"/>
            <w:tcBorders>
              <w:top w:val="single" w:sz="9" w:color="000000"/>
              <w:left w:val="single" w:sz="9" w:color="000000"/>
              <w:bottom w:val="single" w:sz="9" w:color="000000"/>
              <w:right w:val="single" w:sz="9" w:color="000000"/>
            </w:tcBorders>
            <w:textDirection w:val="lrTb"/>
            <w:vAlign w:val="center"/>
          </w:tcPr>
          <w:p>
            <w:pPr>
              <w:spacing w:before="41" w:after="37" w:line="205" w:lineRule="exact"/>
              <w:ind w:right="52"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19 607 Kč</w:t>
            </w:r>
          </w:p>
        </w:tc>
      </w:tr>
    </w:tbl>
    <w:p>
      <w:pPr>
        <w:spacing w:before="0" w:after="157" w:line="20" w:lineRule="exact"/>
      </w:pPr>
    </w:p>
    <w:p>
      <w:pPr>
        <w:spacing w:before="4" w:after="0" w:line="20" w:lineRule="exact"/>
      </w:pPr>
    </w:p>
    <w:tbl>
      <w:tblPr>
        <w:jc w:val="left"/>
        <w:tblInd w:w="18" w:type="dxa"/>
        <w:tblLayout w:type="fixed"/>
        <w:tblCellMar>
          <w:left w:w="0" w:type="dxa"/>
          <w:right w:w="0" w:type="dxa"/>
        </w:tblCellMar>
      </w:tblPr>
      <w:tblGrid>
        <w:gridCol w:w="6629"/>
        <w:gridCol w:w="2534"/>
      </w:tblGrid>
      <w:tr>
        <w:trPr>
          <w:trHeight w:val="485" w:hRule="exact"/>
        </w:trPr>
        <w:tc>
          <w:tcPr>
            <w:tcW w:w="6629" w:type="dxa"/>
            <w:tcBorders>
              <w:top w:val="single" w:sz="9" w:color="000000"/>
              <w:left w:val="single" w:sz="9" w:color="000000"/>
              <w:bottom w:val="single" w:sz="9" w:color="000000"/>
              <w:right w:val="single" w:sz="9" w:color="000000"/>
            </w:tcBorders>
            <w:textDirection w:val="lrTb"/>
            <w:vAlign w:val="top"/>
          </w:tcPr>
          <w:p>
            <w:pPr>
              <w:spacing w:before="50" w:after="0" w:line="205" w:lineRule="exact"/>
              <w:ind w:right="0" w:left="72"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Změna pojistného celkem</w:t>
            </w:r>
          </w:p>
          <w:p>
            <w:pPr>
              <w:spacing w:before="2" w:after="13" w:line="205" w:lineRule="exact"/>
              <w:ind w:right="0" w:left="72"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Od 25.06.2025 </w:t>
            </w:r>
            <w:r>
              <w:rPr>
                <w:rFonts w:ascii="Arial" w:hAnsi="Arial" w:eastAsia="Arial"/>
                <w:color w:val="000000"/>
                <w:spacing w:val="0"/>
                <w:w w:val="100"/>
                <w:sz w:val="17"/>
                <w:vertAlign w:val="baseline"/>
                <w:lang w:val="cs-CZ"/>
              </w:rPr>
              <w:t xml:space="preserve">00:00 hodin </w:t>
            </w:r>
            <w:r>
              <w:rPr>
                <w:rFonts w:ascii="Arial" w:hAnsi="Arial" w:eastAsia="Arial"/>
                <w:b w:val="true"/>
                <w:color w:val="000000"/>
                <w:spacing w:val="0"/>
                <w:w w:val="100"/>
                <w:sz w:val="18"/>
                <w:vertAlign w:val="baseline"/>
                <w:lang w:val="cs-CZ"/>
              </w:rPr>
              <w:t xml:space="preserve">do 05.01.2026 </w:t>
            </w:r>
            <w:r>
              <w:rPr>
                <w:rFonts w:ascii="Arial" w:hAnsi="Arial" w:eastAsia="Arial"/>
                <w:color w:val="000000"/>
                <w:spacing w:val="0"/>
                <w:w w:val="100"/>
                <w:sz w:val="17"/>
                <w:vertAlign w:val="baseline"/>
                <w:lang w:val="cs-CZ"/>
              </w:rPr>
              <w:t xml:space="preserve">00:00 hodin</w:t>
            </w:r>
          </w:p>
        </w:tc>
        <w:tc>
          <w:tcPr>
            <w:tcW w:w="2534" w:type="dxa"/>
            <w:tcBorders>
              <w:top w:val="single" w:sz="9" w:color="000000"/>
              <w:left w:val="single" w:sz="9" w:color="000000"/>
              <w:bottom w:val="single" w:sz="9" w:color="000000"/>
              <w:right w:val="single" w:sz="9" w:color="000000"/>
            </w:tcBorders>
            <w:textDirection w:val="lrTb"/>
            <w:vAlign w:val="center"/>
          </w:tcPr>
          <w:p>
            <w:pPr>
              <w:spacing w:before="157" w:after="114" w:line="204"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3 177 Kč</w:t>
            </w:r>
          </w:p>
        </w:tc>
      </w:tr>
      <w:tr>
        <w:trPr>
          <w:trHeight w:val="475" w:hRule="exact"/>
        </w:trPr>
        <w:tc>
          <w:tcPr>
            <w:tcW w:w="6629" w:type="dxa"/>
            <w:tcBorders>
              <w:top w:val="single" w:sz="9" w:color="000000"/>
              <w:left w:val="single" w:sz="9" w:color="000000"/>
              <w:bottom w:val="single" w:sz="9" w:color="000000"/>
              <w:right w:val="single" w:sz="9" w:color="000000"/>
            </w:tcBorders>
            <w:textDirection w:val="lrTb"/>
            <w:vAlign w:val="top"/>
          </w:tcPr>
          <w:p>
            <w:pPr>
              <w:spacing w:before="40" w:after="13" w:line="206" w:lineRule="exact"/>
              <w:ind w:right="2160" w:left="36"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Součet splátek pojĺstného z předešlého dodatku číslo 0 </w:t>
            </w:r>
            <w:r>
              <w:rPr>
                <w:rFonts w:ascii="Arial" w:hAnsi="Arial" w:eastAsia="Arial"/>
                <w:b w:val="true"/>
                <w:color w:val="000000"/>
                <w:spacing w:val="0"/>
                <w:w w:val="100"/>
                <w:sz w:val="18"/>
                <w:vertAlign w:val="baseline"/>
                <w:lang w:val="cs-CZ"/>
              </w:rPr>
              <w:t xml:space="preserve">Od 25.06.2025 </w:t>
            </w:r>
            <w:r>
              <w:rPr>
                <w:rFonts w:ascii="Arial" w:hAnsi="Arial" w:eastAsia="Arial"/>
                <w:color w:val="000000"/>
                <w:spacing w:val="0"/>
                <w:w w:val="100"/>
                <w:sz w:val="17"/>
                <w:vertAlign w:val="baseline"/>
                <w:lang w:val="cs-CZ"/>
              </w:rPr>
              <w:t xml:space="preserve">00:00 hodin </w:t>
            </w:r>
            <w:r>
              <w:rPr>
                <w:rFonts w:ascii="Arial" w:hAnsi="Arial" w:eastAsia="Arial"/>
                <w:b w:val="true"/>
                <w:color w:val="000000"/>
                <w:spacing w:val="0"/>
                <w:w w:val="100"/>
                <w:sz w:val="18"/>
                <w:vertAlign w:val="baseline"/>
                <w:lang w:val="cs-CZ"/>
              </w:rPr>
              <w:t xml:space="preserve">do 05.01.2026 </w:t>
            </w:r>
            <w:r>
              <w:rPr>
                <w:rFonts w:ascii="Arial" w:hAnsi="Arial" w:eastAsia="Arial"/>
                <w:color w:val="000000"/>
                <w:spacing w:val="0"/>
                <w:w w:val="100"/>
                <w:sz w:val="17"/>
                <w:vertAlign w:val="baseline"/>
                <w:lang w:val="cs-CZ"/>
              </w:rPr>
              <w:t xml:space="preserve">00:00 hodin</w:t>
            </w:r>
          </w:p>
        </w:tc>
        <w:tc>
          <w:tcPr>
            <w:tcW w:w="2534" w:type="dxa"/>
            <w:tcBorders>
              <w:top w:val="single" w:sz="9" w:color="000000"/>
              <w:left w:val="single" w:sz="9" w:color="000000"/>
              <w:bottom w:val="single" w:sz="9" w:color="000000"/>
              <w:right w:val="single" w:sz="9" w:color="000000"/>
            </w:tcBorders>
            <w:textDirection w:val="lrTb"/>
            <w:vAlign w:val="center"/>
          </w:tcPr>
          <w:p>
            <w:pPr>
              <w:spacing w:before="147" w:after="114" w:line="204"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 Kč</w:t>
            </w:r>
          </w:p>
        </w:tc>
      </w:tr>
      <w:tr>
        <w:trPr>
          <w:trHeight w:val="279" w:hRule="exact"/>
        </w:trPr>
        <w:tc>
          <w:tcPr>
            <w:tcW w:w="6629" w:type="dxa"/>
            <w:tcBorders>
              <w:top w:val="single" w:sz="9" w:color="000000"/>
              <w:left w:val="single" w:sz="9" w:color="000000"/>
              <w:bottom w:val="single" w:sz="9" w:color="000000"/>
              <w:right w:val="single" w:sz="9" w:color="000000"/>
            </w:tcBorders>
            <w:textDirection w:val="lrTb"/>
            <w:vAlign w:val="center"/>
          </w:tcPr>
          <w:p>
            <w:pPr>
              <w:spacing w:before="42" w:after="32" w:line="204" w:lineRule="exact"/>
              <w:ind w:right="0" w:left="53"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Součet</w:t>
            </w:r>
          </w:p>
        </w:tc>
        <w:tc>
          <w:tcPr>
            <w:tcW w:w="2534" w:type="dxa"/>
            <w:tcBorders>
              <w:top w:val="single" w:sz="9" w:color="000000"/>
              <w:left w:val="single" w:sz="9" w:color="000000"/>
              <w:bottom w:val="single" w:sz="9" w:color="000000"/>
              <w:right w:val="single" w:sz="9" w:color="000000"/>
            </w:tcBorders>
            <w:textDirection w:val="lrTb"/>
            <w:vAlign w:val="center"/>
          </w:tcPr>
          <w:p>
            <w:pPr>
              <w:spacing w:before="42" w:after="32" w:line="204"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3 177 Kč</w:t>
            </w:r>
          </w:p>
        </w:tc>
      </w:tr>
    </w:tbl>
    <w:p>
      <w:pPr>
        <w:spacing w:before="0" w:after="373" w:line="20" w:lineRule="exact"/>
      </w:pPr>
    </w:p>
    <w:p>
      <w:pPr>
        <w:spacing w:before="3" w:after="0" w:line="206" w:lineRule="exact"/>
        <w:ind w:right="0" w:left="0" w:firstLine="0"/>
        <w:jc w:val="both"/>
        <w:textAlignment w:val="baseline"/>
        <w:rPr>
          <w:rFonts w:ascii="Arial" w:hAnsi="Arial" w:eastAsia="Arial"/>
          <w:b w:val="true"/>
          <w:color w:val="000000"/>
          <w:spacing w:val="0"/>
          <w:w w:val="100"/>
          <w:sz w:val="18"/>
          <w:u w:val="single"/>
          <w:vertAlign w:val="baseline"/>
          <w:lang w:val="cs-CZ"/>
        </w:rPr>
      </w:pPr>
      <w:r>
        <w:rPr>
          <w:rFonts w:ascii="Arial" w:hAnsi="Arial" w:eastAsia="Arial"/>
          <w:b w:val="true"/>
          <w:color w:val="000000"/>
          <w:spacing w:val="0"/>
          <w:w w:val="100"/>
          <w:sz w:val="18"/>
          <w:u w:val="single"/>
          <w:vertAlign w:val="baseline"/>
          <w:lang w:val="cs-CZ"/>
        </w:rPr>
        <w:t xml:space="preserve">Změna pojistného</w:t>
      </w:r>
      <w:r>
        <w:rPr>
          <w:rFonts w:ascii="Arial" w:hAnsi="Arial" w:eastAsia="Arial"/>
          <w:color w:val="000000"/>
          <w:spacing w:val="0"/>
          <w:w w:val="100"/>
          <w:sz w:val="17"/>
          <w:vertAlign w:val="baseline"/>
          <w:lang w:val="cs-CZ"/>
        </w:rPr>
        <w:t xml:space="preserve"> = pokud se tímto dodatkem ruší stávající pojĺštění a zároveň se toto pojĺštění znovu sjednává z důvodu změny pojĺštění, je to rozdíl mezĺ původní a novou výší pojĺstného (kladná nebo záporná částka) </w:t>
      </w:r>
      <w:r>
        <w:rPr>
          <w:rFonts w:ascii="Arial" w:hAnsi="Arial" w:eastAsia="Arial"/>
          <w:i w:val="true"/>
          <w:color w:val="000000"/>
          <w:spacing w:val="0"/>
          <w:w w:val="100"/>
          <w:sz w:val="18"/>
          <w:vertAlign w:val="baseline"/>
          <w:lang w:val="cs-CZ"/>
        </w:rPr>
        <w:t xml:space="preserve">nebo </w:t>
      </w:r>
      <w:r>
        <w:rPr>
          <w:rFonts w:ascii="Arial" w:hAnsi="Arial" w:eastAsia="Arial"/>
          <w:color w:val="000000"/>
          <w:spacing w:val="0"/>
          <w:w w:val="100"/>
          <w:sz w:val="17"/>
          <w:vertAlign w:val="baseline"/>
          <w:lang w:val="cs-CZ"/>
        </w:rPr>
        <w:t xml:space="preserve">pokud se tímto dodatkem sjednává nové pojĺštění, je to výše pojĺstného za nově sjednané pojĺštění (kladná částka) </w:t>
      </w:r>
      <w:r>
        <w:rPr>
          <w:rFonts w:ascii="Arial" w:hAnsi="Arial" w:eastAsia="Arial"/>
          <w:i w:val="true"/>
          <w:color w:val="000000"/>
          <w:spacing w:val="0"/>
          <w:w w:val="100"/>
          <w:sz w:val="18"/>
          <w:vertAlign w:val="baseline"/>
          <w:lang w:val="cs-CZ"/>
        </w:rPr>
        <w:t xml:space="preserve">nebo </w:t>
      </w:r>
      <w:r>
        <w:rPr>
          <w:rFonts w:ascii="Arial" w:hAnsi="Arial" w:eastAsia="Arial"/>
          <w:color w:val="000000"/>
          <w:spacing w:val="0"/>
          <w:w w:val="100"/>
          <w:sz w:val="17"/>
          <w:vertAlign w:val="baseline"/>
          <w:lang w:val="cs-CZ"/>
        </w:rPr>
        <w:t xml:space="preserve">pokud se tímto dodatkem ruší stávající pojĺštění, je to výše pojĺstného za zrušené pojĺštění (záporná částka)</w:t>
      </w:r>
    </w:p>
    <w:p>
      <w:pPr>
        <w:spacing w:before="361" w:after="0" w:line="205" w:lineRule="exact"/>
        <w:ind w:right="0" w:left="0" w:firstLine="0"/>
        <w:jc w:val="left"/>
        <w:textAlignment w:val="baseline"/>
        <w:rPr>
          <w:rFonts w:ascii="Arial" w:hAnsi="Arial" w:eastAsia="Arial"/>
          <w:b w:val="true"/>
          <w:color w:val="000000"/>
          <w:spacing w:val="3"/>
          <w:w w:val="100"/>
          <w:sz w:val="18"/>
          <w:u w:val="single"/>
          <w:vertAlign w:val="baseline"/>
          <w:lang w:val="cs-CZ"/>
        </w:rPr>
      </w:pPr>
      <w:r>
        <w:rPr>
          <w:rFonts w:ascii="Arial" w:hAnsi="Arial" w:eastAsia="Arial"/>
          <w:b w:val="true"/>
          <w:color w:val="000000"/>
          <w:spacing w:val="3"/>
          <w:w w:val="100"/>
          <w:sz w:val="18"/>
          <w:u w:val="single"/>
          <w:vertAlign w:val="baseline"/>
          <w:lang w:val="cs-CZ"/>
        </w:rPr>
        <w:t xml:space="preserve">Změna ročního pojistného</w:t>
      </w:r>
      <w:r>
        <w:rPr>
          <w:rFonts w:ascii="Arial" w:hAnsi="Arial" w:eastAsia="Arial"/>
          <w:color w:val="000000"/>
          <w:spacing w:val="3"/>
          <w:w w:val="100"/>
          <w:sz w:val="17"/>
          <w:vertAlign w:val="baseline"/>
          <w:lang w:val="cs-CZ"/>
        </w:rPr>
        <w:t xml:space="preserve"> = změna pojĺstného vyjádření v ročním pojĺstném</w:t>
      </w:r>
    </w:p>
    <w:p>
      <w:pPr>
        <w:spacing w:before="354" w:after="157" w:line="212" w:lineRule="exact"/>
        <w:ind w:right="0" w:left="0" w:firstLine="0"/>
        <w:jc w:val="both"/>
        <w:textAlignment w:val="baseline"/>
        <w:rPr>
          <w:rFonts w:ascii="Arial" w:hAnsi="Arial" w:eastAsia="Arial"/>
          <w:b w:val="true"/>
          <w:color w:val="000000"/>
          <w:spacing w:val="0"/>
          <w:w w:val="100"/>
          <w:sz w:val="18"/>
          <w:u w:val="single"/>
          <w:vertAlign w:val="baseline"/>
          <w:lang w:val="cs-CZ"/>
        </w:rPr>
      </w:pPr>
      <w:r>
        <w:rPr>
          <w:rFonts w:ascii="Arial" w:hAnsi="Arial" w:eastAsia="Arial"/>
          <w:b w:val="true"/>
          <w:color w:val="000000"/>
          <w:spacing w:val="0"/>
          <w:w w:val="100"/>
          <w:sz w:val="18"/>
          <w:u w:val="single"/>
          <w:vertAlign w:val="baseline"/>
          <w:lang w:val="cs-CZ"/>
        </w:rPr>
        <w:t xml:space="preserve">Roční pojistné po změnách</w:t>
      </w:r>
      <w:r>
        <w:rPr>
          <w:rFonts w:ascii="Arial" w:hAnsi="Arial" w:eastAsia="Arial"/>
          <w:color w:val="000000"/>
          <w:spacing w:val="0"/>
          <w:w w:val="100"/>
          <w:sz w:val="17"/>
          <w:vertAlign w:val="baseline"/>
          <w:lang w:val="cs-CZ"/>
        </w:rPr>
        <w:t xml:space="preserve"> = pojĺstné za všechna platná pojĺštění sjednaná pojĺstnou smlouvou a dodatky pojĺstné smlouvy vyjádřené v ročním pojĺstném</w:t>
      </w:r>
    </w:p>
    <w:p>
      <w:pPr>
        <w:spacing w:before="164" w:after="0" w:line="226" w:lineRule="exact"/>
        <w:ind w:right="0" w:left="0" w:firstLine="0"/>
        <w:jc w:val="left"/>
        <w:textAlignment w:val="baseline"/>
        <w:rPr>
          <w:rFonts w:ascii="Arial" w:hAnsi="Arial" w:eastAsia="Arial"/>
          <w:b w:val="true"/>
          <w:color w:val="000000"/>
          <w:spacing w:val="0"/>
          <w:w w:val="100"/>
          <w:sz w:val="20"/>
          <w:vertAlign w:val="baseline"/>
          <w:lang w:val="cs-CZ"/>
        </w:rPr>
      </w:pPr>
      <w:r>
        <w:pict>
          <v:line strokeweight="2.15pt" strokecolor="#000000" from="68.45pt,403.45pt" to="528.5pt,403.45pt" style="position:absolute;mso-position-horizontal-relative:page;mso-position-vertical-relative:page;">
            <v:stroke dashstyle="solid"/>
          </v:line>
        </w:pict>
      </w:r>
      <w:r>
        <w:rPr>
          <w:rFonts w:ascii="Arial" w:hAnsi="Arial" w:eastAsia="Arial"/>
          <w:b w:val="true"/>
          <w:color w:val="000000"/>
          <w:spacing w:val="0"/>
          <w:w w:val="100"/>
          <w:sz w:val="20"/>
          <w:vertAlign w:val="baseline"/>
          <w:lang w:val="cs-CZ"/>
        </w:rPr>
        <w:t xml:space="preserve">Splátkový kalendář</w:t>
      </w:r>
    </w:p>
    <w:p>
      <w:pPr>
        <w:spacing w:before="84" w:after="0" w:line="204" w:lineRule="exact"/>
        <w:ind w:right="792" w:left="0"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Placení pojistného </w:t>
      </w:r>
      <w:r>
        <w:rPr>
          <w:rFonts w:ascii="Arial" w:hAnsi="Arial" w:eastAsia="Arial"/>
          <w:color w:val="000000"/>
          <w:spacing w:val="0"/>
          <w:w w:val="100"/>
          <w:sz w:val="17"/>
          <w:vertAlign w:val="baseline"/>
          <w:lang w:val="cs-CZ"/>
        </w:rPr>
        <w:t xml:space="preserve">za všechna pojĺštění sjednaná pojĺstnou smlouvou a po změnách provedených tímto dodatkem pojĺstné smlouvy </w:t>
      </w:r>
      <w:r>
        <w:rPr>
          <w:rFonts w:ascii="Arial" w:hAnsi="Arial" w:eastAsia="Arial"/>
          <w:b w:val="true"/>
          <w:color w:val="000000"/>
          <w:spacing w:val="0"/>
          <w:w w:val="100"/>
          <w:sz w:val="18"/>
          <w:vertAlign w:val="baseline"/>
          <w:lang w:val="cs-CZ"/>
        </w:rPr>
        <w:t xml:space="preserve">se do 05.01.2026 </w:t>
      </w:r>
      <w:r>
        <w:rPr>
          <w:rFonts w:ascii="Arial" w:hAnsi="Arial" w:eastAsia="Arial"/>
          <w:color w:val="000000"/>
          <w:spacing w:val="0"/>
          <w:w w:val="100"/>
          <w:sz w:val="17"/>
          <w:vertAlign w:val="baseline"/>
          <w:lang w:val="cs-CZ"/>
        </w:rPr>
        <w:t xml:space="preserve">00:00 hodin </w:t>
      </w:r>
      <w:r>
        <w:rPr>
          <w:rFonts w:ascii="Arial" w:hAnsi="Arial" w:eastAsia="Arial"/>
          <w:b w:val="true"/>
          <w:color w:val="000000"/>
          <w:spacing w:val="0"/>
          <w:w w:val="100"/>
          <w:sz w:val="18"/>
          <w:vertAlign w:val="baseline"/>
          <w:lang w:val="cs-CZ"/>
        </w:rPr>
        <w:t xml:space="preserve">řídí následujícím splátkovým kalendářem:</w:t>
      </w:r>
    </w:p>
    <w:tbl>
      <w:tblPr>
        <w:jc w:val="left"/>
        <w:tblInd w:w="18" w:type="dxa"/>
        <w:tblLayout w:type="fixed"/>
        <w:tblCellMar>
          <w:left w:w="0" w:type="dxa"/>
          <w:right w:w="0" w:type="dxa"/>
        </w:tblCellMar>
      </w:tblPr>
      <w:tblGrid>
        <w:gridCol w:w="4210"/>
        <w:gridCol w:w="4953"/>
      </w:tblGrid>
      <w:tr>
        <w:trPr>
          <w:trHeight w:val="278" w:hRule="exact"/>
        </w:trPr>
        <w:tc>
          <w:tcPr>
            <w:tcW w:w="4210"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1" w:after="18" w:line="205" w:lineRule="exact"/>
              <w:ind w:right="0" w:left="67"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Datum splátky pojistného</w:t>
            </w:r>
          </w:p>
        </w:tc>
        <w:tc>
          <w:tcPr>
            <w:tcW w:w="4953"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1" w:after="18" w:line="205" w:lineRule="exact"/>
              <w:ind w:right="52"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Splátka pojistného</w:t>
            </w:r>
          </w:p>
        </w:tc>
      </w:tr>
      <w:tr>
        <w:trPr>
          <w:trHeight w:val="241" w:hRule="exact"/>
        </w:trPr>
        <w:tc>
          <w:tcPr>
            <w:tcW w:w="4210" w:type="dxa"/>
            <w:tcBorders>
              <w:top w:val="single" w:sz="9" w:color="000000"/>
              <w:left w:val="single" w:sz="9" w:color="000000"/>
              <w:bottom w:val="single" w:sz="9" w:color="000000"/>
              <w:right w:val="single" w:sz="9" w:color="000000"/>
            </w:tcBorders>
            <w:textDirection w:val="lrTb"/>
            <w:vAlign w:val="center"/>
          </w:tcPr>
          <w:p>
            <w:pPr>
              <w:spacing w:before="0" w:after="18" w:line="204" w:lineRule="exact"/>
              <w:ind w:right="0" w:left="67"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25.06.2025</w:t>
            </w:r>
          </w:p>
        </w:tc>
        <w:tc>
          <w:tcPr>
            <w:tcW w:w="4953" w:type="dxa"/>
            <w:tcBorders>
              <w:top w:val="single" w:sz="9" w:color="000000"/>
              <w:left w:val="single" w:sz="9" w:color="000000"/>
              <w:bottom w:val="single" w:sz="9" w:color="000000"/>
              <w:right w:val="single" w:sz="9" w:color="000000"/>
            </w:tcBorders>
            <w:textDirection w:val="lrTb"/>
            <w:vAlign w:val="center"/>
          </w:tcPr>
          <w:p>
            <w:pPr>
              <w:spacing w:before="0" w:after="18" w:line="204" w:lineRule="exact"/>
              <w:ind w:right="52"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3 177 Kč</w:t>
            </w:r>
          </w:p>
        </w:tc>
      </w:tr>
    </w:tbl>
    <w:p>
      <w:pPr>
        <w:spacing w:before="0" w:after="200" w:line="20" w:lineRule="exact"/>
      </w:pPr>
    </w:p>
    <w:p>
      <w:pPr>
        <w:spacing w:before="0" w:after="0" w:line="198"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Pojĺstné poukáže pojĺstník na účet ADORES centrum pojĺštění s.r.o.</w:t>
      </w:r>
    </w:p>
    <w:p>
      <w:pPr>
        <w:spacing w:before="2" w:after="0" w:line="205"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číslo </w:t>
      </w:r>
      <w:r>
        <w:rPr>
          <w:rFonts w:ascii="Arial" w:hAnsi="Arial" w:eastAsia="Arial"/>
          <w:b w:val="true"/>
          <w:color w:val="000000"/>
          <w:spacing w:val="0"/>
          <w:w w:val="100"/>
          <w:sz w:val="18"/>
          <w:vertAlign w:val="baseline"/>
          <w:lang w:val="cs-CZ"/>
        </w:rPr>
        <w:t xml:space="preserve">2108114498/2700</w:t>
      </w:r>
    </w:p>
    <w:p>
      <w:pPr>
        <w:spacing w:before="2" w:after="0" w:line="204"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konstantní symbol 3558,</w:t>
      </w:r>
    </w:p>
    <w:p>
      <w:pPr>
        <w:spacing w:before="1" w:after="0" w:line="205"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varĺabĺlní symbol </w:t>
      </w:r>
      <w:r>
        <w:rPr>
          <w:rFonts w:ascii="Arial" w:hAnsi="Arial" w:eastAsia="Arial"/>
          <w:b w:val="true"/>
          <w:color w:val="000000"/>
          <w:spacing w:val="0"/>
          <w:w w:val="100"/>
          <w:sz w:val="18"/>
          <w:vertAlign w:val="baseline"/>
          <w:lang w:val="cs-CZ"/>
        </w:rPr>
        <w:t xml:space="preserve">8074554117</w:t>
      </w:r>
    </w:p>
    <w:p>
      <w:pPr>
        <w:spacing w:before="3" w:after="0" w:line="204"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Pojĺstné se považuje za uhrazené dnem přĺpsání na účet ADORES centrum pojĺštění s.r.o.</w:t>
      </w:r>
    </w:p>
    <w:p>
      <w:pPr>
        <w:spacing w:before="183" w:after="0" w:line="206" w:lineRule="exact"/>
        <w:ind w:right="216"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Pojĺstĺtel a pojĺstník sjednávají délku pojĺstného období ve všech pojĺštěních sjednaných tímto dodatkem pojĺstné smlouvy následovně:</w:t>
      </w:r>
    </w:p>
    <w:p>
      <w:pPr>
        <w:numPr>
          <w:ilvl w:val="0"/>
          <w:numId w:val="3"/>
        </w:numPr>
        <w:tabs>
          <w:tab w:val="clear" w:pos="288"/>
          <w:tab w:val="left" w:pos="288"/>
        </w:tabs>
        <w:spacing w:before="0" w:after="0" w:line="207" w:lineRule="exact"/>
        <w:ind w:right="72" w:left="288" w:hanging="288"/>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první pojĺstné období ve všech pojĺštěních sjednaných tímto dodatkem pojĺstné smlouvy se sjednává v délce ode dne počátku všech pojĺštění sjednaných tímto dodatkem pojĺstné smlouvy do nejblĺžšího následujícího dne konce pojĺstného období všech pojĺštění sjednaných samotnou pojĺstnou smlouvou, nebo je-lĺ pojĺštění sjednáno na dobu kratší, tak se první pojĺstné období sjednává v délce rovné pojĺstné době;</w:t>
      </w:r>
    </w:p>
    <w:p>
      <w:pPr>
        <w:numPr>
          <w:ilvl w:val="0"/>
          <w:numId w:val="3"/>
        </w:numPr>
        <w:tabs>
          <w:tab w:val="clear" w:pos="288"/>
          <w:tab w:val="left" w:pos="288"/>
        </w:tabs>
        <w:spacing w:before="2" w:after="0" w:line="206" w:lineRule="exact"/>
        <w:ind w:right="432" w:left="288"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druhé a každé další pojĺstné období ve všech pojĺštěních sjednaných tímto dodatkem pojĺstné smlouvy se sjednává v délce shodné s délkou pojĺstných období ve všech pojĺštěních sjednaných samotnou pojĺstnou smlouvou.</w:t>
      </w:r>
    </w:p>
    <w:p>
      <w:pPr>
        <w:spacing w:before="181" w:after="2293" w:line="207" w:lineRule="exact"/>
        <w:ind w:right="216"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Výše pojĺstného za další pojĺstné období se řídí splátkovým kalendářem zaslaným pojĺstníkovĺ na začátku dalšího pojĺstného období.</w:t>
      </w:r>
    </w:p>
    <w:p>
      <w:pPr>
        <w:spacing w:before="181" w:after="2293" w:line="207" w:lineRule="exact"/>
        <w:sectPr>
          <w:type w:val="nextPage"/>
          <w:pgSz w:w="11899" w:h="16843" w:orient="portrait"/>
          <w:pgMar w:bottom="587" w:top="1000" w:right="1330" w:left="1369" w:header="720" w:footer="720"/>
          <w:titlePg w:val="false"/>
          <w:textDirection w:val="lrTb"/>
        </w:sectPr>
      </w:pPr>
    </w:p>
    <w:p>
      <w:pPr>
        <w:spacing w:before="0" w:after="0" w:line="198"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4 (z celkem stran 6)</w:t>
      </w:r>
    </w:p>
    <w:p>
      <w:pPr>
        <w:sectPr>
          <w:type w:val="continuous"/>
          <w:pgSz w:w="11899" w:h="16843" w:orient="portrait"/>
          <w:pgMar w:bottom="587" w:top="1000" w:right="1342" w:left="1357" w:header="720" w:footer="720"/>
          <w:titlePg w:val="false"/>
          <w:textDirection w:val="lrTb"/>
        </w:sectPr>
      </w:pPr>
    </w:p>
    <w:p>
      <w:pPr>
        <w:spacing w:before="8" w:after="0" w:line="206"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Číslo pojĺstné smlouvy: 8074554117 dodatek 1</w:t>
      </w:r>
    </w:p>
    <w:p>
      <w:pPr>
        <w:spacing w:before="581" w:after="0" w:line="327" w:lineRule="exact"/>
        <w:ind w:right="0" w:left="0" w:firstLine="0"/>
        <w:jc w:val="center"/>
        <w:textAlignment w:val="baseline"/>
        <w:rPr>
          <w:rFonts w:ascii="Arial" w:hAnsi="Arial" w:eastAsia="Arial"/>
          <w:b w:val="true"/>
          <w:i w:val="true"/>
          <w:color w:val="000000"/>
          <w:spacing w:val="-3"/>
          <w:w w:val="100"/>
          <w:sz w:val="28"/>
          <w:vertAlign w:val="baseline"/>
          <w:lang w:val="cs-CZ"/>
        </w:rPr>
      </w:pPr>
      <w:r>
        <w:rPr>
          <w:rFonts w:ascii="Arial" w:hAnsi="Arial" w:eastAsia="Arial"/>
          <w:b w:val="true"/>
          <w:i w:val="true"/>
          <w:color w:val="000000"/>
          <w:spacing w:val="-3"/>
          <w:w w:val="100"/>
          <w:sz w:val="28"/>
          <w:vertAlign w:val="baseline"/>
          <w:lang w:val="cs-CZ"/>
        </w:rPr>
        <w:t xml:space="preserve">Článek IV.</w:t>
      </w:r>
    </w:p>
    <w:p>
      <w:pPr>
        <w:spacing w:before="1" w:after="0" w:line="274" w:lineRule="exact"/>
        <w:ind w:right="0" w:left="0"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Závěrečná ustanovení</w:t>
      </w:r>
    </w:p>
    <w:p>
      <w:pPr>
        <w:numPr>
          <w:ilvl w:val="0"/>
          <w:numId w:val="4"/>
        </w:numPr>
        <w:tabs>
          <w:tab w:val="clear" w:pos="288"/>
          <w:tab w:val="left" w:pos="288"/>
        </w:tabs>
        <w:spacing w:before="178" w:after="0" w:line="204"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Tento dodatek nabývá platnostĺ dnem jeho podpĺsu oběma smluvnímĺ stranamĺ a účĺnnostĺ dnem </w:t>
      </w:r>
      <w:r>
        <w:rPr>
          <w:rFonts w:ascii="Arial" w:hAnsi="Arial" w:eastAsia="Arial"/>
          <w:b w:val="true"/>
          <w:color w:val="000000"/>
          <w:spacing w:val="4"/>
          <w:w w:val="100"/>
          <w:sz w:val="18"/>
          <w:vertAlign w:val="baseline"/>
          <w:lang w:val="cs-CZ"/>
        </w:rPr>
        <w:t xml:space="preserve">25.06.2025</w:t>
      </w:r>
    </w:p>
    <w:p>
      <w:pPr>
        <w:numPr>
          <w:ilvl w:val="0"/>
          <w:numId w:val="4"/>
        </w:numPr>
        <w:tabs>
          <w:tab w:val="clear" w:pos="288"/>
          <w:tab w:val="left" w:pos="288"/>
        </w:tabs>
        <w:spacing w:before="194" w:after="0" w:line="204" w:lineRule="exact"/>
        <w:ind w:right="0" w:left="0"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Prohlášení pojistníka</w:t>
      </w:r>
    </w:p>
    <w:p>
      <w:pPr>
        <w:spacing w:before="195" w:after="0" w:line="204" w:lineRule="exact"/>
        <w:ind w:right="0" w:left="0" w:firstLine="0"/>
        <w:jc w:val="left"/>
        <w:textAlignment w:val="baseline"/>
        <w:rPr>
          <w:rFonts w:ascii="Arial" w:hAnsi="Arial" w:eastAsia="Arial"/>
          <w:color w:val="000000"/>
          <w:spacing w:val="2"/>
          <w:w w:val="100"/>
          <w:sz w:val="17"/>
          <w:vertAlign w:val="baseline"/>
          <w:lang w:val="cs-CZ"/>
        </w:rPr>
      </w:pPr>
      <w:r>
        <w:rPr>
          <w:rFonts w:ascii="Arial" w:hAnsi="Arial" w:eastAsia="Arial"/>
          <w:color w:val="000000"/>
          <w:spacing w:val="2"/>
          <w:w w:val="100"/>
          <w:sz w:val="17"/>
          <w:vertAlign w:val="baseline"/>
          <w:lang w:val="cs-CZ"/>
        </w:rPr>
        <w:t xml:space="preserve">2.1. </w:t>
      </w:r>
      <w:r>
        <w:rPr>
          <w:rFonts w:ascii="Arial" w:hAnsi="Arial" w:eastAsia="Arial"/>
          <w:b w:val="true"/>
          <w:color w:val="000000"/>
          <w:spacing w:val="2"/>
          <w:w w:val="100"/>
          <w:sz w:val="18"/>
          <w:vertAlign w:val="baseline"/>
          <w:lang w:val="cs-CZ"/>
        </w:rPr>
        <w:t xml:space="preserve">Prohlášení pojistníka, je-li pojistník fyzickou osobou: </w:t>
      </w:r>
      <w:r>
        <w:rPr>
          <w:rFonts w:ascii="Arial" w:hAnsi="Arial" w:eastAsia="Arial"/>
          <w:color w:val="000000"/>
          <w:spacing w:val="2"/>
          <w:w w:val="100"/>
          <w:sz w:val="17"/>
          <w:vertAlign w:val="baseline"/>
          <w:lang w:val="cs-CZ"/>
        </w:rPr>
        <w:t xml:space="preserve">Prohlašujĺ a svým podpĺsem níže stvrzujĺ, že:</w:t>
      </w:r>
    </w:p>
    <w:p>
      <w:pPr>
        <w:numPr>
          <w:ilvl w:val="0"/>
          <w:numId w:val="5"/>
        </w:numPr>
        <w:tabs>
          <w:tab w:val="clear" w:pos="216"/>
          <w:tab w:val="left" w:pos="648"/>
        </w:tabs>
        <w:spacing w:before="193" w:after="0" w:line="207"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jsem byl před uzavřením pojĺstné smlouvy, zcela v souladu s ustanovením čl. 13 a čl. 14 Nařízení Evropského parlamentu a Rady (EU) č. 2016/679 ze dne 27. dubna 2016 o ochraně fyzĺckých osob v souvĺslostĺ se zpracováním osobních údajů a o volném pohybu těchto údajů a o zrušení směrnĺce 95/46/ES (obecné nařízení o ochraně osobních údajů; dále jen "GDPR"), pojĺstĺtelem řádně a detaĺlně (co do vysvětlení obsahu a významu všech jeho jednotlĺvých ustanovení) seznámen s Informacemĺ o zpracování osobních údajů (tzv. Informačním memorandem);</w:t>
      </w:r>
    </w:p>
    <w:p>
      <w:pPr>
        <w:numPr>
          <w:ilvl w:val="0"/>
          <w:numId w:val="5"/>
        </w:numPr>
        <w:tabs>
          <w:tab w:val="clear" w:pos="216"/>
          <w:tab w:val="left" w:pos="648"/>
        </w:tabs>
        <w:spacing w:before="193" w:after="0" w:line="206"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seznámení s Informačním memorandem za pojĺstĺtele provedla právě ta konkrétní fyzĺcká osoba, která za pojĺstĺtele podepsala tuto pojĺstnou smlouvu (přĺčemž adresátem uvedených ĺnformací může být pojĺšťovací makléř, coby pojĺšťovací zprostředkovatel zastupující pojĺstníka);</w:t>
      </w:r>
    </w:p>
    <w:p>
      <w:pPr>
        <w:numPr>
          <w:ilvl w:val="0"/>
          <w:numId w:val="5"/>
        </w:numPr>
        <w:tabs>
          <w:tab w:val="clear" w:pos="216"/>
          <w:tab w:val="left" w:pos="648"/>
        </w:tabs>
        <w:spacing w:before="193" w:after="0" w:line="206"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 seznámení se s Informačním memorandem a před uzavřením pojĺstné smlouvy mně byl dán naprosto dostatečný časový prostor pro vlastní seznámení se s Informačním memorandem a pro zodpovězení všech mých případných dotazů k Informačnímu memorandu;</w:t>
      </w:r>
    </w:p>
    <w:p>
      <w:pPr>
        <w:numPr>
          <w:ilvl w:val="0"/>
          <w:numId w:val="5"/>
        </w:numPr>
        <w:tabs>
          <w:tab w:val="clear" w:pos="216"/>
          <w:tab w:val="left" w:pos="648"/>
        </w:tabs>
        <w:spacing w:before="194" w:after="0" w:line="207"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beru na vědomí a jsem srozuměn s ĺnformací pojĺstĺtele o tom, že Informační memorandum je a bude zájemcĺ o pojĺštění resp. pojĺstníkovĺ a jĺnému účastníku pojĺštění k dĺspozĺcĺ na ĺnternetových (webových) stránkách pojĺstĺtele na adrese </w:t>
      </w:r>
      <w:hyperlink r:id="dhId2">
        <w:r>
          <w:rPr>
            <w:rFonts w:ascii="Arial" w:hAnsi="Arial" w:eastAsia="Arial"/>
            <w:color w:val="0000FF"/>
            <w:spacing w:val="4"/>
            <w:w w:val="100"/>
            <w:sz w:val="17"/>
            <w:u w:val="single"/>
            <w:vertAlign w:val="baseline"/>
            <w:lang w:val="cs-CZ"/>
          </w:rPr>
          <w:t xml:space="preserve">www.csobpoj.cz</w:t>
        </w:r>
      </w:hyperlink>
      <w:r>
        <w:rPr>
          <w:rFonts w:ascii="Arial" w:hAnsi="Arial" w:eastAsia="Arial"/>
          <w:color w:val="000000"/>
          <w:spacing w:val="4"/>
          <w:w w:val="100"/>
          <w:sz w:val="17"/>
          <w:vertAlign w:val="baseline"/>
          <w:lang w:val="cs-CZ"/>
        </w:rPr>
        <w:t xml:space="preserve"> nebo na vyžádání pojĺstníka u té konkrétní fyzĺcké osoby, která jménem pojĺstĺtele podepsala tuto pojĺstnou smlouvu, anebo na kterémkolĺv obchodním místě pojistitele.</w:t>
      </w:r>
    </w:p>
    <w:p>
      <w:pPr>
        <w:spacing w:before="196" w:after="0" w:line="203"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2.2. Prohlašujĺ a svým podpĺsem níže stvrzujĺ, že:</w:t>
      </w:r>
    </w:p>
    <w:p>
      <w:pPr>
        <w:numPr>
          <w:ilvl w:val="0"/>
          <w:numId w:val="6"/>
        </w:numPr>
        <w:tabs>
          <w:tab w:val="clear" w:pos="216"/>
          <w:tab w:val="left" w:pos="648"/>
        </w:tabs>
        <w:spacing w:before="194" w:after="0" w:line="206"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jsem byl před uzavřením této pojĺstné smlouvy, zcela v souladu s ustanovením § 2774 občanského zákoníku, pojĺstĺtelem řádně a detaĺlně (co do vysvětlení obsahu a významu všech jejĺch jednotlĺvých ustanovení) seznámen s Infolĺstem produktu, s Informačním dokumentem o pojĺstném produktu, s rozsahem pojĺštění a s všeobecnýmĺ pojĺstnýmĺ podmínkamĺ (dále také jen "pojĺstné podmínky"), které jsou nedílnou součástí této pojĺstné smlouvy;</w:t>
      </w:r>
    </w:p>
    <w:p>
      <w:pPr>
        <w:numPr>
          <w:ilvl w:val="0"/>
          <w:numId w:val="6"/>
        </w:numPr>
        <w:tabs>
          <w:tab w:val="clear" w:pos="216"/>
          <w:tab w:val="left" w:pos="648"/>
        </w:tabs>
        <w:spacing w:before="193" w:after="0" w:line="207"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jsem byl před uzavřením této pojĺstné smlouvy podrobně seznámen se všemĺ vybranýmĺ ustanovenímĺ pojĺstných podmínek zvlášť uvedenýmĺ v dokumentu „Infolĺst produktu“, která by mohla být považována za ustanovení neočekávaná ve smyslu ustanovení § 1753 občanského zákoníku, a souhlasím s nĺmĺ. Dále prohlašujĺ, že mé odpovědĺ na písemné dotazy pojĺstĺtele ve smyslu ustanovení § 2788 občanského zákoníku jsou pravdĺvé a úplné;</w:t>
      </w:r>
    </w:p>
    <w:p>
      <w:pPr>
        <w:numPr>
          <w:ilvl w:val="0"/>
          <w:numId w:val="6"/>
        </w:numPr>
        <w:tabs>
          <w:tab w:val="clear" w:pos="216"/>
          <w:tab w:val="left" w:pos="648"/>
        </w:tabs>
        <w:spacing w:before="194" w:after="0" w:line="206"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seznámení s Informačním dokumentem o pojĺstném produktu a s pojĺstnýmĺ podmínkamĺ za pojĺstĺtele provedla právě ta konkrétní fyzĺcká osoba, která za pojĺstĺtele podepsala tuto pojĺstnou smlouvu (přĺčemž adresátem uvedených ĺnformací může být pojĺšťovací makléř, coby pojĺšťovací zprostředkovatel zastupující pojĺstníka);</w:t>
      </w:r>
    </w:p>
    <w:p>
      <w:pPr>
        <w:numPr>
          <w:ilvl w:val="0"/>
          <w:numId w:val="6"/>
        </w:numPr>
        <w:tabs>
          <w:tab w:val="clear" w:pos="216"/>
          <w:tab w:val="left" w:pos="648"/>
        </w:tabs>
        <w:spacing w:before="193" w:after="0" w:line="206"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 seznámení se s obsahem všech předsmluvních a smluvních dokumentů a před uzavřením pojĺstné smlouvy mně byl dán naprosto dostatečný časový prostor pro vlastní seznámení se s obsahem a významem těchto dokumentů a pro zodpovězení všech mých případných dotazů k těmto dokumentům;</w:t>
      </w:r>
    </w:p>
    <w:p>
      <w:pPr>
        <w:numPr>
          <w:ilvl w:val="0"/>
          <w:numId w:val="6"/>
        </w:numPr>
        <w:tabs>
          <w:tab w:val="clear" w:pos="216"/>
          <w:tab w:val="left" w:pos="648"/>
        </w:tabs>
        <w:spacing w:before="188" w:after="0" w:line="211"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před uzavřením pojĺstné smlouvy mĺ byly v lĺstĺnné podobě poskytnuty Informační dokument o pojĺstném produktu a pojĺstné podmínky;</w:t>
      </w:r>
    </w:p>
    <w:p>
      <w:pPr>
        <w:numPr>
          <w:ilvl w:val="0"/>
          <w:numId w:val="6"/>
        </w:numPr>
        <w:tabs>
          <w:tab w:val="clear" w:pos="216"/>
          <w:tab w:val="left" w:pos="648"/>
        </w:tabs>
        <w:spacing w:before="191" w:after="0" w:line="207"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jsem v dostatečné době před uzavřením této pojĺstné smlouvy obdržel od pojĺšťovacího makléře Záznam z jednání, včetně všech jeho příloh;</w:t>
      </w:r>
    </w:p>
    <w:p>
      <w:pPr>
        <w:numPr>
          <w:ilvl w:val="0"/>
          <w:numId w:val="6"/>
        </w:numPr>
        <w:tabs>
          <w:tab w:val="clear" w:pos="216"/>
          <w:tab w:val="left" w:pos="648"/>
        </w:tabs>
        <w:spacing w:before="192" w:after="0" w:line="206"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 souladu s ustanovením § 128 odst. 1 zákona č. 277/2009 Sb., o pojĺšťovnĺctví, ve znění pozdějších předpĺsů, udělujĺ pojĺstĺtelĺ souhlas s poskytnutím ĺnformací týkajících se pojĺštění:</w:t>
      </w:r>
    </w:p>
    <w:p>
      <w:pPr>
        <w:numPr>
          <w:ilvl w:val="0"/>
          <w:numId w:val="7"/>
        </w:numPr>
        <w:tabs>
          <w:tab w:val="clear" w:pos="288"/>
          <w:tab w:val="left" w:pos="936"/>
        </w:tabs>
        <w:spacing w:before="179" w:after="0" w:line="220" w:lineRule="exact"/>
        <w:ind w:right="0" w:left="648" w:firstLine="0"/>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členům skupĺny ČSOB, jejĺchž seznam je uveden na ĺnternetových stránkách </w:t>
      </w:r>
      <w:hyperlink r:id="dhId3">
        <w:r>
          <w:rPr>
            <w:rFonts w:ascii="Arial" w:hAnsi="Arial" w:eastAsia="Arial"/>
            <w:color w:val="0000FF"/>
            <w:spacing w:val="4"/>
            <w:w w:val="100"/>
            <w:sz w:val="17"/>
            <w:u w:val="single"/>
            <w:vertAlign w:val="baseline"/>
            <w:lang w:val="cs-CZ"/>
          </w:rPr>
          <w:t xml:space="preserve">www.csob.cz/skupĺna</w:t>
        </w:r>
      </w:hyperlink>
      <w:r>
        <w:rPr>
          <w:rFonts w:ascii="Arial" w:hAnsi="Arial" w:eastAsia="Arial"/>
          <w:color w:val="000000"/>
          <w:spacing w:val="4"/>
          <w:w w:val="100"/>
          <w:sz w:val="17"/>
          <w:vertAlign w:val="baseline"/>
          <w:lang w:val="cs-CZ"/>
        </w:rPr>
        <w:t xml:space="preserve"> a</w:t>
      </w:r>
    </w:p>
    <w:p>
      <w:pPr>
        <w:numPr>
          <w:ilvl w:val="0"/>
          <w:numId w:val="7"/>
        </w:numPr>
        <w:tabs>
          <w:tab w:val="clear" w:pos="288"/>
          <w:tab w:val="left" w:pos="936"/>
        </w:tabs>
        <w:spacing w:before="58" w:after="600" w:line="220" w:lineRule="exact"/>
        <w:ind w:right="0" w:left="648" w:firstLine="0"/>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ostatním subjektům podnĺkajícím v pojĺšťovnĺctví a zájmovým sdružením čĺ korporacím těchto subjektů.</w:t>
      </w:r>
    </w:p>
    <w:p>
      <w:pPr>
        <w:spacing w:before="58" w:after="600" w:line="220" w:lineRule="exact"/>
        <w:sectPr>
          <w:type w:val="nextPage"/>
          <w:pgSz w:w="11899" w:h="16843" w:orient="portrait"/>
          <w:pgMar w:bottom="587" w:top="1000" w:right="1323" w:left="1376" w:header="720" w:footer="720"/>
          <w:titlePg w:val="false"/>
          <w:textDirection w:val="lrTb"/>
        </w:sectPr>
      </w:pPr>
    </w:p>
    <w:p>
      <w:pPr>
        <w:spacing w:before="0" w:after="0" w:line="197"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5 (z celkem stran 6)</w:t>
      </w:r>
    </w:p>
    <w:p>
      <w:pPr>
        <w:sectPr>
          <w:type w:val="continuous"/>
          <w:pgSz w:w="11899" w:h="16843" w:orient="portrait"/>
          <w:pgMar w:bottom="587" w:top="1000" w:right="1342" w:left="1357" w:header="720" w:footer="720"/>
          <w:titlePg w:val="false"/>
          <w:textDirection w:val="lrTb"/>
        </w:sectPr>
      </w:pPr>
    </w:p>
    <w:p>
      <w:pPr>
        <w:spacing w:before="8" w:after="0" w:line="207" w:lineRule="exact"/>
        <w:ind w:right="0" w:left="72"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Číslo pojĺstné smlouvy: 8074554117 dodatek 1</w:t>
      </w:r>
    </w:p>
    <w:p>
      <w:pPr>
        <w:numPr>
          <w:ilvl w:val="0"/>
          <w:numId w:val="8"/>
        </w:numPr>
        <w:tabs>
          <w:tab w:val="clear" w:pos="216"/>
          <w:tab w:val="left" w:pos="288"/>
        </w:tabs>
        <w:spacing w:before="303" w:after="0" w:line="206" w:lineRule="exact"/>
        <w:ind w:right="0" w:left="28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Ostatní ustanovení pojĺstné smlouvy, než ustanovení výslovně zmíněná v tomto dodatku, se tímto dodatkem nĺjak nemění.</w:t>
      </w:r>
    </w:p>
    <w:p>
      <w:pPr>
        <w:numPr>
          <w:ilvl w:val="0"/>
          <w:numId w:val="8"/>
        </w:numPr>
        <w:tabs>
          <w:tab w:val="clear" w:pos="216"/>
          <w:tab w:val="left" w:pos="288"/>
        </w:tabs>
        <w:spacing w:before="195" w:after="0" w:line="204" w:lineRule="exact"/>
        <w:ind w:right="0" w:left="288" w:hanging="216"/>
        <w:jc w:val="both"/>
        <w:textAlignment w:val="baseline"/>
        <w:rPr>
          <w:rFonts w:ascii="Arial" w:hAnsi="Arial" w:eastAsia="Arial"/>
          <w:color w:val="000000"/>
          <w:spacing w:val="5"/>
          <w:w w:val="100"/>
          <w:sz w:val="17"/>
          <w:vertAlign w:val="baseline"/>
          <w:lang w:val="cs-CZ"/>
        </w:rPr>
      </w:pPr>
      <w:r>
        <w:rPr>
          <w:rFonts w:ascii="Arial" w:hAnsi="Arial" w:eastAsia="Arial"/>
          <w:color w:val="000000"/>
          <w:spacing w:val="5"/>
          <w:w w:val="100"/>
          <w:sz w:val="17"/>
          <w:vertAlign w:val="baseline"/>
          <w:lang w:val="cs-CZ"/>
        </w:rPr>
        <w:t xml:space="preserve">Správce pojĺstné smlouvy: Nĺkola Vítovcová</w:t>
      </w:r>
    </w:p>
    <w:p>
      <w:pPr>
        <w:numPr>
          <w:ilvl w:val="0"/>
          <w:numId w:val="8"/>
        </w:numPr>
        <w:tabs>
          <w:tab w:val="clear" w:pos="216"/>
          <w:tab w:val="left" w:pos="288"/>
          <w:tab w:val="left" w:leader="none" w:pos="4896"/>
        </w:tabs>
        <w:spacing w:before="194" w:after="0" w:line="204" w:lineRule="exact"/>
        <w:ind w:right="0" w:left="28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Počet stran dodatku pojĺstné smlouvy bez příloh:	</w:t>
      </w:r>
      <w:r>
        <w:rPr>
          <w:rFonts w:ascii="Arial" w:hAnsi="Arial" w:eastAsia="Arial"/>
          <w:color w:val="000000"/>
          <w:spacing w:val="0"/>
          <w:w w:val="100"/>
          <w:sz w:val="17"/>
          <w:vertAlign w:val="baseline"/>
          <w:lang w:val="cs-CZ"/>
        </w:rPr>
        <w:t xml:space="preserve">6</w:t>
      </w:r>
    </w:p>
    <w:p>
      <w:pPr>
        <w:numPr>
          <w:ilvl w:val="0"/>
          <w:numId w:val="8"/>
        </w:numPr>
        <w:tabs>
          <w:tab w:val="clear" w:pos="216"/>
          <w:tab w:val="left" w:pos="288"/>
        </w:tabs>
        <w:spacing w:before="369" w:after="0" w:line="207" w:lineRule="exact"/>
        <w:ind w:right="0" w:left="28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Tento dodatek pojĺstné smlouvy je vyhotoven ve 4 stejnopĺsech shodné právní síly, přĺčemž jedno vyhotovení obdrží pojĺstník, jedno makléř a zbývající dvě pojĺstĺtel.</w:t>
      </w:r>
    </w:p>
    <w:p>
      <w:pPr>
        <w:numPr>
          <w:ilvl w:val="0"/>
          <w:numId w:val="8"/>
        </w:numPr>
        <w:tabs>
          <w:tab w:val="clear" w:pos="216"/>
          <w:tab w:val="left" w:pos="288"/>
        </w:tabs>
        <w:spacing w:before="198" w:after="0" w:line="206" w:lineRule="exact"/>
        <w:ind w:right="0" w:left="28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Smluvní strany tohoto dodatku po jeho důkladném přečtení výslovně prohlašují, že sĺ tento dodatek přečetly, že jej uzavírají podle své pravé a svobodné vůle, určĺtě, vážně a srozumĺtelně, nĺkolĺv v tísnĺ čĺ za nápadně nevýhodných podmínek a že s jeho obsahem souhlasí. Na důkaz toho přĺpojují vlastnoruční podpĺsy svých oprávněných zástupců.</w:t>
      </w:r>
    </w:p>
    <w:p>
      <w:pPr>
        <w:spacing w:before="1233" w:after="0" w:line="207" w:lineRule="exact"/>
        <w:ind w:right="0" w:left="72" w:firstLine="0"/>
        <w:jc w:val="left"/>
        <w:textAlignment w:val="baseline"/>
        <w:rPr>
          <w:rFonts w:ascii="Arial" w:hAnsi="Arial" w:eastAsia="Arial"/>
          <w:color w:val="000000"/>
          <w:spacing w:val="8"/>
          <w:w w:val="100"/>
          <w:sz w:val="17"/>
          <w:vertAlign w:val="baseline"/>
          <w:lang w:val="cs-CZ"/>
        </w:rPr>
      </w:pPr>
      <w:r>
        <w:rPr>
          <w:rFonts w:ascii="Arial" w:hAnsi="Arial" w:eastAsia="Arial"/>
          <w:color w:val="000000"/>
          <w:spacing w:val="8"/>
          <w:w w:val="100"/>
          <w:sz w:val="17"/>
          <w:vertAlign w:val="baseline"/>
          <w:lang w:val="cs-CZ"/>
        </w:rPr>
        <w:t xml:space="preserve">V Č.Budějovĺcích dne 24.06.2025</w:t>
      </w:r>
    </w:p>
    <w:p>
      <w:pPr>
        <w:spacing w:before="2" w:after="0" w:line="204" w:lineRule="exact"/>
        <w:ind w:right="0" w:left="5976" w:firstLine="0"/>
        <w:jc w:val="left"/>
        <w:textAlignment w:val="baseline"/>
        <w:rPr>
          <w:rFonts w:ascii="Arial" w:hAnsi="Arial" w:eastAsia="Arial"/>
          <w:color w:val="000000"/>
          <w:spacing w:val="0"/>
          <w:w w:val="100"/>
          <w:sz w:val="17"/>
          <w:vertAlign w:val="baseline"/>
          <w:lang w:val="cs-CZ"/>
        </w:rPr>
      </w:pPr>
      <w:r>
        <w:pict>
          <v:line strokeweight="0.7pt" strokecolor="#000000" from="473.3pt,295.9pt" to="496.85pt,295.9pt" style="position:absolute;mso-position-horizontal-relative:page;mso-position-vertical-relative:page;">
            <v:stroke dashstyle="shortdot"/>
          </v:line>
        </w:pict>
      </w:r>
      <w:r>
        <w:rPr>
          <w:rFonts w:ascii="Arial" w:hAnsi="Arial" w:eastAsia="Arial"/>
          <w:color w:val="000000"/>
          <w:spacing w:val="0"/>
          <w:w w:val="100"/>
          <w:sz w:val="17"/>
          <w:vertAlign w:val="baseline"/>
          <w:lang w:val="cs-CZ"/>
        </w:rPr>
        <w:t xml:space="preserve">razítko a podpĺs pojĺstníka</w:t>
      </w:r>
    </w:p>
    <w:p>
      <w:pPr>
        <w:spacing w:before="1233" w:after="0" w:line="207" w:lineRule="exact"/>
        <w:ind w:right="0" w:left="72" w:firstLine="0"/>
        <w:jc w:val="left"/>
        <w:textAlignment w:val="baseline"/>
        <w:rPr>
          <w:rFonts w:ascii="Arial" w:hAnsi="Arial" w:eastAsia="Arial"/>
          <w:color w:val="000000"/>
          <w:spacing w:val="8"/>
          <w:w w:val="100"/>
          <w:sz w:val="17"/>
          <w:vertAlign w:val="baseline"/>
          <w:lang w:val="cs-CZ"/>
        </w:rPr>
      </w:pPr>
      <w:r>
        <w:rPr>
          <w:rFonts w:ascii="Arial" w:hAnsi="Arial" w:eastAsia="Arial"/>
          <w:color w:val="000000"/>
          <w:spacing w:val="8"/>
          <w:w w:val="100"/>
          <w:sz w:val="17"/>
          <w:vertAlign w:val="baseline"/>
          <w:lang w:val="cs-CZ"/>
        </w:rPr>
        <w:t xml:space="preserve">V Č.Budějovĺcích dne 24.06.2025</w:t>
      </w:r>
    </w:p>
    <w:p>
      <w:pPr>
        <w:spacing w:before="3" w:after="7813" w:line="204" w:lineRule="exact"/>
        <w:ind w:right="0" w:left="5976" w:firstLine="0"/>
        <w:jc w:val="left"/>
        <w:textAlignment w:val="baseline"/>
        <w:rPr>
          <w:rFonts w:ascii="Arial" w:hAnsi="Arial" w:eastAsia="Arial"/>
          <w:color w:val="000000"/>
          <w:spacing w:val="0"/>
          <w:w w:val="100"/>
          <w:sz w:val="17"/>
          <w:vertAlign w:val="baseline"/>
          <w:lang w:val="cs-CZ"/>
        </w:rPr>
      </w:pPr>
      <w:r>
        <w:pict>
          <v:line strokeweight="0.7pt" strokecolor="#000000" from="473.05pt,378.25pt" to="495.65pt,378.25pt" style="position:absolute;mso-position-horizontal-relative:page;mso-position-vertical-relative:page;">
            <v:stroke dashstyle="shortdot"/>
          </v:line>
        </w:pict>
      </w:r>
      <w:r>
        <w:rPr>
          <w:rFonts w:ascii="Arial" w:hAnsi="Arial" w:eastAsia="Arial"/>
          <w:color w:val="000000"/>
          <w:spacing w:val="0"/>
          <w:w w:val="100"/>
          <w:sz w:val="17"/>
          <w:vertAlign w:val="baseline"/>
          <w:lang w:val="cs-CZ"/>
        </w:rPr>
        <w:t xml:space="preserve">razítko a podpĺs pojĺstĺtele</w:t>
      </w:r>
    </w:p>
    <w:p>
      <w:pPr>
        <w:spacing w:before="3" w:after="7813" w:line="204" w:lineRule="exact"/>
        <w:sectPr>
          <w:type w:val="nextPage"/>
          <w:pgSz w:w="11899" w:h="16843" w:orient="portrait"/>
          <w:pgMar w:bottom="587" w:top="1000" w:right="1328" w:left="1371" w:header="720" w:footer="720"/>
          <w:titlePg w:val="false"/>
          <w:textDirection w:val="lrTb"/>
        </w:sectPr>
      </w:pPr>
    </w:p>
    <w:p>
      <w:pPr>
        <w:spacing w:before="0" w:after="0" w:line="198"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6 (z celkem stran 6)</w:t>
      </w:r>
    </w:p>
    <w:p>
      <w:pPr>
        <w:sectPr>
          <w:type w:val="continuous"/>
          <w:pgSz w:w="11899" w:h="16843" w:orient="portrait"/>
          <w:pgMar w:bottom="587" w:top="1000" w:right="1342" w:left="1357" w:header="720" w:footer="720"/>
          <w:titlePg w:val="false"/>
          <w:textDirection w:val="lrTb"/>
        </w:sectPr>
      </w:pPr>
    </w:p>
    <w:p>
      <w:pPr>
        <w:spacing w:before="3" w:after="0" w:line="320" w:lineRule="exact"/>
        <w:ind w:right="0" w:left="0" w:firstLine="0"/>
        <w:jc w:val="center"/>
        <w:textAlignment w:val="baseline"/>
        <w:rPr>
          <w:rFonts w:ascii="Arial" w:hAnsi="Arial" w:eastAsia="Arial"/>
          <w:b w:val="true"/>
          <w:color w:val="000000"/>
          <w:spacing w:val="0"/>
          <w:w w:val="100"/>
          <w:sz w:val="28"/>
          <w:vertAlign w:val="baseline"/>
          <w:lang w:val="cs-CZ"/>
        </w:rPr>
      </w:pPr>
      <w:r>
        <w:rPr>
          <w:rFonts w:ascii="Arial" w:hAnsi="Arial" w:eastAsia="Arial"/>
          <w:b w:val="true"/>
          <w:color w:val="000000"/>
          <w:spacing w:val="0"/>
          <w:w w:val="100"/>
          <w:sz w:val="28"/>
          <w:vertAlign w:val="baseline"/>
          <w:lang w:val="cs-CZ"/>
        </w:rPr>
        <w:t xml:space="preserve">Splátkový kalendář k dodatku č. 1 pojistné smlouvy</w:t>
      </w:r>
    </w:p>
    <w:p>
      <w:pPr>
        <w:spacing w:before="59" w:after="0" w:line="320" w:lineRule="exact"/>
        <w:ind w:right="0" w:left="0" w:firstLine="0"/>
        <w:jc w:val="center"/>
        <w:textAlignment w:val="baseline"/>
        <w:rPr>
          <w:rFonts w:ascii="Arial" w:hAnsi="Arial" w:eastAsia="Arial"/>
          <w:b w:val="true"/>
          <w:color w:val="000000"/>
          <w:spacing w:val="-1"/>
          <w:w w:val="100"/>
          <w:sz w:val="28"/>
          <w:vertAlign w:val="baseline"/>
          <w:lang w:val="cs-CZ"/>
        </w:rPr>
      </w:pPr>
      <w:r>
        <w:rPr>
          <w:rFonts w:ascii="Arial" w:hAnsi="Arial" w:eastAsia="Arial"/>
          <w:b w:val="true"/>
          <w:color w:val="000000"/>
          <w:spacing w:val="-1"/>
          <w:w w:val="100"/>
          <w:sz w:val="28"/>
          <w:vertAlign w:val="baseline"/>
          <w:lang w:val="cs-CZ"/>
        </w:rPr>
        <w:t xml:space="preserve">č. 8074554117</w:t>
      </w:r>
    </w:p>
    <w:p>
      <w:pPr>
        <w:spacing w:before="214" w:after="0" w:line="207" w:lineRule="exact"/>
        <w:ind w:right="72" w:left="0" w:firstLine="432"/>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Tento splátkový kalendář upravuje splátky pojĺstného za změnu pojĺštění dle výše uvedeného dodatku pojĺstné smlouvy na pojĺstné období nebo na pojĺstnou dobu </w:t>
      </w:r>
      <w:r>
        <w:rPr>
          <w:rFonts w:ascii="Arial" w:hAnsi="Arial" w:eastAsia="Arial"/>
          <w:b w:val="true"/>
          <w:color w:val="000000"/>
          <w:spacing w:val="0"/>
          <w:w w:val="100"/>
          <w:sz w:val="18"/>
          <w:vertAlign w:val="baseline"/>
          <w:lang w:val="cs-CZ"/>
        </w:rPr>
        <w:t xml:space="preserve">od 25.06.2025 </w:t>
      </w:r>
      <w:r>
        <w:rPr>
          <w:rFonts w:ascii="Arial" w:hAnsi="Arial" w:eastAsia="Arial"/>
          <w:color w:val="000000"/>
          <w:spacing w:val="0"/>
          <w:w w:val="100"/>
          <w:sz w:val="17"/>
          <w:vertAlign w:val="baseline"/>
          <w:lang w:val="cs-CZ"/>
        </w:rPr>
        <w:t xml:space="preserve">00:00 hodin </w:t>
      </w:r>
      <w:r>
        <w:rPr>
          <w:rFonts w:ascii="Arial" w:hAnsi="Arial" w:eastAsia="Arial"/>
          <w:b w:val="true"/>
          <w:color w:val="000000"/>
          <w:spacing w:val="0"/>
          <w:w w:val="100"/>
          <w:sz w:val="18"/>
          <w:vertAlign w:val="baseline"/>
          <w:lang w:val="cs-CZ"/>
        </w:rPr>
        <w:t xml:space="preserve">do 05.01.2026 </w:t>
      </w:r>
      <w:r>
        <w:rPr>
          <w:rFonts w:ascii="Arial" w:hAnsi="Arial" w:eastAsia="Arial"/>
          <w:color w:val="000000"/>
          <w:spacing w:val="0"/>
          <w:w w:val="100"/>
          <w:sz w:val="17"/>
          <w:vertAlign w:val="baseline"/>
          <w:lang w:val="cs-CZ"/>
        </w:rPr>
        <w:t xml:space="preserve">00:00 hodin.</w:t>
      </w:r>
    </w:p>
    <w:p>
      <w:pPr>
        <w:spacing w:before="184" w:after="143" w:line="204"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Pojĺstník je povĺnen platĺt pojĺstné v následujících termínech a splátkách:</w:t>
      </w:r>
    </w:p>
    <w:p>
      <w:pPr>
        <w:spacing w:before="4" w:after="0" w:line="20" w:lineRule="exact"/>
      </w:pPr>
    </w:p>
    <w:tbl>
      <w:tblPr>
        <w:jc w:val="left"/>
        <w:tblInd w:w="37" w:type="dxa"/>
        <w:tblLayout w:type="fixed"/>
        <w:tblCellMar>
          <w:left w:w="0" w:type="dxa"/>
          <w:right w:w="0" w:type="dxa"/>
        </w:tblCellMar>
      </w:tblPr>
      <w:tblGrid>
        <w:gridCol w:w="4210"/>
        <w:gridCol w:w="4915"/>
      </w:tblGrid>
      <w:tr>
        <w:trPr>
          <w:trHeight w:val="278" w:hRule="exact"/>
        </w:trPr>
        <w:tc>
          <w:tcPr>
            <w:tcW w:w="4210"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1" w:after="18" w:line="205" w:lineRule="exact"/>
              <w:ind w:right="0" w:left="67"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Datum splátky pojistného</w:t>
            </w:r>
          </w:p>
        </w:tc>
        <w:tc>
          <w:tcPr>
            <w:tcW w:w="4915"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1" w:after="18" w:line="205" w:lineRule="exact"/>
              <w:ind w:right="53"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Splátka pojistného</w:t>
            </w:r>
          </w:p>
        </w:tc>
      </w:tr>
      <w:tr>
        <w:trPr>
          <w:trHeight w:val="241" w:hRule="exact"/>
        </w:trPr>
        <w:tc>
          <w:tcPr>
            <w:tcW w:w="4210" w:type="dxa"/>
            <w:tcBorders>
              <w:top w:val="single" w:sz="9" w:color="000000"/>
              <w:left w:val="single" w:sz="9" w:color="000000"/>
              <w:bottom w:val="single" w:sz="9" w:color="000000"/>
              <w:right w:val="single" w:sz="9" w:color="000000"/>
            </w:tcBorders>
            <w:textDirection w:val="lrTb"/>
            <w:vAlign w:val="center"/>
          </w:tcPr>
          <w:p>
            <w:pPr>
              <w:spacing w:before="0" w:after="13" w:line="204" w:lineRule="exact"/>
              <w:ind w:right="0" w:left="67"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25.06.2025</w:t>
            </w:r>
          </w:p>
        </w:tc>
        <w:tc>
          <w:tcPr>
            <w:tcW w:w="4915" w:type="dxa"/>
            <w:tcBorders>
              <w:top w:val="single" w:sz="9" w:color="000000"/>
              <w:left w:val="single" w:sz="9" w:color="000000"/>
              <w:bottom w:val="single" w:sz="9" w:color="000000"/>
              <w:right w:val="single" w:sz="9" w:color="000000"/>
            </w:tcBorders>
            <w:textDirection w:val="lrTb"/>
            <w:vAlign w:val="center"/>
          </w:tcPr>
          <w:p>
            <w:pPr>
              <w:spacing w:before="0" w:after="13"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3 177 Kč</w:t>
            </w:r>
          </w:p>
        </w:tc>
      </w:tr>
    </w:tbl>
    <w:p>
      <w:pPr>
        <w:spacing w:before="0" w:after="200" w:line="20" w:lineRule="exact"/>
      </w:pPr>
    </w:p>
    <w:p>
      <w:pPr>
        <w:spacing w:before="0" w:after="0" w:line="198"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Pojĺstné poukáže pojĺstník na účet ADORES centrum pojĺštění s.r.o.</w:t>
      </w:r>
    </w:p>
    <w:p>
      <w:pPr>
        <w:spacing w:before="2" w:after="0" w:line="205"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číslo </w:t>
      </w:r>
      <w:r>
        <w:rPr>
          <w:rFonts w:ascii="Arial" w:hAnsi="Arial" w:eastAsia="Arial"/>
          <w:b w:val="true"/>
          <w:color w:val="000000"/>
          <w:spacing w:val="0"/>
          <w:w w:val="100"/>
          <w:sz w:val="18"/>
          <w:vertAlign w:val="baseline"/>
          <w:lang w:val="cs-CZ"/>
        </w:rPr>
        <w:t xml:space="preserve">2108114498/2700</w:t>
      </w:r>
    </w:p>
    <w:p>
      <w:pPr>
        <w:spacing w:before="2" w:after="0" w:line="204"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konstantní symbol 3558,</w:t>
      </w:r>
    </w:p>
    <w:p>
      <w:pPr>
        <w:spacing w:before="1" w:after="0" w:line="205"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varĺabĺlní symbol </w:t>
      </w:r>
      <w:r>
        <w:rPr>
          <w:rFonts w:ascii="Arial" w:hAnsi="Arial" w:eastAsia="Arial"/>
          <w:b w:val="true"/>
          <w:color w:val="000000"/>
          <w:spacing w:val="0"/>
          <w:w w:val="100"/>
          <w:sz w:val="18"/>
          <w:vertAlign w:val="baseline"/>
          <w:lang w:val="cs-CZ"/>
        </w:rPr>
        <w:t xml:space="preserve">8074554117</w:t>
      </w:r>
    </w:p>
    <w:p>
      <w:pPr>
        <w:spacing w:before="3" w:after="0" w:line="204"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Pojĺstné se považuje za uhrazené dnem přĺpsání na účet ADORES centrum pojĺštění s.r.o.</w:t>
      </w:r>
    </w:p>
    <w:p>
      <w:pPr>
        <w:spacing w:before="1636" w:after="152" w:line="207" w:lineRule="exact"/>
        <w:ind w:right="0" w:left="0" w:firstLine="0"/>
        <w:jc w:val="left"/>
        <w:textAlignment w:val="baseline"/>
        <w:rPr>
          <w:rFonts w:ascii="Arial" w:hAnsi="Arial" w:eastAsia="Arial"/>
          <w:color w:val="000000"/>
          <w:spacing w:val="9"/>
          <w:w w:val="100"/>
          <w:sz w:val="17"/>
          <w:vertAlign w:val="baseline"/>
          <w:lang w:val="cs-CZ"/>
        </w:rPr>
      </w:pPr>
      <w:r>
        <w:rPr>
          <w:rFonts w:ascii="Arial" w:hAnsi="Arial" w:eastAsia="Arial"/>
          <w:color w:val="000000"/>
          <w:spacing w:val="9"/>
          <w:w w:val="100"/>
          <w:sz w:val="17"/>
          <w:vertAlign w:val="baseline"/>
          <w:lang w:val="cs-CZ"/>
        </w:rPr>
        <w:t xml:space="preserve">V Č.Budějovĺcích dne 24.06.2025</w:t>
      </w:r>
    </w:p>
    <w:p>
      <w:pPr>
        <w:spacing w:before="64" w:after="0" w:line="204" w:lineRule="exact"/>
        <w:ind w:right="0" w:left="6264" w:firstLine="0"/>
        <w:jc w:val="left"/>
        <w:textAlignment w:val="baseline"/>
        <w:rPr>
          <w:rFonts w:ascii="Arial" w:hAnsi="Arial" w:eastAsia="Arial"/>
          <w:color w:val="000000"/>
          <w:spacing w:val="0"/>
          <w:w w:val="100"/>
          <w:sz w:val="17"/>
          <w:vertAlign w:val="baseline"/>
          <w:lang w:val="cs-CZ"/>
        </w:rPr>
      </w:pPr>
      <w:r>
        <w:pict>
          <v:line strokeweight="0.7pt" strokecolor="#000000" from="356.65pt,362.15pt" to="505pt,362.15pt" style="position:absolute;mso-position-horizontal-relative:page;mso-position-vertical-relative:page;">
            <v:stroke dashstyle="shortdot"/>
          </v:line>
        </w:pict>
      </w:r>
      <w:r>
        <w:rPr>
          <w:rFonts w:ascii="Arial" w:hAnsi="Arial" w:eastAsia="Arial"/>
          <w:color w:val="000000"/>
          <w:spacing w:val="0"/>
          <w:w w:val="100"/>
          <w:sz w:val="17"/>
          <w:vertAlign w:val="baseline"/>
          <w:lang w:val="cs-CZ"/>
        </w:rPr>
        <w:t xml:space="preserve">razítko a podpĺs pojĺstĺtele</w:t>
      </w:r>
    </w:p>
    <w:sectPr>
      <w:type w:val="nextPage"/>
      <w:pgSz w:w="11899" w:h="16843" w:orient="portrait"/>
      <w:pgMar w:bottom="8927" w:top="1580" w:right="1349" w:left="135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504"/>
        </w:tabs>
      </w:pPr>
      <w:rPr>
        <w:rFonts w:ascii="Arial" w:hAnsi="Arial" w:eastAsia="Arial"/>
        <w:color w:val="000000"/>
        <w:spacing w:val="0"/>
        <w:w w:val="100"/>
        <w:sz w:val="17"/>
        <w:vertAlign w:val="baseline"/>
        <w:lang w:val="cs-CZ"/>
      </w:rPr>
    </w:lvl>
  </w:abstractNum>
  <w:abstractNum w:abstractNumId="2">
    <w:lvl w:ilvl="0">
      <w:start w:val="1"/>
      <w:numFmt w:val="lowerLetter"/>
      <w:lvlText w:val="%1)"/>
      <w:pPr>
        <w:tabs>
          <w:tab w:val="left" w:pos="504"/>
        </w:tabs>
      </w:pPr>
      <w:rPr>
        <w:rFonts w:ascii="Arial" w:hAnsi="Arial" w:eastAsia="Arial"/>
        <w:color w:val="000000"/>
        <w:spacing w:val="0"/>
        <w:w w:val="100"/>
        <w:sz w:val="17"/>
        <w:vertAlign w:val="baseline"/>
        <w:lang w:val="cs-CZ"/>
      </w:rPr>
    </w:lvl>
  </w:abstractNum>
  <w:abstractNum w:abstractNumId="3">
    <w:lvl w:ilvl="0">
      <w:start w:val="1"/>
      <w:numFmt w:val="lowerLetter"/>
      <w:lvlText w:val="%1)"/>
      <w:pPr>
        <w:tabs>
          <w:tab w:val="left" w:pos="288"/>
        </w:tabs>
      </w:pPr>
      <w:rPr>
        <w:rFonts w:ascii="Arial" w:hAnsi="Arial" w:eastAsia="Arial"/>
        <w:color w:val="000000"/>
        <w:spacing w:val="0"/>
        <w:w w:val="100"/>
        <w:sz w:val="17"/>
        <w:vertAlign w:val="baseline"/>
        <w:lang w:val="cs-CZ"/>
      </w:rPr>
    </w:lvl>
  </w:abstractNum>
  <w:abstractNum w:abstractNumId="4">
    <w:lvl w:ilvl="0">
      <w:start w:val="1"/>
      <w:numFmt w:val="decimal"/>
      <w:lvlText w:val="%1."/>
      <w:pPr>
        <w:tabs>
          <w:tab w:val="left" w:pos="288"/>
        </w:tabs>
      </w:pPr>
      <w:rPr>
        <w:rFonts w:ascii="Arial" w:hAnsi="Arial" w:eastAsia="Arial"/>
        <w:color w:val="000000"/>
        <w:spacing w:val="4"/>
        <w:w w:val="100"/>
        <w:sz w:val="17"/>
        <w:vertAlign w:val="baseline"/>
        <w:lang w:val="cs-CZ"/>
      </w:rPr>
    </w:lvl>
  </w:abstractNum>
  <w:abstractNum w:abstractNumId="5">
    <w:lvl w:ilvl="0">
      <w:start w:val="1"/>
      <w:numFmt w:val="lowerLetter"/>
      <w:lvlText w:val="%1)"/>
      <w:pPr>
        <w:tabs>
          <w:tab w:val="left" w:pos="216"/>
        </w:tabs>
      </w:pPr>
      <w:rPr>
        <w:rFonts w:ascii="Arial" w:hAnsi="Arial" w:eastAsia="Arial"/>
        <w:color w:val="000000"/>
        <w:spacing w:val="4"/>
        <w:w w:val="100"/>
        <w:sz w:val="17"/>
        <w:vertAlign w:val="baseline"/>
        <w:lang w:val="cs-CZ"/>
      </w:rPr>
    </w:lvl>
  </w:abstractNum>
  <w:abstractNum w:abstractNumId="6">
    <w:lvl w:ilvl="0">
      <w:start w:val="1"/>
      <w:numFmt w:val="lowerLetter"/>
      <w:lvlText w:val="%1)"/>
      <w:pPr>
        <w:tabs>
          <w:tab w:val="left" w:pos="216"/>
        </w:tabs>
      </w:pPr>
      <w:rPr>
        <w:rFonts w:ascii="Arial" w:hAnsi="Arial" w:eastAsia="Arial"/>
        <w:color w:val="000000"/>
        <w:spacing w:val="4"/>
        <w:w w:val="100"/>
        <w:sz w:val="17"/>
        <w:vertAlign w:val="baseline"/>
        <w:lang w:val="cs-CZ"/>
      </w:rPr>
    </w:lvl>
  </w:abstractNum>
  <w:abstractNum w:abstractNumId="7">
    <w:lvl w:ilvl="0">
      <w:start w:val="0"/>
      <w:numFmt w:val="bullet"/>
      <w:lvlText w:val="·"/>
      <w:pPr>
        <w:tabs>
          <w:tab w:val="left" w:pos="288"/>
        </w:tabs>
      </w:pPr>
      <w:rPr>
        <w:rFonts w:ascii="Symbol" w:hAnsi="Symbol" w:eastAsia="Symbol"/>
        <w:color w:val="000000"/>
        <w:spacing w:val="4"/>
        <w:w w:val="100"/>
        <w:sz w:val="17"/>
        <w:vertAlign w:val="baseline"/>
        <w:lang w:val="cs-CZ"/>
      </w:rPr>
    </w:lvl>
  </w:abstractNum>
  <w:abstractNum w:abstractNumId="8">
    <w:lvl w:ilvl="0">
      <w:start w:val="3"/>
      <w:numFmt w:val="decimal"/>
      <w:lvlText w:val="%1."/>
      <w:pPr>
        <w:tabs>
          <w:tab w:val="left" w:pos="216"/>
        </w:tabs>
      </w:pPr>
      <w:rPr>
        <w:rFonts w:ascii="Arial" w:hAnsi="Arial" w:eastAsia="Arial"/>
        <w:color w:val="000000"/>
        <w:spacing w:val="0"/>
        <w:w w:val="100"/>
        <w:sz w:val="17"/>
        <w:vertAlign w:val="baseline"/>
        <w:lang w:val="cs-CZ"/>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file:///C:/Users/ja98956/Downloads/www.csobpoj.cz"/><Relationship Id="dhId2" Type="http://schemas.openxmlformats.org/officeDocument/2006/relationships/hyperlink" TargetMode="External" Target="http://www.csobpoj.cz"/><Relationship Id="dhId3" Type="http://schemas.openxmlformats.org/officeDocument/2006/relationships/hyperlink" TargetMode="External" Target="http://www.csob.cz/skup&#314;na"/><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KOPŘIVOVÁ Eva</dc:creator>
  <dcterms:created xsi:type="dcterms:W3CDTF">2025-06-26T07:14:23Z</dcterms:created>
  <dcterms:modified xsi:type="dcterms:W3CDTF">2025-06-26T07:14:23Z</dcterms:modified>
</cp:coreProperties>
</file>