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2C9FE" w14:textId="77777777" w:rsidR="00F81610" w:rsidRDefault="00F81610" w:rsidP="00F81610">
      <w:pPr>
        <w:jc w:val="right"/>
      </w:pPr>
    </w:p>
    <w:p w14:paraId="109C0A04" w14:textId="77777777" w:rsidR="00F81610" w:rsidRDefault="00F81610" w:rsidP="00F81610">
      <w:pPr>
        <w:jc w:val="right"/>
      </w:pPr>
    </w:p>
    <w:tbl>
      <w:tblPr>
        <w:tblpPr w:leftFromText="141" w:rightFromText="141"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96"/>
      </w:tblGrid>
      <w:tr w:rsidR="00F81610" w14:paraId="697FDBBD" w14:textId="77777777" w:rsidTr="00A82E71">
        <w:tc>
          <w:tcPr>
            <w:tcW w:w="2547" w:type="dxa"/>
          </w:tcPr>
          <w:p w14:paraId="4D38EEEE" w14:textId="77777777" w:rsidR="00F81610" w:rsidRDefault="00F81610" w:rsidP="00A82E71">
            <w:r>
              <w:t>Číslo smlouvy NTK</w:t>
            </w:r>
          </w:p>
        </w:tc>
        <w:tc>
          <w:tcPr>
            <w:tcW w:w="2696" w:type="dxa"/>
          </w:tcPr>
          <w:p w14:paraId="7DDA9547" w14:textId="77777777" w:rsidR="00BB21EE" w:rsidRPr="00BB21EE" w:rsidRDefault="00BB21EE" w:rsidP="00A82E71">
            <w:pPr>
              <w:jc w:val="right"/>
              <w:rPr>
                <w:sz w:val="16"/>
                <w:szCs w:val="16"/>
              </w:rPr>
            </w:pPr>
            <w:r w:rsidRPr="00BB21EE">
              <w:rPr>
                <w:sz w:val="16"/>
                <w:szCs w:val="16"/>
              </w:rPr>
              <w:t xml:space="preserve">NTK/SML/66/2025, </w:t>
            </w:r>
          </w:p>
          <w:p w14:paraId="1C32F223" w14:textId="7B797717" w:rsidR="00F81610" w:rsidRDefault="00BB21EE" w:rsidP="00A82E71">
            <w:pPr>
              <w:jc w:val="right"/>
            </w:pPr>
            <w:r w:rsidRPr="00BB21EE">
              <w:rPr>
                <w:sz w:val="16"/>
                <w:szCs w:val="16"/>
              </w:rPr>
              <w:t>čj. NTK/2599/2025</w:t>
            </w:r>
          </w:p>
        </w:tc>
      </w:tr>
      <w:tr w:rsidR="00F81610" w14:paraId="7E4BEF56" w14:textId="77777777" w:rsidTr="00A82E71">
        <w:tc>
          <w:tcPr>
            <w:tcW w:w="2547" w:type="dxa"/>
          </w:tcPr>
          <w:p w14:paraId="691DD63F" w14:textId="77777777" w:rsidR="00F81610" w:rsidRDefault="00F81610" w:rsidP="00A82E71">
            <w:r>
              <w:t>Číslo smlouvy Uživatel</w:t>
            </w:r>
          </w:p>
        </w:tc>
        <w:tc>
          <w:tcPr>
            <w:tcW w:w="2696" w:type="dxa"/>
          </w:tcPr>
          <w:p w14:paraId="38B12101" w14:textId="77777777" w:rsidR="00F81610" w:rsidRDefault="00F81610" w:rsidP="00A82E71">
            <w:pPr>
              <w:jc w:val="right"/>
            </w:pPr>
          </w:p>
        </w:tc>
      </w:tr>
    </w:tbl>
    <w:p w14:paraId="4229BD7D" w14:textId="77777777" w:rsidR="00F81610" w:rsidRPr="00F81610" w:rsidRDefault="00F81610">
      <w:pPr>
        <w:pStyle w:val="Nzev"/>
        <w:rPr>
          <w:sz w:val="18"/>
          <w:szCs w:val="18"/>
        </w:rPr>
      </w:pPr>
    </w:p>
    <w:p w14:paraId="56573901" w14:textId="77777777" w:rsidR="00F81610" w:rsidRPr="002F109F" w:rsidRDefault="00F81610" w:rsidP="00F81610">
      <w:pPr>
        <w:pStyle w:val="Nzev"/>
      </w:pPr>
      <w:r>
        <w:t xml:space="preserve"> </w:t>
      </w:r>
      <w:r w:rsidRPr="002F109F">
        <w:t>Smlouva o zajištění služeb ORCID</w:t>
      </w:r>
    </w:p>
    <w:p w14:paraId="6B32B7F9" w14:textId="77777777" w:rsidR="00F81610" w:rsidRDefault="00F81610" w:rsidP="00F81610">
      <w:pPr>
        <w:rPr>
          <w:color w:val="00000A"/>
          <w:sz w:val="20"/>
          <w:szCs w:val="20"/>
        </w:rPr>
      </w:pPr>
    </w:p>
    <w:p w14:paraId="13C8B8C8" w14:textId="77777777" w:rsidR="00F81610" w:rsidRPr="00B02212" w:rsidRDefault="00F81610" w:rsidP="00F81610">
      <w:pPr>
        <w:rPr>
          <w:color w:val="00000A"/>
          <w:sz w:val="20"/>
          <w:szCs w:val="20"/>
        </w:rPr>
      </w:pPr>
      <w:r w:rsidRPr="00B02212">
        <w:rPr>
          <w:color w:val="00000A"/>
          <w:sz w:val="20"/>
          <w:szCs w:val="20"/>
        </w:rPr>
        <w:t>uzavřená podle § 1746 odst. 2 zákona č. 89/2012 Sb., občanský zákoník, ve znění pozdějších předpisů (dále jen “Smlouva”), jejímiž účastníky jsou</w:t>
      </w:r>
    </w:p>
    <w:p w14:paraId="166584BC" w14:textId="77777777" w:rsidR="00F81610" w:rsidRPr="002F109F" w:rsidRDefault="00F81610" w:rsidP="00F81610">
      <w:pPr>
        <w:jc w:val="center"/>
      </w:pPr>
    </w:p>
    <w:p w14:paraId="4FA1DCFD" w14:textId="77777777" w:rsidR="00F81610" w:rsidRPr="002F109F" w:rsidRDefault="00F81610" w:rsidP="00F81610">
      <w:pPr>
        <w:rPr>
          <w:color w:val="00000A"/>
          <w:sz w:val="20"/>
          <w:szCs w:val="20"/>
        </w:rPr>
      </w:pPr>
      <w:bookmarkStart w:id="0" w:name="_1fob9te" w:colFirst="0" w:colLast="0"/>
      <w:bookmarkEnd w:id="0"/>
      <w:r w:rsidRPr="002F109F">
        <w:rPr>
          <w:b/>
          <w:color w:val="00000A"/>
          <w:sz w:val="20"/>
          <w:szCs w:val="20"/>
        </w:rPr>
        <w:t>Národní technická knihovna, příspěvková organizace</w:t>
      </w:r>
    </w:p>
    <w:p w14:paraId="0FA7B4B3" w14:textId="77777777" w:rsidR="00F81610" w:rsidRPr="002F109F" w:rsidRDefault="00F81610" w:rsidP="00F81610">
      <w:pPr>
        <w:rPr>
          <w:color w:val="00000A"/>
          <w:sz w:val="20"/>
          <w:szCs w:val="20"/>
        </w:rPr>
      </w:pPr>
      <w:r w:rsidRPr="002F109F">
        <w:rPr>
          <w:color w:val="00000A"/>
          <w:sz w:val="20"/>
          <w:szCs w:val="20"/>
        </w:rPr>
        <w:t xml:space="preserve">se sídlem: </w:t>
      </w:r>
      <w:r w:rsidRPr="002F109F">
        <w:rPr>
          <w:color w:val="00000A"/>
          <w:sz w:val="20"/>
          <w:szCs w:val="20"/>
        </w:rPr>
        <w:tab/>
        <w:t>Technická 6/2710, 160 80 Praha 6</w:t>
      </w:r>
    </w:p>
    <w:p w14:paraId="2FCBE1E3" w14:textId="388AF99E" w:rsidR="00F81610" w:rsidRPr="002F109F" w:rsidRDefault="00F81610" w:rsidP="00F81610">
      <w:pPr>
        <w:rPr>
          <w:color w:val="00000A"/>
          <w:sz w:val="20"/>
          <w:szCs w:val="20"/>
        </w:rPr>
      </w:pPr>
      <w:r w:rsidRPr="002F109F">
        <w:rPr>
          <w:color w:val="00000A"/>
          <w:sz w:val="20"/>
          <w:szCs w:val="20"/>
        </w:rPr>
        <w:t xml:space="preserve">zastoupená: </w:t>
      </w:r>
      <w:r w:rsidRPr="002F109F">
        <w:rPr>
          <w:color w:val="00000A"/>
          <w:sz w:val="20"/>
          <w:szCs w:val="20"/>
        </w:rPr>
        <w:tab/>
      </w:r>
      <w:r w:rsidR="00FA0F23">
        <w:rPr>
          <w:i/>
          <w:color w:val="00000A"/>
          <w:sz w:val="20"/>
          <w:szCs w:val="20"/>
        </w:rPr>
        <w:t>redigováno</w:t>
      </w:r>
      <w:r w:rsidR="00BB21EE">
        <w:rPr>
          <w:color w:val="00000A"/>
          <w:sz w:val="20"/>
          <w:szCs w:val="20"/>
        </w:rPr>
        <w:t>, statutárním náměstkem</w:t>
      </w:r>
    </w:p>
    <w:p w14:paraId="3BA59768" w14:textId="77777777" w:rsidR="00F81610" w:rsidRPr="002F109F" w:rsidRDefault="00F81610" w:rsidP="00F81610">
      <w:pPr>
        <w:rPr>
          <w:color w:val="00000A"/>
          <w:sz w:val="20"/>
          <w:szCs w:val="20"/>
        </w:rPr>
      </w:pPr>
      <w:r w:rsidRPr="002F109F">
        <w:rPr>
          <w:color w:val="00000A"/>
          <w:sz w:val="20"/>
          <w:szCs w:val="20"/>
        </w:rPr>
        <w:t xml:space="preserve">IČO: </w:t>
      </w:r>
      <w:r w:rsidRPr="002F109F">
        <w:rPr>
          <w:color w:val="00000A"/>
          <w:sz w:val="20"/>
          <w:szCs w:val="20"/>
        </w:rPr>
        <w:tab/>
      </w:r>
      <w:r w:rsidRPr="002F109F">
        <w:rPr>
          <w:color w:val="00000A"/>
          <w:sz w:val="20"/>
          <w:szCs w:val="20"/>
        </w:rPr>
        <w:tab/>
        <w:t>61387142</w:t>
      </w:r>
    </w:p>
    <w:p w14:paraId="5AAE57BB" w14:textId="77777777" w:rsidR="00F81610" w:rsidRPr="002F109F" w:rsidRDefault="00F81610" w:rsidP="00F81610">
      <w:pPr>
        <w:rPr>
          <w:color w:val="00000A"/>
          <w:sz w:val="20"/>
          <w:szCs w:val="20"/>
        </w:rPr>
      </w:pPr>
      <w:r w:rsidRPr="002F109F">
        <w:rPr>
          <w:color w:val="00000A"/>
          <w:sz w:val="20"/>
          <w:szCs w:val="20"/>
        </w:rPr>
        <w:t xml:space="preserve">DIČ: </w:t>
      </w:r>
      <w:r w:rsidRPr="002F109F">
        <w:rPr>
          <w:color w:val="00000A"/>
          <w:sz w:val="20"/>
          <w:szCs w:val="20"/>
        </w:rPr>
        <w:tab/>
      </w:r>
      <w:r w:rsidRPr="002F109F">
        <w:rPr>
          <w:color w:val="00000A"/>
          <w:sz w:val="20"/>
          <w:szCs w:val="20"/>
        </w:rPr>
        <w:tab/>
        <w:t>CZ61387142</w:t>
      </w:r>
    </w:p>
    <w:p w14:paraId="6D6890CD" w14:textId="77777777" w:rsidR="00F81610" w:rsidRPr="002F109F" w:rsidRDefault="00F81610" w:rsidP="00F81610">
      <w:pPr>
        <w:rPr>
          <w:color w:val="00000A"/>
          <w:sz w:val="20"/>
          <w:szCs w:val="20"/>
        </w:rPr>
      </w:pPr>
      <w:r w:rsidRPr="002F109F">
        <w:rPr>
          <w:color w:val="00000A"/>
          <w:sz w:val="20"/>
          <w:szCs w:val="20"/>
        </w:rPr>
        <w:t xml:space="preserve">IDDS: </w:t>
      </w:r>
      <w:r w:rsidRPr="002F109F">
        <w:rPr>
          <w:color w:val="00000A"/>
          <w:sz w:val="20"/>
          <w:szCs w:val="20"/>
        </w:rPr>
        <w:tab/>
      </w:r>
      <w:r w:rsidRPr="002F109F">
        <w:rPr>
          <w:color w:val="00000A"/>
          <w:sz w:val="20"/>
          <w:szCs w:val="20"/>
        </w:rPr>
        <w:tab/>
      </w:r>
      <w:r w:rsidRPr="002F109F">
        <w:rPr>
          <w:sz w:val="20"/>
          <w:szCs w:val="20"/>
        </w:rPr>
        <w:t>syd69w9</w:t>
      </w:r>
    </w:p>
    <w:p w14:paraId="5F87E994" w14:textId="77777777" w:rsidR="00F81610" w:rsidRPr="002F109F" w:rsidRDefault="00F81610" w:rsidP="00F81610">
      <w:pPr>
        <w:jc w:val="both"/>
        <w:rPr>
          <w:sz w:val="20"/>
          <w:szCs w:val="20"/>
        </w:rPr>
      </w:pPr>
      <w:r w:rsidRPr="002F109F">
        <w:rPr>
          <w:sz w:val="20"/>
          <w:szCs w:val="20"/>
        </w:rPr>
        <w:t>(dále jen "NTK")</w:t>
      </w:r>
    </w:p>
    <w:p w14:paraId="7C18BC30" w14:textId="77777777" w:rsidR="00F81610" w:rsidRPr="002F109F" w:rsidRDefault="00F81610" w:rsidP="00F81610">
      <w:pPr>
        <w:jc w:val="both"/>
        <w:rPr>
          <w:sz w:val="20"/>
          <w:szCs w:val="20"/>
        </w:rPr>
      </w:pPr>
    </w:p>
    <w:p w14:paraId="5BF86D14" w14:textId="77777777" w:rsidR="00F81610" w:rsidRPr="002F109F" w:rsidRDefault="00F81610" w:rsidP="00F81610">
      <w:pPr>
        <w:jc w:val="both"/>
        <w:rPr>
          <w:sz w:val="20"/>
          <w:szCs w:val="20"/>
        </w:rPr>
      </w:pPr>
      <w:r w:rsidRPr="002F109F">
        <w:rPr>
          <w:sz w:val="20"/>
          <w:szCs w:val="20"/>
        </w:rPr>
        <w:t>a</w:t>
      </w:r>
    </w:p>
    <w:p w14:paraId="2CFE11C4" w14:textId="77777777" w:rsidR="00BB21EE" w:rsidRPr="00BB21EE" w:rsidRDefault="00BB21EE" w:rsidP="00BB21EE">
      <w:pPr>
        <w:jc w:val="both"/>
        <w:rPr>
          <w:color w:val="00000A"/>
          <w:sz w:val="20"/>
          <w:szCs w:val="20"/>
        </w:rPr>
      </w:pPr>
      <w:r w:rsidRPr="00BB21EE">
        <w:rPr>
          <w:color w:val="00000A"/>
          <w:sz w:val="20"/>
          <w:szCs w:val="20"/>
        </w:rPr>
        <w:t>Policejní akademie České republiky v Praze</w:t>
      </w:r>
    </w:p>
    <w:p w14:paraId="29FC6944" w14:textId="77777777" w:rsidR="00BB21EE" w:rsidRPr="00BB21EE" w:rsidRDefault="00BB21EE" w:rsidP="00BB21EE">
      <w:pPr>
        <w:jc w:val="both"/>
        <w:rPr>
          <w:color w:val="00000A"/>
          <w:sz w:val="20"/>
          <w:szCs w:val="20"/>
        </w:rPr>
      </w:pPr>
      <w:r w:rsidRPr="00BB21EE">
        <w:rPr>
          <w:color w:val="00000A"/>
          <w:sz w:val="20"/>
          <w:szCs w:val="20"/>
        </w:rPr>
        <w:t>se sídlem:</w:t>
      </w:r>
      <w:r w:rsidRPr="00BB21EE">
        <w:rPr>
          <w:color w:val="00000A"/>
          <w:sz w:val="20"/>
          <w:szCs w:val="20"/>
        </w:rPr>
        <w:tab/>
        <w:t xml:space="preserve">Lhotecká 559/7, </w:t>
      </w:r>
      <w:proofErr w:type="spellStart"/>
      <w:r w:rsidRPr="00BB21EE">
        <w:rPr>
          <w:color w:val="00000A"/>
          <w:sz w:val="20"/>
          <w:szCs w:val="20"/>
        </w:rPr>
        <w:t>P.O.Box</w:t>
      </w:r>
      <w:proofErr w:type="spellEnd"/>
      <w:r w:rsidRPr="00BB21EE">
        <w:rPr>
          <w:color w:val="00000A"/>
          <w:sz w:val="20"/>
          <w:szCs w:val="20"/>
        </w:rPr>
        <w:t xml:space="preserve"> 54, 143 00, Praha 12 - Kamýk</w:t>
      </w:r>
    </w:p>
    <w:p w14:paraId="535F201B" w14:textId="69A17CBE" w:rsidR="00BB21EE" w:rsidRPr="00BB21EE" w:rsidRDefault="00BB21EE" w:rsidP="00BB21EE">
      <w:pPr>
        <w:jc w:val="both"/>
        <w:rPr>
          <w:color w:val="00000A"/>
          <w:sz w:val="20"/>
          <w:szCs w:val="20"/>
        </w:rPr>
      </w:pPr>
      <w:r w:rsidRPr="00BB21EE">
        <w:rPr>
          <w:color w:val="00000A"/>
          <w:sz w:val="20"/>
          <w:szCs w:val="20"/>
        </w:rPr>
        <w:t>zastoupená:</w:t>
      </w:r>
      <w:r w:rsidRPr="00BB21EE">
        <w:rPr>
          <w:color w:val="00000A"/>
          <w:sz w:val="20"/>
          <w:szCs w:val="20"/>
        </w:rPr>
        <w:tab/>
      </w:r>
      <w:r w:rsidR="00FA0F23">
        <w:rPr>
          <w:i/>
          <w:color w:val="00000A"/>
          <w:sz w:val="20"/>
          <w:szCs w:val="20"/>
        </w:rPr>
        <w:t>redigováno</w:t>
      </w:r>
      <w:bookmarkStart w:id="1" w:name="_GoBack"/>
      <w:bookmarkEnd w:id="1"/>
      <w:r w:rsidRPr="00BB21EE">
        <w:rPr>
          <w:color w:val="00000A"/>
          <w:sz w:val="20"/>
          <w:szCs w:val="20"/>
        </w:rPr>
        <w:t>.</w:t>
      </w:r>
    </w:p>
    <w:p w14:paraId="035F93D0" w14:textId="77777777" w:rsidR="00BB21EE" w:rsidRPr="00BB21EE" w:rsidRDefault="00BB21EE" w:rsidP="00BB21EE">
      <w:pPr>
        <w:jc w:val="both"/>
        <w:rPr>
          <w:color w:val="00000A"/>
          <w:sz w:val="20"/>
          <w:szCs w:val="20"/>
        </w:rPr>
      </w:pPr>
      <w:r w:rsidRPr="00BB21EE">
        <w:rPr>
          <w:color w:val="00000A"/>
          <w:sz w:val="20"/>
          <w:szCs w:val="20"/>
        </w:rPr>
        <w:t>IČO:</w:t>
      </w:r>
      <w:r w:rsidRPr="00BB21EE">
        <w:rPr>
          <w:color w:val="00000A"/>
          <w:sz w:val="20"/>
          <w:szCs w:val="20"/>
        </w:rPr>
        <w:tab/>
      </w:r>
      <w:r w:rsidRPr="00BB21EE">
        <w:rPr>
          <w:color w:val="00000A"/>
          <w:sz w:val="20"/>
          <w:szCs w:val="20"/>
        </w:rPr>
        <w:tab/>
        <w:t>48135445</w:t>
      </w:r>
    </w:p>
    <w:p w14:paraId="04B64A8A" w14:textId="77777777" w:rsidR="00BB21EE" w:rsidRPr="00BB21EE" w:rsidRDefault="00BB21EE" w:rsidP="00BB21EE">
      <w:pPr>
        <w:jc w:val="both"/>
        <w:rPr>
          <w:color w:val="00000A"/>
          <w:sz w:val="20"/>
          <w:szCs w:val="20"/>
        </w:rPr>
      </w:pPr>
      <w:r w:rsidRPr="00BB21EE">
        <w:rPr>
          <w:color w:val="00000A"/>
          <w:sz w:val="20"/>
          <w:szCs w:val="20"/>
        </w:rPr>
        <w:t xml:space="preserve">DIČ: </w:t>
      </w:r>
      <w:r w:rsidRPr="00BB21EE">
        <w:rPr>
          <w:color w:val="00000A"/>
          <w:sz w:val="20"/>
          <w:szCs w:val="20"/>
        </w:rPr>
        <w:tab/>
      </w:r>
      <w:r w:rsidRPr="00BB21EE">
        <w:rPr>
          <w:color w:val="00000A"/>
          <w:sz w:val="20"/>
          <w:szCs w:val="20"/>
        </w:rPr>
        <w:tab/>
        <w:t>CZ48135445</w:t>
      </w:r>
    </w:p>
    <w:p w14:paraId="6056378B" w14:textId="77777777" w:rsidR="00BB21EE" w:rsidRPr="00BB21EE" w:rsidRDefault="00BB21EE" w:rsidP="00BB21EE">
      <w:pPr>
        <w:jc w:val="both"/>
        <w:rPr>
          <w:color w:val="00000A"/>
          <w:sz w:val="20"/>
          <w:szCs w:val="20"/>
        </w:rPr>
      </w:pPr>
      <w:r>
        <w:rPr>
          <w:color w:val="00000A"/>
          <w:sz w:val="20"/>
          <w:szCs w:val="20"/>
        </w:rPr>
        <w:t>IDDS:</w:t>
      </w:r>
      <w:r>
        <w:rPr>
          <w:color w:val="00000A"/>
          <w:sz w:val="20"/>
          <w:szCs w:val="20"/>
        </w:rPr>
        <w:tab/>
      </w:r>
      <w:r>
        <w:rPr>
          <w:color w:val="00000A"/>
          <w:sz w:val="20"/>
          <w:szCs w:val="20"/>
        </w:rPr>
        <w:tab/>
      </w:r>
      <w:r w:rsidRPr="00BB21EE">
        <w:rPr>
          <w:color w:val="00000A"/>
          <w:sz w:val="20"/>
          <w:szCs w:val="20"/>
        </w:rPr>
        <w:t>u5maa9p</w:t>
      </w:r>
    </w:p>
    <w:p w14:paraId="0213544A" w14:textId="77777777" w:rsidR="00F81610" w:rsidRPr="00BB21EE" w:rsidRDefault="00F81610" w:rsidP="00F81610">
      <w:pPr>
        <w:jc w:val="both"/>
        <w:rPr>
          <w:color w:val="00000A"/>
          <w:sz w:val="20"/>
          <w:szCs w:val="20"/>
        </w:rPr>
      </w:pPr>
    </w:p>
    <w:p w14:paraId="3A9541B2" w14:textId="77777777" w:rsidR="00F81610" w:rsidRPr="002F109F" w:rsidRDefault="00F81610" w:rsidP="00F81610">
      <w:pPr>
        <w:jc w:val="both"/>
        <w:rPr>
          <w:sz w:val="20"/>
          <w:szCs w:val="20"/>
        </w:rPr>
      </w:pPr>
      <w:r w:rsidRPr="002F109F">
        <w:rPr>
          <w:sz w:val="20"/>
          <w:szCs w:val="20"/>
        </w:rPr>
        <w:t>(všichni společně dále jen „Smluvní strany“)</w:t>
      </w:r>
    </w:p>
    <w:p w14:paraId="0B0626F5" w14:textId="77777777" w:rsidR="00F81610" w:rsidRPr="002F109F" w:rsidRDefault="00F81610" w:rsidP="00F81610">
      <w:pPr>
        <w:jc w:val="both"/>
      </w:pPr>
    </w:p>
    <w:p w14:paraId="06112E98" w14:textId="77777777" w:rsidR="00F81610" w:rsidRPr="002F109F" w:rsidRDefault="00F81610" w:rsidP="00F81610">
      <w:pPr>
        <w:pStyle w:val="Nadpis2"/>
        <w:numPr>
          <w:ilvl w:val="0"/>
          <w:numId w:val="1"/>
        </w:numPr>
        <w:ind w:left="0" w:firstLine="0"/>
      </w:pPr>
      <w:bookmarkStart w:id="2" w:name="_heading=h.73v2j2dcu8zc" w:colFirst="0" w:colLast="0"/>
      <w:bookmarkStart w:id="3" w:name="_heading=h.1fob9te" w:colFirst="0" w:colLast="0"/>
      <w:bookmarkEnd w:id="2"/>
      <w:bookmarkEnd w:id="3"/>
      <w:r>
        <w:t xml:space="preserve"> </w:t>
      </w:r>
      <w:r w:rsidRPr="002F109F">
        <w:t>Preambule</w:t>
      </w:r>
    </w:p>
    <w:p w14:paraId="5C35296D" w14:textId="77777777" w:rsidR="00F81610" w:rsidRDefault="00F81610" w:rsidP="00F81610">
      <w:pPr>
        <w:spacing w:after="200"/>
        <w:rPr>
          <w:sz w:val="20"/>
          <w:szCs w:val="20"/>
        </w:rPr>
      </w:pPr>
    </w:p>
    <w:p w14:paraId="7E831AE1" w14:textId="77777777" w:rsidR="00F81610" w:rsidRPr="002F109F" w:rsidRDefault="00F81610" w:rsidP="00F81610">
      <w:pPr>
        <w:spacing w:after="200"/>
        <w:rPr>
          <w:sz w:val="20"/>
          <w:szCs w:val="20"/>
        </w:rPr>
      </w:pPr>
      <w:r w:rsidRPr="002F109F">
        <w:rPr>
          <w:sz w:val="20"/>
          <w:szCs w:val="20"/>
        </w:rPr>
        <w:t>Vzhledem k tomu, že</w:t>
      </w:r>
    </w:p>
    <w:p w14:paraId="06AB133E"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 xml:space="preserve">Společnost ORCID poskytuje služby, které umožňují transparentní a důvěryhodné spojení mezi výzkumnými pracovníky, jejich výsledky výzkumu a jejich afiliací, a to poskytováním jedinečného trvalého identifikátoru, který mohou jednotlivci používat v případě zapojení do výzkumných, studijních a inovačních aktivit, </w:t>
      </w:r>
    </w:p>
    <w:p w14:paraId="6C0DDB68"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NTK považuje zprostředkování těchto služeb vysokoškolským institucím, neziskovým organizacím, výzkumným organizacím nebo výzkum financujícím agenturám se sídlem v České republice za součást plnění svých hlavních činností stanovených ve Zřizovací listině NTK, a</w:t>
      </w:r>
    </w:p>
    <w:p w14:paraId="6AA71339"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NTK dne 31.</w:t>
      </w:r>
      <w:r w:rsidRPr="2C844907">
        <w:rPr>
          <w:sz w:val="20"/>
          <w:szCs w:val="20"/>
        </w:rPr>
        <w:t xml:space="preserve"> </w:t>
      </w:r>
      <w:r w:rsidRPr="002F109F">
        <w:rPr>
          <w:sz w:val="20"/>
          <w:szCs w:val="20"/>
        </w:rPr>
        <w:t>5.</w:t>
      </w:r>
      <w:r w:rsidRPr="2C844907">
        <w:rPr>
          <w:sz w:val="20"/>
          <w:szCs w:val="20"/>
        </w:rPr>
        <w:t xml:space="preserve"> </w:t>
      </w:r>
      <w:r w:rsidRPr="002F109F">
        <w:rPr>
          <w:sz w:val="20"/>
          <w:szCs w:val="20"/>
        </w:rPr>
        <w:t xml:space="preserve">2023 uzavřela v dvojjazyčné verzi „Smlouvu o vedení konsorcia“, jejíž nedílnou přílohou jsou „Smluvní podmínky“ v českém a anglickém jazyce a „Standardní smluvní doložky pro předávání údajů“ v anglickém jazyce, se společností ORCID; ID Smlouvy v Registru smluv: 23002151, dostupné z: </w:t>
      </w:r>
      <w:hyperlink r:id="rId7">
        <w:r w:rsidRPr="002F109F">
          <w:rPr>
            <w:rStyle w:val="Hypertextovodkaz"/>
            <w:rFonts w:cs="Open Sans"/>
            <w:sz w:val="20"/>
            <w:szCs w:val="20"/>
          </w:rPr>
          <w:t>https://smlouvy.gov.cz/smlouva/24655039</w:t>
        </w:r>
      </w:hyperlink>
      <w:r w:rsidRPr="002F109F">
        <w:rPr>
          <w:sz w:val="20"/>
          <w:szCs w:val="20"/>
        </w:rPr>
        <w:t>,</w:t>
      </w:r>
    </w:p>
    <w:p w14:paraId="26996805" w14:textId="77777777" w:rsidR="00F81610" w:rsidRPr="002F109F" w:rsidRDefault="00F81610" w:rsidP="00F81610">
      <w:pPr>
        <w:spacing w:line="276" w:lineRule="auto"/>
        <w:rPr>
          <w:sz w:val="20"/>
          <w:szCs w:val="20"/>
        </w:rPr>
      </w:pPr>
    </w:p>
    <w:p w14:paraId="66385A63" w14:textId="77777777" w:rsidR="00F81610" w:rsidRDefault="00F81610" w:rsidP="00F81610">
      <w:pPr>
        <w:spacing w:before="120" w:line="281" w:lineRule="auto"/>
        <w:rPr>
          <w:sz w:val="20"/>
          <w:szCs w:val="20"/>
        </w:rPr>
      </w:pPr>
      <w:r w:rsidRPr="002F109F">
        <w:rPr>
          <w:sz w:val="20"/>
          <w:szCs w:val="20"/>
        </w:rPr>
        <w:lastRenderedPageBreak/>
        <w:t>dohodly se Smluvní strany tak, že NTK na základě uzavřených dokumentů v odst. 1.3. Smlouvy bude Uživateli poskytovat Služby. Za podmínek a v souladu se „Smlouvou o vedení konsorcia“ uzavírá NTK s Uživatelem tuto Smlouvu, která zavazuje Smluvní strany dodržovat zde specifikované podmínky vzájemné spolupráce a</w:t>
      </w:r>
      <w:r>
        <w:rPr>
          <w:sz w:val="20"/>
          <w:szCs w:val="20"/>
        </w:rPr>
        <w:t> </w:t>
      </w:r>
      <w:r w:rsidRPr="002F109F">
        <w:rPr>
          <w:sz w:val="20"/>
          <w:szCs w:val="20"/>
        </w:rPr>
        <w:t xml:space="preserve">partnerství mezi Smluvními stranami při užívání služeb společnosti ORCID. Služby budou zajišťovány prostřednictvím Národního centra ORCID.  </w:t>
      </w:r>
    </w:p>
    <w:p w14:paraId="1AF06840" w14:textId="77777777" w:rsidR="00F81610" w:rsidRPr="002F109F" w:rsidRDefault="00F81610" w:rsidP="00F81610">
      <w:pPr>
        <w:spacing w:before="120" w:line="281" w:lineRule="auto"/>
        <w:rPr>
          <w:sz w:val="20"/>
          <w:szCs w:val="20"/>
        </w:rPr>
      </w:pPr>
    </w:p>
    <w:p w14:paraId="13DC2264" w14:textId="77777777" w:rsidR="00F81610" w:rsidRDefault="00F81610" w:rsidP="00F81610">
      <w:pPr>
        <w:pStyle w:val="Nadpis2"/>
        <w:numPr>
          <w:ilvl w:val="0"/>
          <w:numId w:val="1"/>
        </w:numPr>
        <w:ind w:left="0" w:firstLine="0"/>
      </w:pPr>
      <w:bookmarkStart w:id="4" w:name="_heading=h.5jjjoncan0cf" w:colFirst="0" w:colLast="0"/>
      <w:bookmarkEnd w:id="4"/>
      <w:r>
        <w:t xml:space="preserve"> </w:t>
      </w:r>
      <w:r w:rsidRPr="002F109F">
        <w:t>Definice pojmů</w:t>
      </w:r>
    </w:p>
    <w:p w14:paraId="7F200036" w14:textId="77777777" w:rsidR="00F81610" w:rsidRPr="00F81610" w:rsidRDefault="00F81610" w:rsidP="00F81610"/>
    <w:p w14:paraId="09B50611" w14:textId="77777777" w:rsidR="00F81610" w:rsidRDefault="00F81610" w:rsidP="00F81610">
      <w:pPr>
        <w:numPr>
          <w:ilvl w:val="1"/>
          <w:numId w:val="1"/>
        </w:numPr>
        <w:spacing w:line="276" w:lineRule="auto"/>
        <w:ind w:left="426" w:hanging="425"/>
        <w:rPr>
          <w:sz w:val="20"/>
          <w:szCs w:val="20"/>
        </w:rPr>
      </w:pPr>
      <w:r w:rsidRPr="002F109F">
        <w:rPr>
          <w:sz w:val="20"/>
          <w:szCs w:val="20"/>
        </w:rPr>
        <w:t xml:space="preserve">Používá-li Smlouva v dalším textu termíny psané s velkým počátečním písmenem, ať už v singuláru nebo plurálu, mají tyto termíny následující význam: </w:t>
      </w:r>
    </w:p>
    <w:p w14:paraId="1499B107" w14:textId="77777777" w:rsidR="00970827" w:rsidRPr="00970827" w:rsidRDefault="00970827" w:rsidP="00970827">
      <w:pPr>
        <w:numPr>
          <w:ilvl w:val="2"/>
          <w:numId w:val="1"/>
        </w:numPr>
        <w:spacing w:line="276" w:lineRule="auto"/>
        <w:rPr>
          <w:sz w:val="20"/>
          <w:szCs w:val="20"/>
        </w:rPr>
      </w:pPr>
      <w:proofErr w:type="spellStart"/>
      <w:r w:rsidRPr="00970827">
        <w:rPr>
          <w:b/>
          <w:bCs/>
          <w:sz w:val="20"/>
          <w:szCs w:val="20"/>
        </w:rPr>
        <w:t>Affiliation</w:t>
      </w:r>
      <w:proofErr w:type="spellEnd"/>
      <w:r w:rsidRPr="00970827">
        <w:rPr>
          <w:b/>
          <w:bCs/>
          <w:sz w:val="20"/>
          <w:szCs w:val="20"/>
        </w:rPr>
        <w:t xml:space="preserve"> </w:t>
      </w:r>
      <w:proofErr w:type="spellStart"/>
      <w:r w:rsidRPr="00970827">
        <w:rPr>
          <w:b/>
          <w:bCs/>
          <w:sz w:val="20"/>
          <w:szCs w:val="20"/>
        </w:rPr>
        <w:t>manager</w:t>
      </w:r>
      <w:proofErr w:type="spellEnd"/>
      <w:r>
        <w:rPr>
          <w:sz w:val="20"/>
          <w:szCs w:val="20"/>
        </w:rPr>
        <w:t xml:space="preserve"> </w:t>
      </w:r>
      <w:r w:rsidRPr="00970827">
        <w:rPr>
          <w:sz w:val="20"/>
          <w:szCs w:val="20"/>
        </w:rPr>
        <w:t>je nástroj, který je k dispozici členům Národního centra ORCID. Umožňuje</w:t>
      </w:r>
    </w:p>
    <w:p w14:paraId="194CCA83" w14:textId="2DE7FEDA" w:rsidR="00970827" w:rsidRPr="002F109F" w:rsidRDefault="00970827" w:rsidP="00970827">
      <w:pPr>
        <w:spacing w:line="276" w:lineRule="auto"/>
        <w:ind w:left="850"/>
        <w:rPr>
          <w:sz w:val="20"/>
          <w:szCs w:val="20"/>
        </w:rPr>
      </w:pPr>
      <w:r w:rsidRPr="00970827">
        <w:rPr>
          <w:sz w:val="20"/>
          <w:szCs w:val="20"/>
        </w:rPr>
        <w:t>snadné přidávání informace o afiliaci do profilů výzkumníků</w:t>
      </w:r>
      <w:r>
        <w:rPr>
          <w:sz w:val="20"/>
          <w:szCs w:val="20"/>
        </w:rPr>
        <w:t>.</w:t>
      </w:r>
    </w:p>
    <w:p w14:paraId="00B663C4" w14:textId="77777777" w:rsidR="00F81610" w:rsidRPr="002F109F" w:rsidRDefault="00F81610" w:rsidP="00F81610">
      <w:pPr>
        <w:numPr>
          <w:ilvl w:val="2"/>
          <w:numId w:val="1"/>
        </w:numPr>
        <w:spacing w:line="276" w:lineRule="auto"/>
        <w:rPr>
          <w:sz w:val="20"/>
          <w:szCs w:val="20"/>
        </w:rPr>
      </w:pPr>
      <w:r w:rsidRPr="002F109F">
        <w:rPr>
          <w:b/>
          <w:color w:val="000000"/>
          <w:sz w:val="20"/>
          <w:szCs w:val="20"/>
        </w:rPr>
        <w:t>Modelem financování</w:t>
      </w:r>
      <w:r w:rsidRPr="002F109F">
        <w:rPr>
          <w:color w:val="000000"/>
          <w:sz w:val="20"/>
          <w:szCs w:val="20"/>
        </w:rPr>
        <w:t xml:space="preserve"> se rozumí podíl a způsob úhrady Poplatků za Služby, přičemž NTK je oprávněna kdykoliv navrhnout změnu Modelu financování, a to ze závažných důvodů, zejména však z důvodu vyčerpání Zdroje financování, a postupovat, jak je dále specifikováno v </w:t>
      </w:r>
      <w:r w:rsidRPr="002F109F">
        <w:rPr>
          <w:sz w:val="20"/>
          <w:szCs w:val="20"/>
        </w:rPr>
        <w:t>čl. 7. Smlouvy</w:t>
      </w:r>
      <w:r w:rsidRPr="002F109F">
        <w:rPr>
          <w:color w:val="000000"/>
          <w:sz w:val="20"/>
          <w:szCs w:val="20"/>
        </w:rPr>
        <w:t>;</w:t>
      </w:r>
    </w:p>
    <w:p w14:paraId="701E0269" w14:textId="77777777" w:rsidR="00F81610" w:rsidRPr="002F109F" w:rsidRDefault="00F81610" w:rsidP="00F81610">
      <w:pPr>
        <w:numPr>
          <w:ilvl w:val="2"/>
          <w:numId w:val="1"/>
        </w:numPr>
        <w:spacing w:line="276" w:lineRule="auto"/>
        <w:rPr>
          <w:b/>
          <w:sz w:val="20"/>
          <w:szCs w:val="20"/>
        </w:rPr>
      </w:pPr>
      <w:r w:rsidRPr="002F109F">
        <w:rPr>
          <w:b/>
          <w:sz w:val="20"/>
          <w:szCs w:val="20"/>
        </w:rPr>
        <w:t xml:space="preserve">Národním centrem ORCID </w:t>
      </w:r>
      <w:r w:rsidRPr="002F109F">
        <w:rPr>
          <w:sz w:val="20"/>
          <w:szCs w:val="20"/>
        </w:rPr>
        <w:t xml:space="preserve">se rozumí </w:t>
      </w:r>
      <w:r w:rsidRPr="002F109F">
        <w:rPr>
          <w:color w:val="000000" w:themeColor="text1"/>
          <w:sz w:val="20"/>
          <w:szCs w:val="20"/>
        </w:rPr>
        <w:t xml:space="preserve">soubor služeb poskytovaných za účelem zvýšení využití ORCID </w:t>
      </w:r>
      <w:proofErr w:type="spellStart"/>
      <w:r w:rsidRPr="002F109F">
        <w:rPr>
          <w:color w:val="000000" w:themeColor="text1"/>
          <w:sz w:val="20"/>
          <w:szCs w:val="20"/>
        </w:rPr>
        <w:t>iD</w:t>
      </w:r>
      <w:proofErr w:type="spellEnd"/>
      <w:r w:rsidRPr="002F109F">
        <w:rPr>
          <w:color w:val="000000" w:themeColor="text1"/>
          <w:sz w:val="20"/>
          <w:szCs w:val="20"/>
        </w:rPr>
        <w:t xml:space="preserve"> v prostředí VaVaI v ČR a zajištění metodické podpory práce s ORCID </w:t>
      </w:r>
      <w:proofErr w:type="spellStart"/>
      <w:r w:rsidRPr="002F109F">
        <w:rPr>
          <w:color w:val="000000" w:themeColor="text1"/>
          <w:sz w:val="20"/>
          <w:szCs w:val="20"/>
        </w:rPr>
        <w:t>iD</w:t>
      </w:r>
      <w:proofErr w:type="spellEnd"/>
      <w:r w:rsidRPr="002F109F">
        <w:rPr>
          <w:color w:val="000000" w:themeColor="text1"/>
          <w:sz w:val="20"/>
          <w:szCs w:val="20"/>
        </w:rPr>
        <w:t xml:space="preserve"> na národní úrovni;</w:t>
      </w:r>
    </w:p>
    <w:p w14:paraId="4A4F566E" w14:textId="77777777" w:rsidR="00F81610" w:rsidRPr="002F109F" w:rsidRDefault="00F81610" w:rsidP="00F81610">
      <w:pPr>
        <w:numPr>
          <w:ilvl w:val="2"/>
          <w:numId w:val="1"/>
        </w:numPr>
        <w:spacing w:line="276" w:lineRule="auto"/>
        <w:rPr>
          <w:sz w:val="20"/>
          <w:szCs w:val="20"/>
        </w:rPr>
      </w:pPr>
      <w:r w:rsidRPr="002F109F">
        <w:rPr>
          <w:b/>
          <w:color w:val="000000"/>
          <w:sz w:val="20"/>
          <w:szCs w:val="20"/>
        </w:rPr>
        <w:t>NTK</w:t>
      </w:r>
      <w:r w:rsidRPr="002F109F">
        <w:rPr>
          <w:color w:val="000000"/>
          <w:sz w:val="20"/>
          <w:szCs w:val="20"/>
        </w:rPr>
        <w:t xml:space="preserve"> se rozumí Smluvní strana Smlouvy, jež zprostředkovává Služby a jiné </w:t>
      </w:r>
      <w:r w:rsidRPr="002F109F">
        <w:rPr>
          <w:sz w:val="20"/>
          <w:szCs w:val="20"/>
        </w:rPr>
        <w:t>Související</w:t>
      </w:r>
      <w:r w:rsidRPr="002F109F">
        <w:rPr>
          <w:color w:val="000000"/>
          <w:sz w:val="20"/>
          <w:szCs w:val="20"/>
        </w:rPr>
        <w:t xml:space="preserve"> služby Uživateli podle Smlouvy a Smlouvy o vedení konsorcia </w:t>
      </w:r>
      <w:r w:rsidRPr="002F109F">
        <w:rPr>
          <w:sz w:val="20"/>
          <w:szCs w:val="20"/>
        </w:rPr>
        <w:t>s cílem</w:t>
      </w:r>
      <w:r w:rsidRPr="002F109F">
        <w:rPr>
          <w:color w:val="000000"/>
          <w:sz w:val="20"/>
          <w:szCs w:val="20"/>
        </w:rPr>
        <w:t xml:space="preserve"> snížení nákladů na implementaci a využívání Služeb;</w:t>
      </w:r>
    </w:p>
    <w:p w14:paraId="14EFDAB5" w14:textId="77777777" w:rsidR="00970827" w:rsidRPr="00970827" w:rsidRDefault="00F81610" w:rsidP="00970827">
      <w:pPr>
        <w:numPr>
          <w:ilvl w:val="2"/>
          <w:numId w:val="1"/>
        </w:numPr>
        <w:spacing w:line="276" w:lineRule="auto"/>
        <w:rPr>
          <w:color w:val="000000"/>
          <w:sz w:val="20"/>
          <w:szCs w:val="20"/>
        </w:rPr>
      </w:pPr>
      <w:r w:rsidRPr="002F109F">
        <w:rPr>
          <w:b/>
          <w:color w:val="000000"/>
          <w:sz w:val="20"/>
          <w:szCs w:val="20"/>
        </w:rPr>
        <w:t>Oprávněním API</w:t>
      </w:r>
      <w:r w:rsidRPr="002F109F">
        <w:rPr>
          <w:color w:val="000000"/>
          <w:sz w:val="20"/>
          <w:szCs w:val="20"/>
        </w:rPr>
        <w:t xml:space="preserve"> se rozumí jedinečný přístupový kód, který společnost ORCID poskytuje každému Uživateli k používání Rozhraní API</w:t>
      </w:r>
      <w:r w:rsidR="00970827">
        <w:rPr>
          <w:color w:val="000000"/>
          <w:sz w:val="20"/>
          <w:szCs w:val="20"/>
        </w:rPr>
        <w:t xml:space="preserve"> </w:t>
      </w:r>
      <w:r w:rsidR="00970827" w:rsidRPr="00970827">
        <w:rPr>
          <w:color w:val="000000"/>
          <w:sz w:val="20"/>
          <w:szCs w:val="20"/>
        </w:rPr>
        <w:t>ve stanoveném počtu systémů podle aktuálních</w:t>
      </w:r>
    </w:p>
    <w:p w14:paraId="60B388B5" w14:textId="5B86D22D" w:rsidR="00F81610" w:rsidRPr="002F109F" w:rsidRDefault="00970827" w:rsidP="00970827">
      <w:pPr>
        <w:spacing w:line="276" w:lineRule="auto"/>
        <w:ind w:left="850"/>
        <w:rPr>
          <w:sz w:val="20"/>
          <w:szCs w:val="20"/>
        </w:rPr>
      </w:pPr>
      <w:r w:rsidRPr="00970827">
        <w:rPr>
          <w:color w:val="000000"/>
          <w:sz w:val="20"/>
          <w:szCs w:val="20"/>
        </w:rPr>
        <w:t>podmínek ORCID;</w:t>
      </w:r>
    </w:p>
    <w:p w14:paraId="62908448" w14:textId="77777777" w:rsidR="00F81610" w:rsidRPr="002F109F" w:rsidRDefault="00F81610" w:rsidP="00F81610">
      <w:pPr>
        <w:numPr>
          <w:ilvl w:val="2"/>
          <w:numId w:val="1"/>
        </w:numPr>
        <w:spacing w:line="276" w:lineRule="auto"/>
        <w:rPr>
          <w:sz w:val="20"/>
          <w:szCs w:val="20"/>
        </w:rPr>
      </w:pPr>
      <w:r w:rsidRPr="002F109F">
        <w:rPr>
          <w:b/>
          <w:bCs/>
          <w:sz w:val="20"/>
          <w:szCs w:val="20"/>
        </w:rPr>
        <w:t>Politikou Národního centra ORCID</w:t>
      </w:r>
      <w:r w:rsidRPr="002F109F">
        <w:rPr>
          <w:b/>
          <w:bCs/>
          <w:color w:val="000000" w:themeColor="text1"/>
          <w:sz w:val="20"/>
          <w:szCs w:val="20"/>
        </w:rPr>
        <w:t xml:space="preserve"> </w:t>
      </w:r>
      <w:r w:rsidRPr="002F109F">
        <w:rPr>
          <w:color w:val="000000" w:themeColor="text1"/>
          <w:sz w:val="20"/>
          <w:szCs w:val="20"/>
        </w:rPr>
        <w:t xml:space="preserve">se rozumí dokument dostupný na </w:t>
      </w:r>
      <w:hyperlink r:id="rId8">
        <w:r w:rsidRPr="2C844907">
          <w:rPr>
            <w:rStyle w:val="Hypertextovodkaz"/>
            <w:rFonts w:cs="Open Sans"/>
            <w:sz w:val="20"/>
            <w:szCs w:val="20"/>
          </w:rPr>
          <w:t>https://doi.org/10.48813/19s5-7v20</w:t>
        </w:r>
      </w:hyperlink>
      <w:r w:rsidRPr="2C844907">
        <w:rPr>
          <w:color w:val="000000" w:themeColor="text1"/>
          <w:sz w:val="20"/>
          <w:szCs w:val="20"/>
        </w:rPr>
        <w:t>,</w:t>
      </w:r>
      <w:r w:rsidRPr="002F109F">
        <w:rPr>
          <w:color w:val="000000" w:themeColor="text1"/>
          <w:sz w:val="20"/>
          <w:szCs w:val="20"/>
        </w:rPr>
        <w:t xml:space="preserve"> který stanovuje informace o poskytování služeb, roli NTK a Uživatele a představuje rámec spolupráce mezi nimi;</w:t>
      </w:r>
    </w:p>
    <w:p w14:paraId="5D2FBA03"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Poplatky</w:t>
      </w:r>
      <w:r w:rsidRPr="002F109F">
        <w:rPr>
          <w:color w:val="000000" w:themeColor="text1"/>
          <w:sz w:val="20"/>
          <w:szCs w:val="20"/>
        </w:rPr>
        <w:t xml:space="preserve"> se rozumí poplatky za užívání Služeb, které jsou hrazeny v závislosti na Modelu financování a jejichž výše se odvíjí od počtu Uživatelů, kteří Služby v daném období využívají;</w:t>
      </w:r>
    </w:p>
    <w:p w14:paraId="0AFFE899"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Právem duševního vlastnictví</w:t>
      </w:r>
      <w:r w:rsidRPr="002F109F">
        <w:rPr>
          <w:color w:val="000000" w:themeColor="text1"/>
          <w:sz w:val="20"/>
          <w:szCs w:val="20"/>
        </w:rPr>
        <w:t xml:space="preserve"> se rozumí zejména autorské právo, práva </w:t>
      </w:r>
      <w:r w:rsidRPr="002F109F">
        <w:rPr>
          <w:sz w:val="20"/>
          <w:szCs w:val="20"/>
        </w:rPr>
        <w:t>související</w:t>
      </w:r>
      <w:r w:rsidRPr="002F109F">
        <w:rPr>
          <w:color w:val="000000" w:themeColor="text1"/>
          <w:sz w:val="20"/>
          <w:szCs w:val="20"/>
        </w:rPr>
        <w:t xml:space="preserve"> s právem autorským, právo pořizovatele databáze a know-how;</w:t>
      </w:r>
    </w:p>
    <w:p w14:paraId="168AF174"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 xml:space="preserve">Přílohami </w:t>
      </w:r>
      <w:r w:rsidRPr="002F109F">
        <w:rPr>
          <w:color w:val="000000" w:themeColor="text1"/>
          <w:sz w:val="20"/>
          <w:szCs w:val="20"/>
        </w:rPr>
        <w:t xml:space="preserve">se rozumí Příloha A </w:t>
      </w:r>
      <w:proofErr w:type="spellStart"/>
      <w:r w:rsidRPr="002F109F">
        <w:rPr>
          <w:color w:val="000000" w:themeColor="text1"/>
          <w:sz w:val="20"/>
          <w:szCs w:val="20"/>
        </w:rPr>
        <w:t>a</w:t>
      </w:r>
      <w:proofErr w:type="spellEnd"/>
      <w:r w:rsidRPr="002F109F">
        <w:rPr>
          <w:color w:val="000000" w:themeColor="text1"/>
          <w:sz w:val="20"/>
          <w:szCs w:val="20"/>
        </w:rPr>
        <w:t xml:space="preserve"> B Smlouvy;</w:t>
      </w:r>
    </w:p>
    <w:p w14:paraId="6B5DA7A2"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Rozhraním API</w:t>
      </w:r>
      <w:r w:rsidRPr="002F109F">
        <w:rPr>
          <w:color w:val="000000" w:themeColor="text1"/>
          <w:sz w:val="20"/>
          <w:szCs w:val="20"/>
        </w:rPr>
        <w:t xml:space="preserve"> se rozumí strojový přístup k registru ORCID prostřednictvím členského Oprávnění API;</w:t>
      </w:r>
    </w:p>
    <w:p w14:paraId="02F4F069"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 xml:space="preserve">Službami </w:t>
      </w:r>
      <w:r w:rsidRPr="002F109F">
        <w:rPr>
          <w:color w:val="000000" w:themeColor="text1"/>
          <w:sz w:val="20"/>
          <w:szCs w:val="20"/>
        </w:rPr>
        <w:t xml:space="preserve">se rozumí licence k užívání členského Rozhraní API, které </w:t>
      </w:r>
      <w:r w:rsidRPr="002F109F">
        <w:rPr>
          <w:sz w:val="20"/>
          <w:szCs w:val="20"/>
        </w:rPr>
        <w:t xml:space="preserve">umožňuje strojový přístup k registru ORCID, jenž </w:t>
      </w:r>
      <w:r w:rsidRPr="002F109F">
        <w:rPr>
          <w:color w:val="000000" w:themeColor="text1"/>
          <w:sz w:val="20"/>
          <w:szCs w:val="20"/>
        </w:rPr>
        <w:t xml:space="preserve">obsahuje jedinečné trvalé identifikátory a seznam aktivit k nim připojených; </w:t>
      </w:r>
    </w:p>
    <w:p w14:paraId="09B797AE"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 xml:space="preserve">Smlouvou o vedení konsorcia </w:t>
      </w:r>
      <w:r w:rsidRPr="002F109F">
        <w:rPr>
          <w:color w:val="000000" w:themeColor="text1"/>
          <w:sz w:val="20"/>
          <w:szCs w:val="20"/>
        </w:rPr>
        <w:t xml:space="preserve">se rozumí smlouva mezi NTK a společností ORCID, jež tvoří společně se Smluvními podmínkami přílohu A Smlouvy a jejíž znění je dostupné zde: </w:t>
      </w:r>
      <w:hyperlink r:id="rId9">
        <w:r w:rsidRPr="2C844907">
          <w:rPr>
            <w:rStyle w:val="Hypertextovodkaz"/>
            <w:rFonts w:cs="Open Sans"/>
            <w:sz w:val="20"/>
            <w:szCs w:val="20"/>
          </w:rPr>
          <w:t>https://doi.org/10.48813/pa9v-v263</w:t>
        </w:r>
      </w:hyperlink>
      <w:r w:rsidRPr="2C844907">
        <w:rPr>
          <w:color w:val="000000" w:themeColor="text1"/>
          <w:sz w:val="20"/>
          <w:szCs w:val="20"/>
        </w:rPr>
        <w:t>;</w:t>
      </w:r>
      <w:r w:rsidRPr="002F109F">
        <w:rPr>
          <w:color w:val="000000" w:themeColor="text1"/>
          <w:sz w:val="20"/>
          <w:szCs w:val="20"/>
        </w:rPr>
        <w:t xml:space="preserve"> </w:t>
      </w:r>
    </w:p>
    <w:p w14:paraId="6342B625"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Smluvními podmínkami</w:t>
      </w:r>
      <w:r w:rsidRPr="002F109F">
        <w:rPr>
          <w:color w:val="000000" w:themeColor="text1"/>
          <w:sz w:val="20"/>
          <w:szCs w:val="20"/>
        </w:rPr>
        <w:t xml:space="preserve"> se rozumí adhezní smluvní podmínky užívání Služeb, závazné pro NTK a Uživatele. Tyto podmínky užívání Služeb jsou nedílnou součástí Smlouvy o vedení konsorcia, kterou uzavřela NTK se společností ORCID. Smluvní podmínky tvoří společně se Smlouvou o vedení konsorcia přílohu A Smlouvy a jejich znění je dostupné zde: </w:t>
      </w:r>
      <w:hyperlink r:id="rId10">
        <w:r w:rsidRPr="2C844907">
          <w:rPr>
            <w:rStyle w:val="Hypertextovodkaz"/>
            <w:rFonts w:cs="Open Sans"/>
            <w:sz w:val="20"/>
            <w:szCs w:val="20"/>
          </w:rPr>
          <w:t>https://doi.org/10.48813/pa9v-v263</w:t>
        </w:r>
      </w:hyperlink>
      <w:r w:rsidRPr="2C844907">
        <w:rPr>
          <w:color w:val="000000" w:themeColor="text1"/>
          <w:sz w:val="20"/>
          <w:szCs w:val="20"/>
        </w:rPr>
        <w:t>;</w:t>
      </w:r>
    </w:p>
    <w:p w14:paraId="1152824D"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 xml:space="preserve">Souvisejícími službami </w:t>
      </w:r>
      <w:r w:rsidRPr="002F109F">
        <w:rPr>
          <w:color w:val="000000" w:themeColor="text1"/>
          <w:sz w:val="20"/>
          <w:szCs w:val="20"/>
        </w:rPr>
        <w:t xml:space="preserve">se rozumí služby, které poskytuje NTK (Národní centrum ORCID) na základě Smluvních podmínek a které napomohou integraci služeb ORCID do systémů Uživatele, specifikované zejména na webové stránce: </w:t>
      </w:r>
      <w:hyperlink r:id="rId11">
        <w:r w:rsidRPr="002F109F">
          <w:rPr>
            <w:color w:val="0000FF"/>
            <w:sz w:val="20"/>
            <w:szCs w:val="20"/>
            <w:u w:val="single"/>
          </w:rPr>
          <w:t>https://info.orcid.org/orcid-for-consortia/roles-and-responsiblities/</w:t>
        </w:r>
      </w:hyperlink>
      <w:r w:rsidRPr="002F109F">
        <w:rPr>
          <w:color w:val="000000" w:themeColor="text1"/>
          <w:sz w:val="20"/>
          <w:szCs w:val="20"/>
        </w:rPr>
        <w:t xml:space="preserve">; </w:t>
      </w:r>
    </w:p>
    <w:p w14:paraId="255D7880"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Společností ORCID</w:t>
      </w:r>
      <w:r w:rsidRPr="002F109F">
        <w:rPr>
          <w:color w:val="000000" w:themeColor="text1"/>
          <w:sz w:val="20"/>
          <w:szCs w:val="20"/>
        </w:rPr>
        <w:t xml:space="preserve"> se rozumí nezisková organizace se sídlem 10411 Motor City Drive, </w:t>
      </w:r>
      <w:proofErr w:type="spellStart"/>
      <w:r w:rsidRPr="002F109F">
        <w:rPr>
          <w:color w:val="000000" w:themeColor="text1"/>
          <w:sz w:val="20"/>
          <w:szCs w:val="20"/>
        </w:rPr>
        <w:t>Suite</w:t>
      </w:r>
      <w:proofErr w:type="spellEnd"/>
      <w:r w:rsidRPr="002F109F">
        <w:rPr>
          <w:color w:val="000000" w:themeColor="text1"/>
          <w:sz w:val="20"/>
          <w:szCs w:val="20"/>
        </w:rPr>
        <w:t xml:space="preserve"> 750, </w:t>
      </w:r>
      <w:proofErr w:type="spellStart"/>
      <w:r w:rsidRPr="002F109F">
        <w:rPr>
          <w:color w:val="000000" w:themeColor="text1"/>
          <w:sz w:val="20"/>
          <w:szCs w:val="20"/>
        </w:rPr>
        <w:t>Bethesda</w:t>
      </w:r>
      <w:proofErr w:type="spellEnd"/>
      <w:r w:rsidRPr="002F109F">
        <w:rPr>
          <w:color w:val="000000" w:themeColor="text1"/>
          <w:sz w:val="20"/>
          <w:szCs w:val="20"/>
        </w:rPr>
        <w:t xml:space="preserve"> MD 20817, USA</w:t>
      </w:r>
      <w:r w:rsidRPr="002F109F">
        <w:rPr>
          <w:sz w:val="20"/>
          <w:szCs w:val="20"/>
        </w:rPr>
        <w:t xml:space="preserve">; registrovaná ve státě Delaware podle United </w:t>
      </w:r>
      <w:proofErr w:type="spellStart"/>
      <w:r w:rsidRPr="002F109F">
        <w:rPr>
          <w:sz w:val="20"/>
          <w:szCs w:val="20"/>
        </w:rPr>
        <w:t>States</w:t>
      </w:r>
      <w:proofErr w:type="spellEnd"/>
      <w:r w:rsidRPr="002F109F">
        <w:rPr>
          <w:sz w:val="20"/>
          <w:szCs w:val="20"/>
        </w:rPr>
        <w:t xml:space="preserve"> </w:t>
      </w:r>
      <w:proofErr w:type="spellStart"/>
      <w:r w:rsidRPr="002F109F">
        <w:rPr>
          <w:sz w:val="20"/>
          <w:szCs w:val="20"/>
        </w:rPr>
        <w:t>Code</w:t>
      </w:r>
      <w:proofErr w:type="spellEnd"/>
      <w:r w:rsidRPr="002F109F">
        <w:rPr>
          <w:sz w:val="20"/>
          <w:szCs w:val="20"/>
        </w:rPr>
        <w:t xml:space="preserve"> </w:t>
      </w:r>
      <w:proofErr w:type="spellStart"/>
      <w:r w:rsidRPr="002F109F">
        <w:rPr>
          <w:sz w:val="20"/>
          <w:szCs w:val="20"/>
        </w:rPr>
        <w:t>Title</w:t>
      </w:r>
      <w:proofErr w:type="spellEnd"/>
      <w:r w:rsidRPr="002F109F">
        <w:rPr>
          <w:sz w:val="20"/>
          <w:szCs w:val="20"/>
        </w:rPr>
        <w:t xml:space="preserve"> </w:t>
      </w:r>
      <w:r w:rsidRPr="002F109F">
        <w:rPr>
          <w:sz w:val="20"/>
          <w:szCs w:val="20"/>
        </w:rPr>
        <w:lastRenderedPageBreak/>
        <w:t>26 - INTERNAL REVENUE CODE § 501(c)(3);</w:t>
      </w:r>
      <w:r w:rsidRPr="002F109F">
        <w:rPr>
          <w:color w:val="000000" w:themeColor="text1"/>
          <w:sz w:val="20"/>
          <w:szCs w:val="20"/>
        </w:rPr>
        <w:t xml:space="preserve"> poskytující na základě licenčního oprávnění Uživateli Služby;</w:t>
      </w:r>
    </w:p>
    <w:p w14:paraId="0DE486A4"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 xml:space="preserve">Standardními smluvními doložkami pro předávání údajů </w:t>
      </w:r>
      <w:r w:rsidRPr="002F109F">
        <w:rPr>
          <w:color w:val="000000" w:themeColor="text1"/>
          <w:sz w:val="20"/>
          <w:szCs w:val="20"/>
        </w:rPr>
        <w:t xml:space="preserve">se rozumí smluvní doložka závazná pro Společnost ORCID, jež zakotvuje, že Společnost ORCID zajistí úroveň ochrany osobních údajů odpovídající požadavkům evropských zákonů a předpisů na ochranu osobních údajů (Standard </w:t>
      </w:r>
      <w:proofErr w:type="spellStart"/>
      <w:r w:rsidRPr="002F109F">
        <w:rPr>
          <w:color w:val="000000" w:themeColor="text1"/>
          <w:sz w:val="20"/>
          <w:szCs w:val="20"/>
        </w:rPr>
        <w:t>Contractual</w:t>
      </w:r>
      <w:proofErr w:type="spellEnd"/>
      <w:r w:rsidRPr="002F109F">
        <w:rPr>
          <w:color w:val="000000" w:themeColor="text1"/>
          <w:sz w:val="20"/>
          <w:szCs w:val="20"/>
        </w:rPr>
        <w:t xml:space="preserve"> </w:t>
      </w:r>
      <w:proofErr w:type="spellStart"/>
      <w:r w:rsidRPr="002F109F">
        <w:rPr>
          <w:color w:val="000000" w:themeColor="text1"/>
          <w:sz w:val="20"/>
          <w:szCs w:val="20"/>
        </w:rPr>
        <w:t>Clauses</w:t>
      </w:r>
      <w:proofErr w:type="spellEnd"/>
      <w:r w:rsidRPr="002F109F">
        <w:rPr>
          <w:color w:val="000000" w:themeColor="text1"/>
          <w:sz w:val="20"/>
          <w:szCs w:val="20"/>
        </w:rPr>
        <w:t xml:space="preserve">). </w:t>
      </w:r>
      <w:r w:rsidRPr="2C844907">
        <w:rPr>
          <w:color w:val="000000" w:themeColor="text1"/>
          <w:sz w:val="20"/>
          <w:szCs w:val="20"/>
        </w:rPr>
        <w:t xml:space="preserve">Tvoří přílohu B Smlouvy a jejich znění je dostupné zde: </w:t>
      </w:r>
      <w:hyperlink r:id="rId12">
        <w:r w:rsidRPr="2C844907">
          <w:rPr>
            <w:rStyle w:val="Hypertextovodkaz"/>
            <w:rFonts w:cs="Open Sans"/>
            <w:sz w:val="20"/>
            <w:szCs w:val="20"/>
          </w:rPr>
          <w:t>https://doi.org/10.48813/b8yj-t884</w:t>
        </w:r>
      </w:hyperlink>
      <w:r w:rsidRPr="2C844907">
        <w:rPr>
          <w:color w:val="000000" w:themeColor="text1"/>
          <w:sz w:val="20"/>
          <w:szCs w:val="20"/>
        </w:rPr>
        <w:t xml:space="preserve">; </w:t>
      </w:r>
    </w:p>
    <w:p w14:paraId="130E07A4" w14:textId="77777777" w:rsidR="00F81610" w:rsidRPr="002F109F" w:rsidRDefault="00F81610" w:rsidP="00F81610">
      <w:pPr>
        <w:numPr>
          <w:ilvl w:val="2"/>
          <w:numId w:val="1"/>
        </w:numPr>
        <w:spacing w:line="276" w:lineRule="auto"/>
        <w:rPr>
          <w:sz w:val="20"/>
          <w:szCs w:val="20"/>
        </w:rPr>
      </w:pPr>
      <w:r w:rsidRPr="002F109F">
        <w:rPr>
          <w:b/>
          <w:bCs/>
          <w:color w:val="000000" w:themeColor="text1"/>
          <w:sz w:val="20"/>
          <w:szCs w:val="20"/>
        </w:rPr>
        <w:t>Uživatelem</w:t>
      </w:r>
      <w:r w:rsidRPr="002F109F">
        <w:rPr>
          <w:color w:val="000000" w:themeColor="text1"/>
          <w:sz w:val="20"/>
          <w:szCs w:val="20"/>
        </w:rPr>
        <w:t xml:space="preserve"> se rozumí Smluvní strana Smlouvy, která je vysokoškolskou institucí nebo neziskovou organizací nebo výzkumnou organizací nebo výzkum financující agenturou se sídlem v České republice, zřízená podle zákonů České republiky a má zájem o čerpání Služeb na základě Smlouvy;</w:t>
      </w:r>
    </w:p>
    <w:p w14:paraId="1C47CBB0" w14:textId="77777777" w:rsidR="00F81610" w:rsidRPr="00F81610" w:rsidRDefault="00F81610" w:rsidP="00F81610">
      <w:pPr>
        <w:numPr>
          <w:ilvl w:val="2"/>
          <w:numId w:val="1"/>
        </w:numPr>
        <w:spacing w:line="276" w:lineRule="auto"/>
        <w:rPr>
          <w:sz w:val="20"/>
          <w:szCs w:val="20"/>
        </w:rPr>
      </w:pPr>
      <w:r w:rsidRPr="002F109F">
        <w:rPr>
          <w:b/>
          <w:bCs/>
          <w:color w:val="000000" w:themeColor="text1"/>
          <w:sz w:val="20"/>
          <w:szCs w:val="20"/>
        </w:rPr>
        <w:t>Zdrojem financování</w:t>
      </w:r>
      <w:r w:rsidRPr="002F109F">
        <w:rPr>
          <w:color w:val="000000" w:themeColor="text1"/>
          <w:sz w:val="20"/>
          <w:szCs w:val="20"/>
        </w:rPr>
        <w:t xml:space="preserve"> se rozumí projekt Czech </w:t>
      </w:r>
      <w:proofErr w:type="spellStart"/>
      <w:r w:rsidRPr="002F109F">
        <w:rPr>
          <w:color w:val="000000" w:themeColor="text1"/>
          <w:sz w:val="20"/>
          <w:szCs w:val="20"/>
        </w:rPr>
        <w:t>Academic</w:t>
      </w:r>
      <w:proofErr w:type="spellEnd"/>
      <w:r w:rsidRPr="002F109F">
        <w:rPr>
          <w:color w:val="000000" w:themeColor="text1"/>
          <w:sz w:val="20"/>
          <w:szCs w:val="20"/>
        </w:rPr>
        <w:t xml:space="preserve"> and Research </w:t>
      </w:r>
      <w:proofErr w:type="spellStart"/>
      <w:r w:rsidRPr="002F109F">
        <w:rPr>
          <w:color w:val="000000" w:themeColor="text1"/>
          <w:sz w:val="20"/>
          <w:szCs w:val="20"/>
        </w:rPr>
        <w:t>Discovery</w:t>
      </w:r>
      <w:proofErr w:type="spellEnd"/>
      <w:r w:rsidRPr="002F109F">
        <w:rPr>
          <w:color w:val="000000" w:themeColor="text1"/>
          <w:sz w:val="20"/>
          <w:szCs w:val="20"/>
        </w:rPr>
        <w:t xml:space="preserve"> </w:t>
      </w:r>
      <w:proofErr w:type="spellStart"/>
      <w:r w:rsidRPr="002F109F">
        <w:rPr>
          <w:color w:val="000000" w:themeColor="text1"/>
          <w:sz w:val="20"/>
          <w:szCs w:val="20"/>
        </w:rPr>
        <w:t>Services</w:t>
      </w:r>
      <w:proofErr w:type="spellEnd"/>
      <w:r w:rsidRPr="002F109F">
        <w:rPr>
          <w:color w:val="000000" w:themeColor="text1"/>
          <w:sz w:val="20"/>
          <w:szCs w:val="20"/>
        </w:rPr>
        <w:t xml:space="preserve"> (CARDS), registrační číslo projektu: CZ.02.01.01/00/22_004/0004342 (O</w:t>
      </w:r>
      <w:r w:rsidRPr="002F109F">
        <w:rPr>
          <w:rStyle w:val="ui-provider"/>
          <w:rFonts w:cs="Open Sans"/>
          <w:sz w:val="20"/>
          <w:szCs w:val="20"/>
        </w:rPr>
        <w:t xml:space="preserve">perační program Jan Amos Komenský), </w:t>
      </w:r>
      <w:r w:rsidRPr="002F109F">
        <w:rPr>
          <w:color w:val="000000" w:themeColor="text1"/>
          <w:sz w:val="20"/>
          <w:szCs w:val="20"/>
        </w:rPr>
        <w:t>realizovaný v letech 2023 až 2028, který realizuje NTK.</w:t>
      </w:r>
    </w:p>
    <w:p w14:paraId="095DDFC1" w14:textId="77777777" w:rsidR="00F81610" w:rsidRPr="002F109F" w:rsidRDefault="00F81610" w:rsidP="00F81610">
      <w:pPr>
        <w:spacing w:line="276" w:lineRule="auto"/>
        <w:ind w:left="850"/>
        <w:rPr>
          <w:sz w:val="20"/>
          <w:szCs w:val="20"/>
        </w:rPr>
      </w:pPr>
    </w:p>
    <w:p w14:paraId="715DA728" w14:textId="77777777" w:rsidR="00F81610" w:rsidRDefault="00F81610" w:rsidP="00F81610">
      <w:pPr>
        <w:pStyle w:val="Nadpis2"/>
        <w:numPr>
          <w:ilvl w:val="0"/>
          <w:numId w:val="1"/>
        </w:numPr>
        <w:ind w:left="0" w:firstLine="0"/>
      </w:pPr>
      <w:bookmarkStart w:id="5" w:name="_heading=h.vgxiqea1plqh"/>
      <w:bookmarkStart w:id="6" w:name="_heading=h.rtuq8lrvxlaq" w:colFirst="0" w:colLast="0"/>
      <w:bookmarkEnd w:id="5"/>
      <w:bookmarkEnd w:id="6"/>
      <w:r>
        <w:t xml:space="preserve"> </w:t>
      </w:r>
      <w:r w:rsidRPr="002F109F">
        <w:t>Práva a povinnosti NTK při zajišťování Služeb</w:t>
      </w:r>
    </w:p>
    <w:p w14:paraId="30E2A4A4" w14:textId="77777777" w:rsidR="00F81610" w:rsidRPr="00F81610" w:rsidRDefault="00F81610" w:rsidP="00F81610"/>
    <w:p w14:paraId="01D2EBD8"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Uživatel tímto zplnomocňuje NTK k úkonům dle tohoto článku Smlouvy a souvisejícím úkonům, které jsou nutné pro poskytování Služeb dle této Smlouvy.</w:t>
      </w:r>
    </w:p>
    <w:p w14:paraId="13AE5CCB"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Smluvní strany tímto sjednávají, že NTK bezúplatně, na základě tohoto zplnomocnění Uživatele: </w:t>
      </w:r>
    </w:p>
    <w:p w14:paraId="232A8861" w14:textId="77777777" w:rsidR="00F81610" w:rsidRPr="002F109F" w:rsidRDefault="00F81610" w:rsidP="00F81610">
      <w:pPr>
        <w:numPr>
          <w:ilvl w:val="3"/>
          <w:numId w:val="1"/>
        </w:numPr>
        <w:spacing w:line="276" w:lineRule="auto"/>
        <w:ind w:left="993" w:hanging="566"/>
        <w:rPr>
          <w:sz w:val="20"/>
          <w:szCs w:val="20"/>
        </w:rPr>
      </w:pPr>
      <w:r w:rsidRPr="002F109F">
        <w:rPr>
          <w:color w:val="000000" w:themeColor="text1"/>
          <w:sz w:val="20"/>
          <w:szCs w:val="20"/>
        </w:rPr>
        <w:t xml:space="preserve">zpřístupní Uživateli Služby předáním požadovaných údajů o Uživateli Společnosti ORCID a uhrazením Poplatků ze Zdroje financování; </w:t>
      </w:r>
    </w:p>
    <w:p w14:paraId="31BEB74C" w14:textId="77777777" w:rsidR="00F81610" w:rsidRPr="002F109F" w:rsidRDefault="00F81610" w:rsidP="00F81610">
      <w:pPr>
        <w:numPr>
          <w:ilvl w:val="3"/>
          <w:numId w:val="1"/>
        </w:numPr>
        <w:spacing w:line="276" w:lineRule="auto"/>
        <w:ind w:left="993" w:hanging="566"/>
        <w:rPr>
          <w:sz w:val="20"/>
          <w:szCs w:val="20"/>
        </w:rPr>
      </w:pPr>
      <w:r w:rsidRPr="002F109F">
        <w:rPr>
          <w:color w:val="000000" w:themeColor="text1"/>
          <w:sz w:val="20"/>
          <w:szCs w:val="20"/>
        </w:rPr>
        <w:t>poskytne Uživateli Související služby podle Smluvních podmínek; a</w:t>
      </w:r>
    </w:p>
    <w:p w14:paraId="7C8AB213" w14:textId="77777777" w:rsidR="00F81610" w:rsidRPr="002F109F" w:rsidRDefault="00F81610" w:rsidP="00F81610">
      <w:pPr>
        <w:numPr>
          <w:ilvl w:val="3"/>
          <w:numId w:val="1"/>
        </w:numPr>
        <w:spacing w:line="276" w:lineRule="auto"/>
        <w:ind w:left="993" w:hanging="566"/>
        <w:rPr>
          <w:color w:val="000000" w:themeColor="text1"/>
          <w:sz w:val="20"/>
          <w:szCs w:val="20"/>
        </w:rPr>
      </w:pPr>
      <w:r w:rsidRPr="002F109F">
        <w:rPr>
          <w:color w:val="000000" w:themeColor="text1"/>
          <w:sz w:val="20"/>
          <w:szCs w:val="20"/>
        </w:rPr>
        <w:t>informuje a koordinovat Uživatele za účelem řádného čerpání služeb (dále specifikováno v odst. 3</w:t>
      </w:r>
      <w:r>
        <w:rPr>
          <w:color w:val="000000" w:themeColor="text1"/>
          <w:sz w:val="20"/>
          <w:szCs w:val="20"/>
        </w:rPr>
        <w:t>.5</w:t>
      </w:r>
      <w:r w:rsidRPr="002F109F">
        <w:rPr>
          <w:color w:val="000000" w:themeColor="text1"/>
          <w:sz w:val="20"/>
          <w:szCs w:val="20"/>
        </w:rPr>
        <w:t xml:space="preserve">. Smlouvy), </w:t>
      </w:r>
    </w:p>
    <w:p w14:paraId="6FDE9070"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NTK se zavazuje plnit závazky, které pro ni ze Smlouvy a Příloh plynou.</w:t>
      </w:r>
    </w:p>
    <w:p w14:paraId="48581D89"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Smluvní strany tímto sjednávají, že NTK včas zajistí na základě zplnomocnění Uživatele dle této Smlouvy uhrazení Poplatků ORCIDU v souladu se Smlouvou o vedení konsorcia. </w:t>
      </w:r>
    </w:p>
    <w:p w14:paraId="7771EC8E"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NTK se zavazuje pravidelně informovat Uživatele o své činnosti související se Smlouvou, se Službami a Souvisejícími službami na pravidelných poradách nebo jiných schůzkách podle dohody Smluvních stran. NTK je povinna písemně oznámit Uživateli konání takové porady nebo jiné schůzky alespoň 14 dnů před konáním této porady nebo schůzky. NTK vezme v úvahu při plánování porad a schůzek časové možnosti Uživatele.</w:t>
      </w:r>
    </w:p>
    <w:p w14:paraId="688CF0FB"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Veškerá komunikace Uživatele se Společností ORCID bude probíhat prostřednictvím NTK, která je povinna postupovat při zajišťování předmětu Smlouvy s odbornou péčí, pracovat na profesionální úrovni a chránit zájmy Uživatele.</w:t>
      </w:r>
    </w:p>
    <w:p w14:paraId="0205AE85" w14:textId="77777777" w:rsidR="00F81610" w:rsidRPr="00F81610" w:rsidRDefault="00F81610" w:rsidP="00F81610">
      <w:pPr>
        <w:numPr>
          <w:ilvl w:val="1"/>
          <w:numId w:val="1"/>
        </w:numPr>
        <w:spacing w:line="276" w:lineRule="auto"/>
        <w:ind w:left="426" w:hanging="426"/>
        <w:rPr>
          <w:sz w:val="20"/>
          <w:szCs w:val="20"/>
        </w:rPr>
      </w:pPr>
      <w:r w:rsidRPr="002F109F">
        <w:rPr>
          <w:sz w:val="20"/>
          <w:szCs w:val="20"/>
        </w:rPr>
        <w:t xml:space="preserve">Hlavní kontaktní údaj ke službám ORCID na straně NTK je e-mailová adresa: </w:t>
      </w:r>
      <w:hyperlink r:id="rId13" w:history="1">
        <w:r w:rsidRPr="00F22EA7">
          <w:rPr>
            <w:rStyle w:val="Hypertextovodkaz"/>
            <w:rFonts w:cs="Arial"/>
            <w:b/>
            <w:sz w:val="20"/>
            <w:szCs w:val="20"/>
          </w:rPr>
          <w:t>orcid@techlib.cz</w:t>
        </w:r>
      </w:hyperlink>
      <w:r w:rsidRPr="002F109F">
        <w:rPr>
          <w:b/>
          <w:sz w:val="20"/>
          <w:szCs w:val="20"/>
        </w:rPr>
        <w:t>.</w:t>
      </w:r>
    </w:p>
    <w:p w14:paraId="2F04D5EC" w14:textId="77777777" w:rsidR="00F81610" w:rsidRPr="002F109F" w:rsidRDefault="00F81610" w:rsidP="00F81610">
      <w:pPr>
        <w:spacing w:line="276" w:lineRule="auto"/>
        <w:ind w:left="426"/>
        <w:rPr>
          <w:sz w:val="20"/>
          <w:szCs w:val="20"/>
        </w:rPr>
      </w:pPr>
    </w:p>
    <w:p w14:paraId="678F7BA7" w14:textId="77777777" w:rsidR="00F81610" w:rsidRDefault="00F81610" w:rsidP="00F81610">
      <w:pPr>
        <w:pStyle w:val="Nadpis2"/>
        <w:numPr>
          <w:ilvl w:val="0"/>
          <w:numId w:val="1"/>
        </w:numPr>
        <w:ind w:left="0" w:firstLine="0"/>
      </w:pPr>
      <w:bookmarkStart w:id="7" w:name="_heading=h.8irg8qrttyyb" w:colFirst="0" w:colLast="0"/>
      <w:bookmarkEnd w:id="7"/>
      <w:r>
        <w:t xml:space="preserve"> </w:t>
      </w:r>
      <w:r w:rsidRPr="002F109F">
        <w:t>Práva a povinnosti Uživatele při využívání Služeb</w:t>
      </w:r>
    </w:p>
    <w:p w14:paraId="06879A00" w14:textId="77777777" w:rsidR="00F81610" w:rsidRPr="00F81610" w:rsidRDefault="00F81610" w:rsidP="00F81610"/>
    <w:p w14:paraId="1B2BADCC" w14:textId="551466C8"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Služby může Uživatel čerpat nejdříve od </w:t>
      </w:r>
      <w:r w:rsidRPr="00970827">
        <w:rPr>
          <w:sz w:val="20"/>
          <w:szCs w:val="20"/>
        </w:rPr>
        <w:t xml:space="preserve">1. </w:t>
      </w:r>
      <w:r w:rsidR="00970827" w:rsidRPr="00970827">
        <w:rPr>
          <w:sz w:val="20"/>
          <w:szCs w:val="20"/>
        </w:rPr>
        <w:t>července</w:t>
      </w:r>
      <w:r w:rsidRPr="002F109F">
        <w:rPr>
          <w:sz w:val="20"/>
          <w:szCs w:val="20"/>
        </w:rPr>
        <w:t xml:space="preserve"> roku uzavření Smlouvy.</w:t>
      </w:r>
    </w:p>
    <w:p w14:paraId="75B71CA2"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Uživatel potvrzuje, že se s obsahem Příloh Smlouvy detailně seznámil a zavazuje se plnit závazky, které pro něj z Příloh Smlouvy plynou, a k dodržování těchto závazků zaváže i všechny své zaměstnance a kontraktory při činnosti související se Službami a Souvisejícími službami. </w:t>
      </w:r>
    </w:p>
    <w:p w14:paraId="0CD27588"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Uživatel je povinen předat včas NTK veškeré podklady, dokumenty a informace, jež jsou potřebné ke splnění Smlouvy. Současně se zavazuje s NTK spolupracovat v rozsahu potřebném k naplnění účelu této Smlouvy.</w:t>
      </w:r>
    </w:p>
    <w:p w14:paraId="00F38D7F"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Uživatel tímto uděluje souhlas s použitím svého oficiálního názvu a loga na webových stránkách Společnosti ORCID orcid.org pro účely prezentace poskytování služeb ORCID.</w:t>
      </w:r>
    </w:p>
    <w:p w14:paraId="1A87DF43"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Uživatel tímto uděluje souhlas s použitím svého oficiálního názvu a loga na webových stránkách NTK, jimiž jsou orcid-cz.org a identifikatory.cz pro účely prezentace zprostředkování Služeb.</w:t>
      </w:r>
    </w:p>
    <w:p w14:paraId="698CC190"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lastRenderedPageBreak/>
        <w:t xml:space="preserve">Strany se zavazují vyvinout veškeré úsilí k efektivnímu využívání Služeb, zejména účastnit se schůzek, které organizuje NTK, a efektivně implementovat Služby ve své instituci. </w:t>
      </w:r>
    </w:p>
    <w:p w14:paraId="57EAADCE"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Uživatel zajistí kontaktní osobu pro administrativu a kontaktní osobu pro technické záležitosti a zavazuje se při uzavření Smlouvy předat NTK kontaktní údaje pověřených osob na e-mailovou adresu: </w:t>
      </w:r>
      <w:hyperlink r:id="rId14" w:history="1">
        <w:r w:rsidRPr="002F109F">
          <w:rPr>
            <w:b/>
            <w:sz w:val="20"/>
            <w:szCs w:val="20"/>
          </w:rPr>
          <w:t>orcid@techlib.cz</w:t>
        </w:r>
      </w:hyperlink>
      <w:r w:rsidRPr="002F109F">
        <w:rPr>
          <w:b/>
          <w:sz w:val="20"/>
          <w:szCs w:val="20"/>
        </w:rPr>
        <w:t>.</w:t>
      </w:r>
      <w:r w:rsidRPr="002F109F">
        <w:rPr>
          <w:sz w:val="20"/>
          <w:szCs w:val="20"/>
        </w:rPr>
        <w:t xml:space="preserve"> Uživatel odpovídá za aktuálnost kontaktních údajů pověřených osob a souhlasí se zveřejněním těchto údajů na webu orcid-cz.org a identifikatory.cz.</w:t>
      </w:r>
    </w:p>
    <w:p w14:paraId="611A9CFD" w14:textId="77777777" w:rsidR="00F81610" w:rsidRPr="002F109F" w:rsidRDefault="00F81610" w:rsidP="00F81610">
      <w:pPr>
        <w:numPr>
          <w:ilvl w:val="1"/>
          <w:numId w:val="1"/>
        </w:numPr>
        <w:spacing w:line="276" w:lineRule="auto"/>
        <w:ind w:left="426" w:hanging="426"/>
        <w:rPr>
          <w:b/>
          <w:sz w:val="20"/>
          <w:szCs w:val="20"/>
        </w:rPr>
      </w:pPr>
      <w:r w:rsidRPr="002F109F">
        <w:rPr>
          <w:sz w:val="20"/>
          <w:szCs w:val="20"/>
        </w:rPr>
        <w:t xml:space="preserve">Uživatel je povinen oznámit bez zbytečného odkladu jakékoli změny v kontaktních údajích na e-mailovou adresu: </w:t>
      </w:r>
      <w:r w:rsidRPr="002F109F">
        <w:rPr>
          <w:b/>
          <w:sz w:val="20"/>
          <w:szCs w:val="20"/>
        </w:rPr>
        <w:t xml:space="preserve">orcid@techlib.cz. </w:t>
      </w:r>
    </w:p>
    <w:p w14:paraId="550577FE" w14:textId="77777777" w:rsidR="00F81610" w:rsidRDefault="00F81610" w:rsidP="00F81610">
      <w:pPr>
        <w:numPr>
          <w:ilvl w:val="1"/>
          <w:numId w:val="1"/>
        </w:numPr>
        <w:spacing w:line="276" w:lineRule="auto"/>
        <w:ind w:left="426" w:hanging="426"/>
        <w:rPr>
          <w:sz w:val="20"/>
          <w:szCs w:val="20"/>
        </w:rPr>
      </w:pPr>
      <w:r w:rsidRPr="002F109F">
        <w:rPr>
          <w:sz w:val="20"/>
          <w:szCs w:val="20"/>
        </w:rPr>
        <w:t>Uživatel se zavazuje poskytnout NTK potřebnou součinnost při kontrolách, kterým podléhá NTK ze zákona nebo podle pravidel souvisejících s financováním Služeb (operační program Jan Amos Komenský), a případně se sám podrobit této kontrole ze strany kontrolních orgánů v souvislosti s plněním Smlouvy.</w:t>
      </w:r>
    </w:p>
    <w:p w14:paraId="4DD91C32" w14:textId="77777777" w:rsidR="00F81610" w:rsidRPr="002F109F" w:rsidRDefault="00F81610" w:rsidP="00F81610">
      <w:pPr>
        <w:spacing w:line="276" w:lineRule="auto"/>
        <w:ind w:left="426"/>
        <w:rPr>
          <w:sz w:val="20"/>
          <w:szCs w:val="20"/>
        </w:rPr>
      </w:pPr>
    </w:p>
    <w:p w14:paraId="1D1B8A99" w14:textId="77777777" w:rsidR="00F81610" w:rsidRDefault="00F81610" w:rsidP="00F81610">
      <w:pPr>
        <w:pStyle w:val="Nadpis2"/>
        <w:numPr>
          <w:ilvl w:val="0"/>
          <w:numId w:val="1"/>
        </w:numPr>
        <w:ind w:left="0" w:firstLine="0"/>
      </w:pPr>
      <w:bookmarkStart w:id="8" w:name="_heading=h.24k9nx9csodf" w:colFirst="0" w:colLast="0"/>
      <w:bookmarkEnd w:id="8"/>
      <w:r>
        <w:t xml:space="preserve"> </w:t>
      </w:r>
      <w:r w:rsidRPr="002F109F">
        <w:t>Práva duševního vlastnictví</w:t>
      </w:r>
    </w:p>
    <w:p w14:paraId="44A0E0A8" w14:textId="77777777" w:rsidR="00F81610" w:rsidRPr="00F81610" w:rsidRDefault="00F81610" w:rsidP="00F81610"/>
    <w:p w14:paraId="6AD75509"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 xml:space="preserve">Smluvní strany se dohodly na tom, že jakýkoliv předmět Práva duševního vlastnictví vzniklý v rámci poskytování Služeb a Souvisejících služeb bude ve vlastnictví té Smluvní strany, která ho vytvořila jako zaměstnanecké dílo podle </w:t>
      </w:r>
      <w:bookmarkStart w:id="9" w:name="_Hlk132896898"/>
      <w:r w:rsidRPr="002F109F">
        <w:rPr>
          <w:sz w:val="20"/>
          <w:szCs w:val="20"/>
        </w:rPr>
        <w:t>zákona č. 121/2000 Sb., o právu autorském, o právech souvisejících s právem autorským a o změně některých zákonů, ve znění pozdějších předpisů, (dále jen „autorský zákon</w:t>
      </w:r>
      <w:bookmarkEnd w:id="9"/>
      <w:r w:rsidRPr="002F109F">
        <w:rPr>
          <w:sz w:val="20"/>
          <w:szCs w:val="20"/>
        </w:rPr>
        <w:t>“) a pomocí vlastních materiálních a finančních vkladů, a to bez finančního nebo personálního přispění další Smluvní strany.</w:t>
      </w:r>
    </w:p>
    <w:p w14:paraId="61E62976"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Smluvní strany se dále zavazují zveřejnit výsledky vzniklé v rámci poskytování a využívání Služeb pod licencí CC BY 4.0 Mezinárodní</w:t>
      </w:r>
      <w:r w:rsidRPr="002F109F">
        <w:rPr>
          <w:sz w:val="20"/>
          <w:szCs w:val="20"/>
          <w:vertAlign w:val="superscript"/>
        </w:rPr>
        <w:footnoteReference w:id="1"/>
      </w:r>
      <w:r w:rsidRPr="002F109F">
        <w:rPr>
          <w:sz w:val="20"/>
          <w:szCs w:val="20"/>
        </w:rPr>
        <w:t xml:space="preserve"> nebo po dohodě Smluvních stran pod jinou licencí </w:t>
      </w:r>
      <w:proofErr w:type="spellStart"/>
      <w:r w:rsidRPr="002F109F">
        <w:rPr>
          <w:sz w:val="20"/>
          <w:szCs w:val="20"/>
        </w:rPr>
        <w:t>Creative</w:t>
      </w:r>
      <w:proofErr w:type="spellEnd"/>
      <w:r w:rsidRPr="002F109F">
        <w:rPr>
          <w:sz w:val="20"/>
          <w:szCs w:val="20"/>
        </w:rPr>
        <w:t xml:space="preserve"> </w:t>
      </w:r>
      <w:proofErr w:type="spellStart"/>
      <w:r w:rsidRPr="002F109F">
        <w:rPr>
          <w:sz w:val="20"/>
          <w:szCs w:val="20"/>
        </w:rPr>
        <w:t>Commons</w:t>
      </w:r>
      <w:proofErr w:type="spellEnd"/>
      <w:r w:rsidRPr="002F109F">
        <w:rPr>
          <w:sz w:val="20"/>
          <w:szCs w:val="20"/>
        </w:rPr>
        <w:t xml:space="preserve">, pokud tomu nebrání práva třetích stran nebo závazná pravidla financování Služeb. Zveřejňování výsledků se řídí zásadou „As Open as </w:t>
      </w:r>
      <w:proofErr w:type="spellStart"/>
      <w:r w:rsidRPr="002F109F">
        <w:rPr>
          <w:sz w:val="20"/>
          <w:szCs w:val="20"/>
        </w:rPr>
        <w:t>Possible</w:t>
      </w:r>
      <w:proofErr w:type="spellEnd"/>
      <w:r w:rsidRPr="002F109F">
        <w:rPr>
          <w:sz w:val="20"/>
          <w:szCs w:val="20"/>
        </w:rPr>
        <w:t xml:space="preserve">, As </w:t>
      </w:r>
      <w:proofErr w:type="spellStart"/>
      <w:r w:rsidRPr="002F109F">
        <w:rPr>
          <w:sz w:val="20"/>
          <w:szCs w:val="20"/>
        </w:rPr>
        <w:t>Closed</w:t>
      </w:r>
      <w:proofErr w:type="spellEnd"/>
      <w:r w:rsidRPr="002F109F">
        <w:rPr>
          <w:sz w:val="20"/>
          <w:szCs w:val="20"/>
        </w:rPr>
        <w:t xml:space="preserve"> as </w:t>
      </w:r>
      <w:proofErr w:type="spellStart"/>
      <w:r w:rsidRPr="002F109F">
        <w:rPr>
          <w:sz w:val="20"/>
          <w:szCs w:val="20"/>
        </w:rPr>
        <w:t>Necessary</w:t>
      </w:r>
      <w:proofErr w:type="spellEnd"/>
      <w:r w:rsidRPr="002F109F">
        <w:rPr>
          <w:sz w:val="20"/>
          <w:szCs w:val="20"/>
        </w:rPr>
        <w:t xml:space="preserve">“. </w:t>
      </w:r>
    </w:p>
    <w:p w14:paraId="55D182FC"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Vznikne-li nový předmět Práva duševního vlastnictví dle odst. 5.1. Smlouvy za přispění více Smluvních stran, je takový předmět Práva duševního vlastnictví ve spoluvlastnictví více Smluvních stran. Poměr podílů se odvíjí od výše podílu na činnostech při vzniku předmětu Práva duševního vlastnictví. U autorských děl se tento odstavec použije obdobně na výkon majetkových práv k autorskému dílu.</w:t>
      </w:r>
    </w:p>
    <w:p w14:paraId="619AE5B2" w14:textId="77777777" w:rsidR="00F81610" w:rsidRDefault="00F81610" w:rsidP="00F81610">
      <w:pPr>
        <w:numPr>
          <w:ilvl w:val="1"/>
          <w:numId w:val="1"/>
        </w:numPr>
        <w:spacing w:line="276" w:lineRule="auto"/>
        <w:ind w:left="426" w:hanging="425"/>
        <w:rPr>
          <w:sz w:val="20"/>
          <w:szCs w:val="20"/>
        </w:rPr>
      </w:pPr>
      <w:r w:rsidRPr="002F109F">
        <w:rPr>
          <w:sz w:val="20"/>
          <w:szCs w:val="20"/>
        </w:rPr>
        <w:t xml:space="preserve">Uživatel tímto souhlasí s ukládáním a zveřejňováním jakýchkoliv metodických materiálů zabývajících se užíváním Služeb, pokud jsou zaměstnaneckými díly Uživatele podle autorského zákona, a to v institucionálním repozitáři NTK, na webových stránkách NTK, jimiž jsou orcid-cz.org a identifikatory.cz a případně na dalších kanálech na základě domluvy Uživatele a NTK. </w:t>
      </w:r>
    </w:p>
    <w:p w14:paraId="0E6AC9F0" w14:textId="77777777" w:rsidR="00F81610" w:rsidRPr="002F109F" w:rsidRDefault="00F81610" w:rsidP="00F81610">
      <w:pPr>
        <w:spacing w:line="276" w:lineRule="auto"/>
        <w:ind w:left="426"/>
        <w:rPr>
          <w:sz w:val="20"/>
          <w:szCs w:val="20"/>
        </w:rPr>
      </w:pPr>
    </w:p>
    <w:p w14:paraId="31D1C1B9" w14:textId="77777777" w:rsidR="00F81610" w:rsidRDefault="00F81610" w:rsidP="00F81610">
      <w:pPr>
        <w:pStyle w:val="Nadpis2"/>
        <w:numPr>
          <w:ilvl w:val="0"/>
          <w:numId w:val="1"/>
        </w:numPr>
        <w:ind w:left="0" w:firstLine="0"/>
      </w:pPr>
      <w:bookmarkStart w:id="11" w:name="_heading=h.cw4pw7uu6jt" w:colFirst="0" w:colLast="0"/>
      <w:bookmarkEnd w:id="11"/>
      <w:r>
        <w:t xml:space="preserve"> </w:t>
      </w:r>
      <w:r w:rsidRPr="002F109F">
        <w:t>Model financování služeb</w:t>
      </w:r>
    </w:p>
    <w:p w14:paraId="57019F43" w14:textId="77777777" w:rsidR="00F81610" w:rsidRPr="00F81610" w:rsidRDefault="00F81610" w:rsidP="00F81610"/>
    <w:p w14:paraId="7447AAFF"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Poplatky za poskytování Služeb jsou v plné výši financovány prostřednictvím NTK ze Zdroje financování.</w:t>
      </w:r>
    </w:p>
    <w:p w14:paraId="7C77FAC9" w14:textId="77777777" w:rsidR="00F81610" w:rsidRPr="002F109F" w:rsidRDefault="00F81610" w:rsidP="00F81610">
      <w:pPr>
        <w:numPr>
          <w:ilvl w:val="1"/>
          <w:numId w:val="1"/>
        </w:numPr>
        <w:spacing w:line="276" w:lineRule="auto"/>
        <w:ind w:left="426" w:hanging="425"/>
        <w:rPr>
          <w:sz w:val="20"/>
          <w:szCs w:val="20"/>
        </w:rPr>
      </w:pPr>
      <w:bookmarkStart w:id="12" w:name="_Hlk132903442"/>
      <w:r w:rsidRPr="002F109F">
        <w:rPr>
          <w:sz w:val="20"/>
          <w:szCs w:val="20"/>
        </w:rPr>
        <w:t>Model financování je NTK oprávněna jednostranně změnit ze závažných důvodů, zejména však z důvodu vyčerpání Zdroje financování, a to s platností k datu nejbližšího automatického obnovení smlouvy dle čl. 7.1. Smlouvy. NTK bude Uživatele informovat o změně Modelu financování nejméně 120 dní před datem nejbližšího automatického obnovení Smlouvy</w:t>
      </w:r>
      <w:bookmarkEnd w:id="12"/>
      <w:r w:rsidRPr="002F109F">
        <w:rPr>
          <w:sz w:val="20"/>
          <w:szCs w:val="20"/>
        </w:rPr>
        <w:t>.</w:t>
      </w:r>
    </w:p>
    <w:p w14:paraId="21DCDE7E"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Související služby jsou Uživatelům poskytovány bezplatně.</w:t>
      </w:r>
    </w:p>
    <w:p w14:paraId="315049C9" w14:textId="77777777" w:rsidR="00F81610" w:rsidRPr="002F109F" w:rsidRDefault="00F81610" w:rsidP="00F81610">
      <w:pPr>
        <w:numPr>
          <w:ilvl w:val="1"/>
          <w:numId w:val="1"/>
        </w:numPr>
        <w:spacing w:line="276" w:lineRule="auto"/>
        <w:ind w:left="426" w:hanging="425"/>
        <w:rPr>
          <w:sz w:val="20"/>
          <w:szCs w:val="20"/>
        </w:rPr>
      </w:pPr>
      <w:r w:rsidRPr="002F109F">
        <w:rPr>
          <w:sz w:val="20"/>
          <w:szCs w:val="20"/>
        </w:rPr>
        <w:t>Strany se zavazují, v případě změny Modelu financování podle čl. 6.2 Smlouvy, upravit výslednou změnu dodatkem ke Smlouvě nebo vypovědět Smlouvu podle odst. 7.3 nebo 7.5 Smlouvy a plnit všechny případné povinnosti, které v souvislosti se změnou Modelu financování mohou vzniknout, zejména hrazení Poplatků ze strany Uživatele na základě upraveného Modelu financování.</w:t>
      </w:r>
    </w:p>
    <w:p w14:paraId="702B7ED4" w14:textId="77777777" w:rsidR="00F81610" w:rsidRDefault="00F81610" w:rsidP="00F81610">
      <w:pPr>
        <w:numPr>
          <w:ilvl w:val="1"/>
          <w:numId w:val="1"/>
        </w:numPr>
        <w:spacing w:line="276" w:lineRule="auto"/>
        <w:ind w:left="426" w:hanging="425"/>
        <w:rPr>
          <w:sz w:val="20"/>
          <w:szCs w:val="20"/>
        </w:rPr>
      </w:pPr>
      <w:r w:rsidRPr="002F109F">
        <w:rPr>
          <w:sz w:val="20"/>
          <w:szCs w:val="20"/>
        </w:rPr>
        <w:t>NTK je výhradně odpovědná za řádné čerpání Zdroje financování.</w:t>
      </w:r>
    </w:p>
    <w:p w14:paraId="4FAD90E9" w14:textId="77777777" w:rsidR="00F81610" w:rsidRPr="002F109F" w:rsidRDefault="00F81610" w:rsidP="00F81610">
      <w:pPr>
        <w:spacing w:line="276" w:lineRule="auto"/>
        <w:ind w:left="426"/>
        <w:rPr>
          <w:sz w:val="20"/>
          <w:szCs w:val="20"/>
        </w:rPr>
      </w:pPr>
    </w:p>
    <w:p w14:paraId="509D2B43" w14:textId="77777777" w:rsidR="00F81610" w:rsidRDefault="00F81610" w:rsidP="00F81610">
      <w:pPr>
        <w:pStyle w:val="Nadpis2"/>
        <w:numPr>
          <w:ilvl w:val="0"/>
          <w:numId w:val="1"/>
        </w:numPr>
        <w:ind w:left="0" w:firstLine="0"/>
      </w:pPr>
      <w:bookmarkStart w:id="13" w:name="_heading=h.iqdjrahzy31z" w:colFirst="0" w:colLast="0"/>
      <w:bookmarkEnd w:id="13"/>
      <w:r>
        <w:t xml:space="preserve"> </w:t>
      </w:r>
      <w:r w:rsidRPr="002F109F">
        <w:t>Trvání smlouvy</w:t>
      </w:r>
    </w:p>
    <w:p w14:paraId="38918368" w14:textId="77777777" w:rsidR="00F81610" w:rsidRPr="00F81610" w:rsidRDefault="00F81610" w:rsidP="00F81610"/>
    <w:p w14:paraId="416AECFF"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Smlouva se uzavírá ode dne podpisu všemi Smluvními stranami do konce kalendářního roku podpisu Smlouvy. Smlouva se automaticky obnovuje vždy na období jednoho roku od 1. ledna, pokud kdykoliv v průběhu roku, nejpozději však 90 dnů před datem obnovení Smlouvy nepodal Uživatel výpověď ze Smlouvy. Výpověď je nutné podat NTK doporučeně poštou nebo prostřednictvím datové schránky a její účinky nastávají k datu nejbližšího automatického obnovení Smlouvy. </w:t>
      </w:r>
    </w:p>
    <w:p w14:paraId="3E12BFAA"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Pokud Společnost ORCID upraví znění Smluvních podmínek uzavřených s NTK v souladu s ustanoveními oddílu 8.2 Smluvních podmínek (Příloha A), NTK oznámí Uživateli změny do 14 dnů od obdržení oznámení o změně. Pokud Uživatel vznese námitky proti jakýmkoli takovým úpravám, je Uživatel oprávněn vypovědět Smlouvu do 30 dnů od doručení takového oznámení s účinností ke dni účinnosti upravených Smluvních podmínek. Výpověď musí být doručena doporučeně poštou nebo prostřednictvím datové schránky.</w:t>
      </w:r>
    </w:p>
    <w:p w14:paraId="704FAC1B"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Pokud NTK změní Politiku Národního centra ORCID nebo Model financování, NTK oznámí Uživateli změny nejpozději 120 dní před datem nejbližšího automatického obnovení Smlouvy. Každý Uživatel je oprávněn vypovědět Smlouvu do 30 dnů od oznámení od NTK o změně Politiky Národního centra ORCID nebo Modelu financování, a to doporučeně poštou nebo prostřednictvím datové schránky, s účinností ke dni nejbližšího automatického obnovení Smlouvy.</w:t>
      </w:r>
    </w:p>
    <w:p w14:paraId="3B8A6F5C"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NTK je oprávněna vypovědět s účinností ke dni nejbližšího automatického obnovení Smlouvy (neprodloužit) Smlouvu v případě ukončení Smlouvy o vedení konsorcia mezi NTK a Společností ORCID podle čl. 7.2 nebo čl. 7.3 Smluvních podmínek (Příloha A).</w:t>
      </w:r>
    </w:p>
    <w:p w14:paraId="48DEF776"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NTK je oprávněna vypovědět s účinností ke dni nejbližšího automatického obnovení Smlouvy (neprodloužit) Smlouvu, pokud Uživatel Smlouvu poruší. Porušením Smlouvy se rozumí zejména:</w:t>
      </w:r>
    </w:p>
    <w:p w14:paraId="2CC837F2" w14:textId="77777777" w:rsidR="00F81610" w:rsidRPr="002F109F" w:rsidRDefault="00F81610" w:rsidP="00F81610">
      <w:pPr>
        <w:spacing w:line="276" w:lineRule="auto"/>
        <w:ind w:left="567" w:hanging="567"/>
        <w:rPr>
          <w:sz w:val="20"/>
          <w:szCs w:val="20"/>
        </w:rPr>
      </w:pPr>
      <w:r w:rsidRPr="002F109F">
        <w:rPr>
          <w:sz w:val="20"/>
          <w:szCs w:val="20"/>
        </w:rPr>
        <w:t>a)</w:t>
      </w:r>
      <w:r w:rsidRPr="002F109F">
        <w:rPr>
          <w:sz w:val="20"/>
          <w:szCs w:val="20"/>
        </w:rPr>
        <w:tab/>
        <w:t xml:space="preserve">porušení Smluvních podmínek (Příloha A); </w:t>
      </w:r>
    </w:p>
    <w:p w14:paraId="1816FCBC" w14:textId="77777777" w:rsidR="00F81610" w:rsidRPr="002F109F" w:rsidRDefault="00F81610" w:rsidP="00F81610">
      <w:pPr>
        <w:pStyle w:val="Odstavecseseznamem"/>
        <w:numPr>
          <w:ilvl w:val="0"/>
          <w:numId w:val="2"/>
        </w:numPr>
        <w:spacing w:line="276" w:lineRule="auto"/>
        <w:ind w:left="567" w:hanging="567"/>
        <w:rPr>
          <w:sz w:val="20"/>
          <w:szCs w:val="20"/>
        </w:rPr>
      </w:pPr>
      <w:r w:rsidRPr="002F109F">
        <w:rPr>
          <w:sz w:val="20"/>
          <w:szCs w:val="20"/>
        </w:rPr>
        <w:t>neuzavření dodatku v případě změny Modelu financování a zároveň nevypovězení Smlouvy podle odst. 3 tohoto článku Smlouvy.</w:t>
      </w:r>
    </w:p>
    <w:p w14:paraId="44EA6627"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V případě výpovědi nebo neprodloužení Smlouvy podle odst. 7.4. a odst. 7.5. Smlouvy zašle NTK Uživateli oznámení o ukončení Smlouvy.</w:t>
      </w:r>
    </w:p>
    <w:p w14:paraId="6F5DC64C" w14:textId="77777777" w:rsidR="00F81610" w:rsidRDefault="00F81610" w:rsidP="00F81610">
      <w:pPr>
        <w:numPr>
          <w:ilvl w:val="1"/>
          <w:numId w:val="1"/>
        </w:numPr>
        <w:spacing w:line="276" w:lineRule="auto"/>
        <w:ind w:left="426" w:hanging="426"/>
        <w:rPr>
          <w:sz w:val="20"/>
          <w:szCs w:val="20"/>
        </w:rPr>
      </w:pPr>
      <w:r w:rsidRPr="002F109F">
        <w:rPr>
          <w:sz w:val="20"/>
          <w:szCs w:val="20"/>
        </w:rPr>
        <w:t>Oznámením dle tohoto článku se rozumí písemná zpráva, která byla prokazatelně doručena druhé Smluvní straně.</w:t>
      </w:r>
    </w:p>
    <w:p w14:paraId="7B8D5388" w14:textId="77777777" w:rsidR="00F81610" w:rsidRPr="002F109F" w:rsidRDefault="00F81610" w:rsidP="00F81610">
      <w:pPr>
        <w:spacing w:line="276" w:lineRule="auto"/>
        <w:ind w:left="426"/>
        <w:rPr>
          <w:sz w:val="20"/>
          <w:szCs w:val="20"/>
        </w:rPr>
      </w:pPr>
    </w:p>
    <w:p w14:paraId="77CA8768" w14:textId="77777777" w:rsidR="00F81610" w:rsidRDefault="00F81610" w:rsidP="00F81610">
      <w:pPr>
        <w:pStyle w:val="Nadpis2"/>
        <w:numPr>
          <w:ilvl w:val="0"/>
          <w:numId w:val="1"/>
        </w:numPr>
        <w:ind w:left="0" w:firstLine="0"/>
      </w:pPr>
      <w:bookmarkStart w:id="14" w:name="_heading=h.p3tcoak3hcux" w:colFirst="0" w:colLast="0"/>
      <w:bookmarkEnd w:id="14"/>
      <w:r>
        <w:t xml:space="preserve"> </w:t>
      </w:r>
      <w:r w:rsidRPr="002F109F">
        <w:t>Závěrečná ustanovení</w:t>
      </w:r>
    </w:p>
    <w:p w14:paraId="2FB99C7D" w14:textId="77777777" w:rsidR="00F81610" w:rsidRPr="00F81610" w:rsidRDefault="00F81610" w:rsidP="00F81610"/>
    <w:p w14:paraId="7EB53D0D"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Uživatelem podle Smlouvy se může stát pouze vysokoškolská instituce, nezisková organizace, výzkumná organizace nebo výzkum financující agentura se sídlem v České republice, zřízená podle zákonů České republiky.</w:t>
      </w:r>
    </w:p>
    <w:p w14:paraId="09F40D2B"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Žádný projev Smluvních stran učiněný při jednání o Smlouvě ani projev učiněný po uzavření Smlouvy nesmí být vykládán v rozporu s výslovnými ustanoveními Smlouvy a nezakládá žádný závazek žádné ze Smluvních stran. 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72A9DE65"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Každá ze Smluvních stran je povinna se zdržet jakékoliv činnosti, jež by mohla znemožnit nebo ztížit dosažení účelu Smlouvy. Dále je každá ze Smluvních stran povinna se zdržet jakéhokoliv jednání, které by mohlo ohrozit zájmy druhé Smluvní strany v souvislosti s dosažením účelu Smlouvy.</w:t>
      </w:r>
    </w:p>
    <w:p w14:paraId="79C5B63C"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Smlouva se řídí českým právem a české soudy jsou příslušné k rozhodování veškerých případných sporů vzniklých z této Smlouvy. Rozhodčí řízení je vyloučeno.</w:t>
      </w:r>
    </w:p>
    <w:p w14:paraId="30ED0B37"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Změny nebo doplňky Smlouvy </w:t>
      </w:r>
      <w:bookmarkStart w:id="15" w:name="_Hlk132897840"/>
      <w:r w:rsidRPr="002F109F">
        <w:rPr>
          <w:sz w:val="20"/>
          <w:szCs w:val="20"/>
        </w:rPr>
        <w:t>lze provést pouze ve formě písemných, vzestupně číslovaných dodatků.</w:t>
      </w:r>
      <w:bookmarkEnd w:id="15"/>
      <w:r w:rsidRPr="002F109F">
        <w:rPr>
          <w:sz w:val="20"/>
          <w:szCs w:val="20"/>
        </w:rPr>
        <w:t xml:space="preserve"> Za písemnou formu se pro účely této Smlouvy považuje listinná i elektronická forma. V </w:t>
      </w:r>
      <w:r w:rsidRPr="002F109F">
        <w:rPr>
          <w:sz w:val="20"/>
          <w:szCs w:val="20"/>
        </w:rPr>
        <w:lastRenderedPageBreak/>
        <w:t xml:space="preserve">případě změny Přílohy A </w:t>
      </w:r>
      <w:proofErr w:type="spellStart"/>
      <w:r w:rsidRPr="002F109F">
        <w:rPr>
          <w:sz w:val="20"/>
          <w:szCs w:val="20"/>
        </w:rPr>
        <w:t>a</w:t>
      </w:r>
      <w:proofErr w:type="spellEnd"/>
      <w:r w:rsidRPr="002F109F">
        <w:rPr>
          <w:sz w:val="20"/>
          <w:szCs w:val="20"/>
        </w:rPr>
        <w:t xml:space="preserve"> Přílohy B je NTK povinna informovat Uživatele do 14 dnů od obdržení oznámení o změně v souladu s odst. 7.2. Smlouvy. Vzhledem k začlenění Příloh odkazem není nutné upravovat Smlouvu dodatkem, pokud změny Příloh nebudou mít vliv na znění Smlouvy.</w:t>
      </w:r>
    </w:p>
    <w:p w14:paraId="10D41AB8"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 xml:space="preserve">Smluvní strany bezvýhradně souhlasí se zveřejněním plného znění Smlouvy tak, aby Smlouva mohla být předmětem poskytnuté informace ve smyslu zákona o svobodném přístupu k informacím ve znění pozdějších předpisů, a zákona o registru smluv č. 340/2015 Sb., ve znění pozdějších předpisů. </w:t>
      </w:r>
    </w:p>
    <w:p w14:paraId="3411C13D"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Tato smlouva nabývá platnosti dnem podpisu oprávněnými zástupci smluvních stran a účinnosti dnem zveřejnění v registru smluv. NTK se zavazuje, že provede zveřejnění této Smlouvy v registru smluv, a to bez zbytečného odkladu, nejpozději však do 30 dnů od uzavření této Smlouvy.</w:t>
      </w:r>
    </w:p>
    <w:p w14:paraId="282F0413"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Tato smlouva bude uzavřena v elektronické nebo listinné podobě, v závislosti na možnostech a dohodě smluvních stran. V případě uzavření v listinné podobě bude vyhotovena ve čtyřech stejnopisech, z nichž každý má platnost originálu a každá smluvní strana obdrží po dvou z nich. V případě uzavření v elektronické podobě bude uzavřena připojením uznávaných elektronických podpisů obou smluvních stran. Toto ustanovení se použije obdobně i na případné dodatky smlouvy.</w:t>
      </w:r>
    </w:p>
    <w:p w14:paraId="2EBC083F" w14:textId="77777777" w:rsidR="00F81610" w:rsidRPr="002F109F" w:rsidRDefault="00F81610" w:rsidP="00F81610">
      <w:pPr>
        <w:numPr>
          <w:ilvl w:val="1"/>
          <w:numId w:val="1"/>
        </w:numPr>
        <w:spacing w:line="276" w:lineRule="auto"/>
        <w:ind w:left="426" w:hanging="426"/>
        <w:rPr>
          <w:sz w:val="20"/>
          <w:szCs w:val="20"/>
        </w:rPr>
      </w:pPr>
      <w:r w:rsidRPr="002F109F">
        <w:rPr>
          <w:sz w:val="20"/>
          <w:szCs w:val="20"/>
        </w:rPr>
        <w:t>Nedílnou součást Smlouvy tvoří tyto přílohy začleněné odkazem, s nimiž měly strany možnost se prokazatelně seznámit:</w:t>
      </w:r>
    </w:p>
    <w:p w14:paraId="7E952D54" w14:textId="77777777" w:rsidR="00F81610" w:rsidRPr="002F109F" w:rsidRDefault="00F81610" w:rsidP="00F81610">
      <w:pPr>
        <w:ind w:left="426"/>
        <w:rPr>
          <w:color w:val="00000A"/>
          <w:sz w:val="20"/>
          <w:szCs w:val="20"/>
        </w:rPr>
      </w:pPr>
      <w:r w:rsidRPr="002F109F">
        <w:rPr>
          <w:sz w:val="20"/>
          <w:szCs w:val="20"/>
        </w:rPr>
        <w:t xml:space="preserve">Příloha A – Smlouva o vedení konsorcia (v originále: </w:t>
      </w:r>
      <w:proofErr w:type="spellStart"/>
      <w:r w:rsidRPr="002F109F">
        <w:rPr>
          <w:sz w:val="20"/>
          <w:szCs w:val="20"/>
        </w:rPr>
        <w:t>Consortium</w:t>
      </w:r>
      <w:proofErr w:type="spellEnd"/>
      <w:r w:rsidRPr="002F109F">
        <w:rPr>
          <w:sz w:val="20"/>
          <w:szCs w:val="20"/>
        </w:rPr>
        <w:t xml:space="preserve"> </w:t>
      </w:r>
      <w:proofErr w:type="spellStart"/>
      <w:r w:rsidRPr="002F109F">
        <w:rPr>
          <w:sz w:val="20"/>
          <w:szCs w:val="20"/>
        </w:rPr>
        <w:t>Lead</w:t>
      </w:r>
      <w:proofErr w:type="spellEnd"/>
      <w:r w:rsidRPr="002F109F">
        <w:rPr>
          <w:sz w:val="20"/>
          <w:szCs w:val="20"/>
        </w:rPr>
        <w:t xml:space="preserve"> </w:t>
      </w:r>
      <w:proofErr w:type="spellStart"/>
      <w:r w:rsidRPr="002F109F">
        <w:rPr>
          <w:sz w:val="20"/>
          <w:szCs w:val="20"/>
        </w:rPr>
        <w:t>Agreement</w:t>
      </w:r>
      <w:proofErr w:type="spellEnd"/>
      <w:r w:rsidRPr="002F109F">
        <w:rPr>
          <w:sz w:val="20"/>
          <w:szCs w:val="20"/>
        </w:rPr>
        <w:t xml:space="preserve">) a Smluvní podmínky (ORCID </w:t>
      </w:r>
      <w:proofErr w:type="spellStart"/>
      <w:r w:rsidRPr="002F109F">
        <w:rPr>
          <w:sz w:val="20"/>
          <w:szCs w:val="20"/>
        </w:rPr>
        <w:t>Consortium</w:t>
      </w:r>
      <w:proofErr w:type="spellEnd"/>
      <w:r w:rsidRPr="002F109F">
        <w:rPr>
          <w:sz w:val="20"/>
          <w:szCs w:val="20"/>
        </w:rPr>
        <w:t xml:space="preserve"> Membership </w:t>
      </w:r>
      <w:proofErr w:type="spellStart"/>
      <w:r w:rsidRPr="002F109F">
        <w:rPr>
          <w:sz w:val="20"/>
          <w:szCs w:val="20"/>
        </w:rPr>
        <w:t>Terms</w:t>
      </w:r>
      <w:proofErr w:type="spellEnd"/>
      <w:r w:rsidRPr="002F109F">
        <w:rPr>
          <w:sz w:val="20"/>
          <w:szCs w:val="20"/>
        </w:rPr>
        <w:t xml:space="preserve"> and </w:t>
      </w:r>
      <w:proofErr w:type="spellStart"/>
      <w:r w:rsidRPr="002F109F">
        <w:rPr>
          <w:sz w:val="20"/>
          <w:szCs w:val="20"/>
        </w:rPr>
        <w:t>Conditions</w:t>
      </w:r>
      <w:proofErr w:type="spellEnd"/>
      <w:r w:rsidRPr="002F109F">
        <w:rPr>
          <w:sz w:val="20"/>
          <w:szCs w:val="20"/>
        </w:rPr>
        <w:t xml:space="preserve">), jejíž znění je dostupné zde: </w:t>
      </w:r>
      <w:hyperlink r:id="rId15">
        <w:r w:rsidRPr="2C844907">
          <w:rPr>
            <w:rStyle w:val="Hypertextovodkaz"/>
            <w:rFonts w:cs="Open Sans"/>
            <w:sz w:val="20"/>
            <w:szCs w:val="20"/>
          </w:rPr>
          <w:t>https://doi.org/10.48813/pa9v-v263</w:t>
        </w:r>
      </w:hyperlink>
    </w:p>
    <w:p w14:paraId="3BF8E48E" w14:textId="77777777" w:rsidR="00F81610" w:rsidRDefault="00F81610" w:rsidP="00F81610">
      <w:pPr>
        <w:ind w:left="426"/>
        <w:rPr>
          <w:color w:val="00000A"/>
          <w:sz w:val="20"/>
          <w:szCs w:val="20"/>
        </w:rPr>
      </w:pPr>
      <w:r w:rsidRPr="002F109F">
        <w:rPr>
          <w:sz w:val="20"/>
          <w:szCs w:val="20"/>
        </w:rPr>
        <w:t xml:space="preserve">Příloha B – Standardní smluvní doložky (v originále Standard </w:t>
      </w:r>
      <w:proofErr w:type="spellStart"/>
      <w:r w:rsidRPr="002F109F">
        <w:rPr>
          <w:sz w:val="20"/>
          <w:szCs w:val="20"/>
        </w:rPr>
        <w:t>Contractual</w:t>
      </w:r>
      <w:proofErr w:type="spellEnd"/>
      <w:r w:rsidRPr="002F109F">
        <w:rPr>
          <w:sz w:val="20"/>
          <w:szCs w:val="20"/>
        </w:rPr>
        <w:t xml:space="preserve"> </w:t>
      </w:r>
      <w:proofErr w:type="spellStart"/>
      <w:r w:rsidRPr="002F109F">
        <w:rPr>
          <w:sz w:val="20"/>
          <w:szCs w:val="20"/>
        </w:rPr>
        <w:t>Clauses</w:t>
      </w:r>
      <w:proofErr w:type="spellEnd"/>
      <w:r w:rsidRPr="002F109F">
        <w:rPr>
          <w:sz w:val="20"/>
          <w:szCs w:val="20"/>
        </w:rPr>
        <w:t xml:space="preserve"> </w:t>
      </w:r>
      <w:proofErr w:type="spellStart"/>
      <w:r w:rsidRPr="002F109F">
        <w:rPr>
          <w:sz w:val="20"/>
          <w:szCs w:val="20"/>
        </w:rPr>
        <w:t>for</w:t>
      </w:r>
      <w:proofErr w:type="spellEnd"/>
      <w:r w:rsidRPr="002F109F">
        <w:rPr>
          <w:sz w:val="20"/>
          <w:szCs w:val="20"/>
        </w:rPr>
        <w:t xml:space="preserve"> </w:t>
      </w:r>
      <w:proofErr w:type="spellStart"/>
      <w:r w:rsidRPr="002F109F">
        <w:rPr>
          <w:sz w:val="20"/>
          <w:szCs w:val="20"/>
        </w:rPr>
        <w:t>the</w:t>
      </w:r>
      <w:proofErr w:type="spellEnd"/>
      <w:r w:rsidRPr="002F109F">
        <w:rPr>
          <w:sz w:val="20"/>
          <w:szCs w:val="20"/>
        </w:rPr>
        <w:t xml:space="preserve"> Transfer </w:t>
      </w:r>
      <w:proofErr w:type="spellStart"/>
      <w:r w:rsidRPr="002F109F">
        <w:rPr>
          <w:sz w:val="20"/>
          <w:szCs w:val="20"/>
        </w:rPr>
        <w:t>of</w:t>
      </w:r>
      <w:proofErr w:type="spellEnd"/>
      <w:r w:rsidRPr="002F109F">
        <w:rPr>
          <w:sz w:val="20"/>
          <w:szCs w:val="20"/>
        </w:rPr>
        <w:t xml:space="preserve"> </w:t>
      </w:r>
      <w:proofErr w:type="spellStart"/>
      <w:r w:rsidRPr="002F109F">
        <w:rPr>
          <w:sz w:val="20"/>
          <w:szCs w:val="20"/>
        </w:rPr>
        <w:t>Personal</w:t>
      </w:r>
      <w:proofErr w:type="spellEnd"/>
      <w:r w:rsidRPr="002F109F">
        <w:rPr>
          <w:sz w:val="20"/>
          <w:szCs w:val="20"/>
        </w:rPr>
        <w:t xml:space="preserve"> Data to </w:t>
      </w:r>
      <w:proofErr w:type="spellStart"/>
      <w:r w:rsidRPr="002F109F">
        <w:rPr>
          <w:sz w:val="20"/>
          <w:szCs w:val="20"/>
        </w:rPr>
        <w:t>Third</w:t>
      </w:r>
      <w:proofErr w:type="spellEnd"/>
      <w:r w:rsidRPr="002F109F">
        <w:rPr>
          <w:sz w:val="20"/>
          <w:szCs w:val="20"/>
        </w:rPr>
        <w:t xml:space="preserve"> </w:t>
      </w:r>
      <w:proofErr w:type="spellStart"/>
      <w:r w:rsidRPr="002F109F">
        <w:rPr>
          <w:sz w:val="20"/>
          <w:szCs w:val="20"/>
        </w:rPr>
        <w:t>Countries</w:t>
      </w:r>
      <w:proofErr w:type="spellEnd"/>
      <w:r w:rsidRPr="002F109F">
        <w:rPr>
          <w:sz w:val="20"/>
          <w:szCs w:val="20"/>
        </w:rPr>
        <w:t>), jejichž znění je dostupné zde:</w:t>
      </w:r>
      <w:r w:rsidRPr="002F109F">
        <w:rPr>
          <w:color w:val="00000A"/>
          <w:sz w:val="20"/>
          <w:szCs w:val="20"/>
        </w:rPr>
        <w:t xml:space="preserve"> </w:t>
      </w:r>
      <w:hyperlink r:id="rId16">
        <w:r w:rsidRPr="2C844907">
          <w:rPr>
            <w:rStyle w:val="Hypertextovodkaz"/>
            <w:rFonts w:cs="Open Sans"/>
            <w:sz w:val="20"/>
            <w:szCs w:val="20"/>
          </w:rPr>
          <w:t>https://doi.org/10.48813/b8yj-t884</w:t>
        </w:r>
      </w:hyperlink>
    </w:p>
    <w:p w14:paraId="5664EAEF" w14:textId="77777777" w:rsidR="00F81610" w:rsidRDefault="00F81610" w:rsidP="00F81610">
      <w:pPr>
        <w:spacing w:before="240" w:line="240" w:lineRule="auto"/>
        <w:rPr>
          <w:color w:val="00000A"/>
          <w:sz w:val="20"/>
          <w:szCs w:val="20"/>
          <w:highlight w:val="yellow"/>
        </w:rPr>
      </w:pPr>
      <w:bookmarkStart w:id="16" w:name="_heading=h.2et92p0" w:colFirst="0" w:colLast="0"/>
      <w:bookmarkEnd w:id="16"/>
    </w:p>
    <w:p w14:paraId="7895BA5F" w14:textId="652E7C84" w:rsidR="00F81610" w:rsidRPr="00E15567" w:rsidRDefault="00F81610" w:rsidP="00F81610">
      <w:pPr>
        <w:spacing w:before="240" w:line="240" w:lineRule="auto"/>
        <w:rPr>
          <w:color w:val="00000A"/>
          <w:sz w:val="20"/>
          <w:szCs w:val="20"/>
        </w:rPr>
      </w:pPr>
      <w:r w:rsidRPr="00BB21EE">
        <w:rPr>
          <w:color w:val="00000A"/>
          <w:sz w:val="20"/>
          <w:szCs w:val="20"/>
        </w:rPr>
        <w:t>V Praze dne</w:t>
      </w:r>
      <w:r>
        <w:rPr>
          <w:color w:val="00000A"/>
          <w:sz w:val="20"/>
          <w:szCs w:val="20"/>
        </w:rPr>
        <w:tab/>
      </w:r>
      <w:r>
        <w:rPr>
          <w:color w:val="00000A"/>
          <w:sz w:val="20"/>
          <w:szCs w:val="20"/>
        </w:rPr>
        <w:tab/>
      </w:r>
      <w:r w:rsidRPr="00E15567">
        <w:rPr>
          <w:color w:val="00000A"/>
          <w:sz w:val="20"/>
          <w:szCs w:val="20"/>
        </w:rPr>
        <w:tab/>
      </w:r>
      <w:r w:rsidRPr="00E15567">
        <w:rPr>
          <w:color w:val="00000A"/>
          <w:sz w:val="20"/>
          <w:szCs w:val="20"/>
        </w:rPr>
        <w:tab/>
        <w:t xml:space="preserve"> </w:t>
      </w:r>
      <w:r w:rsidRPr="00E15567">
        <w:rPr>
          <w:color w:val="00000A"/>
          <w:sz w:val="20"/>
          <w:szCs w:val="20"/>
        </w:rPr>
        <w:tab/>
      </w:r>
      <w:r w:rsidRPr="00E15567">
        <w:rPr>
          <w:color w:val="00000A"/>
          <w:sz w:val="20"/>
          <w:szCs w:val="20"/>
        </w:rPr>
        <w:tab/>
      </w:r>
      <w:r w:rsidR="00BB21EE">
        <w:rPr>
          <w:color w:val="00000A"/>
          <w:sz w:val="20"/>
          <w:szCs w:val="20"/>
        </w:rPr>
        <w:tab/>
      </w:r>
      <w:r w:rsidRPr="00BB21EE">
        <w:rPr>
          <w:color w:val="00000A"/>
          <w:sz w:val="20"/>
          <w:szCs w:val="20"/>
        </w:rPr>
        <w:t>V </w:t>
      </w:r>
      <w:r w:rsidR="00BB21EE">
        <w:rPr>
          <w:color w:val="00000A"/>
          <w:sz w:val="20"/>
          <w:szCs w:val="20"/>
        </w:rPr>
        <w:tab/>
      </w:r>
      <w:r w:rsidR="00BB21EE">
        <w:rPr>
          <w:color w:val="00000A"/>
          <w:sz w:val="20"/>
          <w:szCs w:val="20"/>
        </w:rPr>
        <w:tab/>
      </w:r>
      <w:r w:rsidRPr="00BB21EE">
        <w:rPr>
          <w:color w:val="00000A"/>
          <w:sz w:val="20"/>
          <w:szCs w:val="20"/>
        </w:rPr>
        <w:t xml:space="preserve">dne </w:t>
      </w:r>
    </w:p>
    <w:p w14:paraId="231BCFC4" w14:textId="77777777" w:rsidR="00EE40C5" w:rsidRDefault="00F81610" w:rsidP="00F81610">
      <w:r w:rsidRPr="00E15567">
        <w:rPr>
          <w:color w:val="00000A"/>
          <w:sz w:val="20"/>
          <w:szCs w:val="20"/>
        </w:rPr>
        <w:t xml:space="preserve">za NTK </w:t>
      </w:r>
      <w:r w:rsidRPr="00E15567">
        <w:rPr>
          <w:color w:val="00000A"/>
          <w:sz w:val="20"/>
          <w:szCs w:val="20"/>
        </w:rPr>
        <w:tab/>
      </w:r>
      <w:r w:rsidRPr="00E15567">
        <w:rPr>
          <w:color w:val="00000A"/>
          <w:sz w:val="20"/>
          <w:szCs w:val="20"/>
        </w:rPr>
        <w:tab/>
      </w:r>
      <w:r w:rsidRPr="00E15567">
        <w:rPr>
          <w:color w:val="00000A"/>
          <w:sz w:val="20"/>
          <w:szCs w:val="20"/>
        </w:rPr>
        <w:tab/>
      </w:r>
      <w:r w:rsidRPr="00E15567">
        <w:rPr>
          <w:color w:val="00000A"/>
          <w:sz w:val="20"/>
          <w:szCs w:val="20"/>
        </w:rPr>
        <w:tab/>
      </w:r>
      <w:r w:rsidRPr="00E15567">
        <w:rPr>
          <w:color w:val="00000A"/>
          <w:sz w:val="20"/>
          <w:szCs w:val="20"/>
        </w:rPr>
        <w:tab/>
      </w:r>
      <w:r w:rsidRPr="00E15567">
        <w:rPr>
          <w:color w:val="00000A"/>
          <w:sz w:val="20"/>
          <w:szCs w:val="20"/>
        </w:rPr>
        <w:tab/>
      </w:r>
      <w:r w:rsidRPr="00E15567">
        <w:rPr>
          <w:color w:val="00000A"/>
          <w:sz w:val="20"/>
          <w:szCs w:val="20"/>
        </w:rPr>
        <w:tab/>
        <w:t xml:space="preserve">za </w:t>
      </w:r>
      <w:r>
        <w:rPr>
          <w:color w:val="00000A"/>
          <w:sz w:val="20"/>
          <w:szCs w:val="20"/>
        </w:rPr>
        <w:t>Uživatele</w:t>
      </w:r>
    </w:p>
    <w:sectPr w:rsidR="00EE40C5">
      <w:headerReference w:type="even" r:id="rId17"/>
      <w:headerReference w:type="default" r:id="rId18"/>
      <w:footerReference w:type="default" r:id="rId19"/>
      <w:headerReference w:type="first" r:id="rId20"/>
      <w:footerReference w:type="first" r:id="rId21"/>
      <w:pgSz w:w="11906" w:h="16838"/>
      <w:pgMar w:top="1332" w:right="1418" w:bottom="1418" w:left="1134" w:header="57" w:footer="39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3387B" w14:textId="77777777" w:rsidR="00465846" w:rsidRDefault="00465846">
      <w:pPr>
        <w:spacing w:line="240" w:lineRule="auto"/>
      </w:pPr>
      <w:r>
        <w:separator/>
      </w:r>
    </w:p>
  </w:endnote>
  <w:endnote w:type="continuationSeparator" w:id="0">
    <w:p w14:paraId="1072D080" w14:textId="77777777" w:rsidR="00465846" w:rsidRDefault="004658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font>
  <w:font w:name="Open Sans Light">
    <w:altName w:val="Arial"/>
    <w:charset w:val="00"/>
    <w:family w:val="swiss"/>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81D50" w14:textId="305D8508" w:rsidR="00EE40C5" w:rsidRDefault="00F81610">
    <w:pPr>
      <w:pBdr>
        <w:top w:val="nil"/>
        <w:left w:val="nil"/>
        <w:bottom w:val="nil"/>
        <w:right w:val="nil"/>
        <w:between w:val="nil"/>
      </w:pBdr>
      <w:tabs>
        <w:tab w:val="center" w:pos="4536"/>
        <w:tab w:val="right" w:pos="9072"/>
      </w:tabs>
      <w:spacing w:line="240" w:lineRule="auto"/>
      <w:jc w:val="right"/>
      <w:rPr>
        <w:color w:val="CE3736"/>
        <w:sz w:val="28"/>
        <w:szCs w:val="28"/>
      </w:rPr>
    </w:pPr>
    <w:r>
      <w:rPr>
        <w:color w:val="CE3736"/>
      </w:rPr>
      <w:fldChar w:fldCharType="begin"/>
    </w:r>
    <w:r>
      <w:rPr>
        <w:color w:val="CE3736"/>
      </w:rPr>
      <w:instrText>PAGE</w:instrText>
    </w:r>
    <w:r>
      <w:rPr>
        <w:color w:val="CE3736"/>
      </w:rPr>
      <w:fldChar w:fldCharType="separate"/>
    </w:r>
    <w:r w:rsidR="00FA0F23">
      <w:rPr>
        <w:noProof/>
        <w:color w:val="CE3736"/>
      </w:rPr>
      <w:t>6</w:t>
    </w:r>
    <w:r>
      <w:rPr>
        <w:color w:val="CE3736"/>
      </w:rPr>
      <w:fldChar w:fldCharType="end"/>
    </w:r>
    <w:r>
      <w:rPr>
        <w:color w:val="CE3736"/>
      </w:rPr>
      <w:t>/</w:t>
    </w:r>
    <w:r>
      <w:rPr>
        <w:color w:val="CE3736"/>
      </w:rPr>
      <w:fldChar w:fldCharType="begin"/>
    </w:r>
    <w:r>
      <w:rPr>
        <w:color w:val="CE3736"/>
      </w:rPr>
      <w:instrText>NUMPAGES</w:instrText>
    </w:r>
    <w:r>
      <w:rPr>
        <w:color w:val="CE3736"/>
      </w:rPr>
      <w:fldChar w:fldCharType="separate"/>
    </w:r>
    <w:r w:rsidR="00FA0F23">
      <w:rPr>
        <w:noProof/>
        <w:color w:val="CE3736"/>
      </w:rPr>
      <w:t>6</w:t>
    </w:r>
    <w:r>
      <w:rPr>
        <w:color w:val="CE3736"/>
      </w:rPr>
      <w:fldChar w:fldCharType="end"/>
    </w:r>
  </w:p>
  <w:p w14:paraId="3D393CB0" w14:textId="77777777" w:rsidR="00EE40C5" w:rsidRDefault="00EE40C5">
    <w:pPr>
      <w:pBdr>
        <w:top w:val="nil"/>
        <w:left w:val="nil"/>
        <w:bottom w:val="nil"/>
        <w:right w:val="nil"/>
        <w:between w:val="nil"/>
      </w:pBdr>
      <w:tabs>
        <w:tab w:val="left" w:pos="9617"/>
      </w:tabs>
      <w:spacing w:line="180" w:lineRule="auto"/>
      <w:ind w:left="360" w:right="574" w:hanging="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34D36" w14:textId="63B25847" w:rsidR="00EE40C5" w:rsidRDefault="00F81610">
    <w:pPr>
      <w:pBdr>
        <w:top w:val="nil"/>
        <w:left w:val="nil"/>
        <w:bottom w:val="nil"/>
        <w:right w:val="nil"/>
        <w:between w:val="nil"/>
      </w:pBdr>
      <w:tabs>
        <w:tab w:val="center" w:pos="4820"/>
        <w:tab w:val="right" w:pos="9639"/>
      </w:tabs>
      <w:spacing w:line="284" w:lineRule="auto"/>
      <w:rPr>
        <w:rFonts w:ascii="Open Sans Light" w:eastAsia="Open Sans Light" w:hAnsi="Open Sans Light" w:cs="Open Sans Light"/>
        <w:color w:val="E5003E"/>
        <w:sz w:val="21"/>
        <w:szCs w:val="21"/>
      </w:rPr>
    </w:pPr>
    <w:r>
      <w:rPr>
        <w:noProof/>
        <w:color w:val="000000"/>
        <w:sz w:val="16"/>
        <w:szCs w:val="16"/>
      </w:rPr>
      <w:drawing>
        <wp:inline distT="0" distB="0" distL="0" distR="0" wp14:anchorId="03BF95F6" wp14:editId="67E8B570">
          <wp:extent cx="3515618" cy="505131"/>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3515618" cy="505131"/>
                  </a:xfrm>
                  <a:prstGeom prst="rect">
                    <a:avLst/>
                  </a:prstGeom>
                  <a:ln/>
                </pic:spPr>
              </pic:pic>
            </a:graphicData>
          </a:graphic>
        </wp:inline>
      </w:drawing>
    </w:r>
    <w:r>
      <w:rPr>
        <w:color w:val="000000"/>
        <w:sz w:val="16"/>
        <w:szCs w:val="16"/>
      </w:rPr>
      <w:t xml:space="preserve"> </w:t>
    </w:r>
    <w:r>
      <w:rPr>
        <w:sz w:val="16"/>
        <w:szCs w:val="16"/>
      </w:rPr>
      <w:tab/>
      <w:t xml:space="preserve">             </w:t>
    </w:r>
    <w:r>
      <w:rPr>
        <w:color w:val="CE3736"/>
        <w:sz w:val="21"/>
        <w:szCs w:val="21"/>
      </w:rPr>
      <w:t xml:space="preserve"> </w:t>
    </w:r>
    <w:r>
      <w:rPr>
        <w:color w:val="CE3736"/>
        <w:sz w:val="21"/>
        <w:szCs w:val="21"/>
      </w:rPr>
      <w:fldChar w:fldCharType="begin"/>
    </w:r>
    <w:r>
      <w:rPr>
        <w:color w:val="CE3736"/>
        <w:sz w:val="21"/>
        <w:szCs w:val="21"/>
      </w:rPr>
      <w:instrText>PAGE</w:instrText>
    </w:r>
    <w:r>
      <w:rPr>
        <w:color w:val="CE3736"/>
        <w:sz w:val="21"/>
        <w:szCs w:val="21"/>
      </w:rPr>
      <w:fldChar w:fldCharType="separate"/>
    </w:r>
    <w:r w:rsidR="00FA0F23">
      <w:rPr>
        <w:noProof/>
        <w:color w:val="CE3736"/>
        <w:sz w:val="21"/>
        <w:szCs w:val="21"/>
      </w:rPr>
      <w:t>1</w:t>
    </w:r>
    <w:r>
      <w:rPr>
        <w:color w:val="CE3736"/>
        <w:sz w:val="21"/>
        <w:szCs w:val="21"/>
      </w:rPr>
      <w:fldChar w:fldCharType="end"/>
    </w:r>
    <w:r>
      <w:rPr>
        <w:color w:val="CE3736"/>
        <w:sz w:val="21"/>
        <w:szCs w:val="21"/>
      </w:rPr>
      <w:t>/</w:t>
    </w:r>
    <w:r>
      <w:rPr>
        <w:color w:val="CE3736"/>
        <w:sz w:val="21"/>
        <w:szCs w:val="21"/>
      </w:rPr>
      <w:fldChar w:fldCharType="begin"/>
    </w:r>
    <w:r>
      <w:rPr>
        <w:color w:val="CE3736"/>
        <w:sz w:val="21"/>
        <w:szCs w:val="21"/>
      </w:rPr>
      <w:instrText>NUMPAGES</w:instrText>
    </w:r>
    <w:r>
      <w:rPr>
        <w:color w:val="CE3736"/>
        <w:sz w:val="21"/>
        <w:szCs w:val="21"/>
      </w:rPr>
      <w:fldChar w:fldCharType="separate"/>
    </w:r>
    <w:r w:rsidR="00FA0F23">
      <w:rPr>
        <w:noProof/>
        <w:color w:val="CE3736"/>
        <w:sz w:val="21"/>
        <w:szCs w:val="21"/>
      </w:rPr>
      <w:t>6</w:t>
    </w:r>
    <w:r>
      <w:rPr>
        <w:color w:val="CE3736"/>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E526A" w14:textId="77777777" w:rsidR="00465846" w:rsidRDefault="00465846">
      <w:pPr>
        <w:spacing w:line="240" w:lineRule="auto"/>
      </w:pPr>
      <w:r>
        <w:separator/>
      </w:r>
    </w:p>
  </w:footnote>
  <w:footnote w:type="continuationSeparator" w:id="0">
    <w:p w14:paraId="507F09E7" w14:textId="77777777" w:rsidR="00465846" w:rsidRDefault="00465846">
      <w:pPr>
        <w:spacing w:line="240" w:lineRule="auto"/>
      </w:pPr>
      <w:r>
        <w:continuationSeparator/>
      </w:r>
    </w:p>
  </w:footnote>
  <w:footnote w:id="1">
    <w:p w14:paraId="658576EE" w14:textId="77777777" w:rsidR="00F81610" w:rsidRDefault="00F81610" w:rsidP="00F81610">
      <w:pPr>
        <w:spacing w:line="240" w:lineRule="auto"/>
      </w:pPr>
      <w:r>
        <w:rPr>
          <w:vertAlign w:val="superscript"/>
        </w:rPr>
        <w:footnoteRef/>
      </w:r>
      <w:r>
        <w:rPr>
          <w:color w:val="000000"/>
          <w:sz w:val="20"/>
          <w:szCs w:val="20"/>
        </w:rPr>
        <w:t xml:space="preserve"> CC BY 4.0 Mezinárodní se rozumí veřejná licence </w:t>
      </w:r>
      <w:proofErr w:type="spellStart"/>
      <w:r>
        <w:rPr>
          <w:color w:val="000000"/>
          <w:sz w:val="20"/>
          <w:szCs w:val="20"/>
        </w:rPr>
        <w:t>Creative</w:t>
      </w:r>
      <w:proofErr w:type="spellEnd"/>
      <w:r>
        <w:rPr>
          <w:color w:val="000000"/>
          <w:sz w:val="20"/>
          <w:szCs w:val="20"/>
        </w:rPr>
        <w:t xml:space="preserve"> </w:t>
      </w:r>
      <w:proofErr w:type="spellStart"/>
      <w:r>
        <w:rPr>
          <w:color w:val="000000"/>
          <w:sz w:val="20"/>
          <w:szCs w:val="20"/>
        </w:rPr>
        <w:t>Commons</w:t>
      </w:r>
      <w:proofErr w:type="spellEnd"/>
      <w:r>
        <w:rPr>
          <w:color w:val="000000"/>
          <w:sz w:val="20"/>
          <w:szCs w:val="20"/>
        </w:rPr>
        <w:t xml:space="preserve">, jejíž text je dostupný na </w:t>
      </w:r>
      <w:bookmarkStart w:id="10" w:name="_Hlk132896529"/>
      <w:r w:rsidRPr="0041743E">
        <w:rPr>
          <w:sz w:val="20"/>
          <w:szCs w:val="20"/>
        </w:rPr>
        <w:t>https://creativecommons.org/licenses/by/4.0/legalcode.cs</w:t>
      </w:r>
      <w:bookmarkEnd w:id="10"/>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0E05C" w14:textId="77777777" w:rsidR="00EE40C5" w:rsidRDefault="00FA0F23">
    <w:pPr>
      <w:pBdr>
        <w:top w:val="nil"/>
        <w:left w:val="nil"/>
        <w:bottom w:val="nil"/>
        <w:right w:val="nil"/>
        <w:between w:val="nil"/>
      </w:pBdr>
      <w:tabs>
        <w:tab w:val="center" w:pos="4536"/>
        <w:tab w:val="right" w:pos="9072"/>
      </w:tabs>
      <w:spacing w:line="240" w:lineRule="auto"/>
      <w:rPr>
        <w:color w:val="000000"/>
      </w:rPr>
    </w:pPr>
    <w:r>
      <w:rPr>
        <w:color w:val="000000"/>
      </w:rPr>
      <w:pict w14:anchorId="49B6E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alt="" style="position:absolute;margin-left:0;margin-top:0;width:595pt;height:842pt;z-index:-251664384;mso-position-horizontal:center;mso-position-horizontal-relative:margin;mso-position-vertical:center;mso-position-vertical-relative:margin">
          <v:imagedata r:id="rId1" o:title="image1"/>
          <w10:wrap anchorx="margin" anchory="margin"/>
        </v:shape>
      </w:pict>
    </w:r>
    <w:r>
      <w:rPr>
        <w:color w:val="000000"/>
      </w:rPr>
      <w:pict w14:anchorId="09167CB3">
        <v:shape id="WordPictureWatermark8" o:spid="_x0000_s1035" type="#_x0000_t75" alt="" style="position:absolute;margin-left:0;margin-top:0;width:595pt;height:842pt;z-index:-251663360;mso-position-horizontal:center;mso-position-horizontal-relative:margin;mso-position-vertical:center;mso-position-vertical-relative:margin">
          <v:imagedata r:id="rId2" o:title="image6"/>
          <w10:wrap anchorx="margin" anchory="margin"/>
        </v:shape>
      </w:pict>
    </w:r>
    <w:r>
      <w:rPr>
        <w:color w:val="000000"/>
      </w:rPr>
      <w:pict w14:anchorId="3EBA999F">
        <v:shape id="WordPictureWatermark2" o:spid="_x0000_s1034" type="#_x0000_t75" alt="" style="position:absolute;margin-left:0;margin-top:0;width:357pt;height:505.2pt;z-index:-251662336;mso-position-horizontal:center;mso-position-horizontal-relative:margin;mso-position-vertical:center;mso-position-vertical-relative:margin">
          <v:imagedata r:id="rId3" o:title="image7" gain="19661f" blacklevel="22938f"/>
          <w10:wrap anchorx="margin" anchory="margin"/>
        </v:shape>
      </w:pict>
    </w:r>
    <w:r>
      <w:rPr>
        <w:color w:val="000000"/>
      </w:rPr>
      <w:pict w14:anchorId="17A44440">
        <v:shape id="WordPictureWatermark7" o:spid="_x0000_s1033" type="#_x0000_t75" alt="" style="position:absolute;margin-left:0;margin-top:0;width:595pt;height:842pt;z-index:-251661312;mso-position-horizontal:center;mso-position-horizontal-relative:margin;mso-position-vertical:center;mso-position-vertical-relative:margin">
          <v:imagedata r:id="rId4" o:title="image8"/>
          <w10:wrap anchorx="margin" anchory="margin"/>
        </v:shape>
      </w:pict>
    </w:r>
    <w:r>
      <w:rPr>
        <w:color w:val="000000"/>
      </w:rPr>
      <w:pict w14:anchorId="13DB1CC6">
        <v:shape id="WordPictureWatermark11" o:spid="_x0000_s1032" type="#_x0000_t75" alt="" style="position:absolute;margin-left:0;margin-top:0;width:669.35pt;height:947.25pt;z-index:-251660288;mso-position-horizontal:center;mso-position-horizontal-relative:margin;mso-position-vertical:center;mso-position-vertical-relative:margin">
          <v:imagedata r:id="rId4" o:title="image8" gain="19661f" blacklevel="22938f"/>
          <w10:wrap anchorx="margin" anchory="margin"/>
        </v:shape>
      </w:pict>
    </w:r>
    <w:r>
      <w:rPr>
        <w:color w:val="000000"/>
      </w:rPr>
      <w:pict w14:anchorId="57EBA362">
        <v:shape id="WordPictureWatermark12" o:spid="_x0000_s1031" type="#_x0000_t75" alt="" style="position:absolute;margin-left:0;margin-top:0;width:371.85pt;height:526.25pt;z-index:-251659264;mso-position-horizontal:center;mso-position-horizontal-relative:margin;mso-position-vertical:center;mso-position-vertical-relative:margin">
          <v:imagedata r:id="rId4" o:title="image8" gain="19661f" blacklevel="22938f"/>
          <w10:wrap anchorx="margin" anchory="margin"/>
        </v:shape>
      </w:pict>
    </w:r>
    <w:r>
      <w:rPr>
        <w:color w:val="000000"/>
      </w:rPr>
      <w:pict w14:anchorId="05E7BD13">
        <v:shape id="WordPictureWatermark5" o:spid="_x0000_s1030" type="#_x0000_t75" alt="" style="position:absolute;margin-left:0;margin-top:0;width:743.75pt;height:1052.5pt;z-index:-251658240;mso-position-horizontal:center;mso-position-horizontal-relative:margin;mso-position-vertical:center;mso-position-vertical-relative:margin">
          <v:imagedata r:id="rId4" o:title="image8" gain="19661f" blacklevel="22938f"/>
          <w10:wrap anchorx="margin" anchory="margin"/>
        </v:shape>
      </w:pict>
    </w:r>
    <w:r>
      <w:rPr>
        <w:color w:val="000000"/>
      </w:rPr>
      <w:pict w14:anchorId="264D268B">
        <v:shape id="WordPictureWatermark6" o:spid="_x0000_s1029" type="#_x0000_t75" alt="" style="position:absolute;margin-left:0;margin-top:0;width:743.75pt;height:1052.5pt;z-index:-251657216;mso-position-horizontal:center;mso-position-horizontal-relative:margin;mso-position-vertical:center;mso-position-vertical-relative:margin">
          <v:imagedata r:id="rId4" o:title="image8"/>
          <w10:wrap anchorx="margin" anchory="margin"/>
        </v:shape>
      </w:pict>
    </w:r>
    <w:r>
      <w:rPr>
        <w:color w:val="000000"/>
      </w:rPr>
      <w:pict w14:anchorId="78CC7583">
        <v:shape id="WordPictureWatermark4" o:spid="_x0000_s1028" type="#_x0000_t75" alt="" style="position:absolute;margin-left:0;margin-top:0;width:1338.75pt;height:1894.5pt;z-index:-251656192;mso-position-horizontal:center;mso-position-horizontal-relative:margin;mso-position-vertical:center;mso-position-vertical-relative:margin">
          <v:imagedata r:id="rId5" o:title="image4"/>
          <w10:wrap anchorx="margin" anchory="margin"/>
        </v:shape>
      </w:pict>
    </w:r>
    <w:r>
      <w:rPr>
        <w:color w:val="000000"/>
      </w:rPr>
      <w:pict w14:anchorId="56C52CAE">
        <v:shape id="WordPictureWatermark1" o:spid="_x0000_s1027" type="#_x0000_t75" alt="" style="position:absolute;margin-left:0;margin-top:0;width:1338.75pt;height:1894.5pt;z-index:-251655168;mso-position-horizontal:center;mso-position-horizontal-relative:margin;mso-position-vertical:center;mso-position-vertical-relative:margin">
          <v:imagedata r:id="rId5" o:title="image4"/>
          <w10:wrap anchorx="margin" anchory="margin"/>
        </v:shape>
      </w:pict>
    </w:r>
    <w:r>
      <w:rPr>
        <w:color w:val="000000"/>
      </w:rPr>
      <w:pict w14:anchorId="6550066B">
        <v:shape id="WordPictureWatermark10" o:spid="_x0000_s1026" type="#_x0000_t75" alt="" style="position:absolute;margin-left:0;margin-top:0;width:892.5pt;height:1263pt;z-index:-251654144;mso-position-horizontal:center;mso-position-horizontal-relative:margin;mso-position-vertical:center;mso-position-vertical-relative:margin">
          <v:imagedata r:id="rId5" o:title="image4"/>
          <w10:wrap anchorx="margin" anchory="margin"/>
        </v:shape>
      </w:pict>
    </w:r>
    <w:r>
      <w:rPr>
        <w:color w:val="000000"/>
      </w:rPr>
      <w:pict w14:anchorId="4A1336B3">
        <v:shape id="WordPictureWatermark9" o:spid="_x0000_s1025" type="#_x0000_t75" alt="" style="position:absolute;margin-left:0;margin-top:0;width:892.5pt;height:1263pt;z-index:-251653120;mso-position-horizontal:center;mso-position-horizontal-relative:margin;mso-position-vertical:center;mso-position-vertical-relative:margin">
          <v:imagedata r:id="rId6"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77473" w14:textId="77777777" w:rsidR="00EE40C5" w:rsidRDefault="00EE40C5">
    <w:pPr>
      <w:pBdr>
        <w:top w:val="nil"/>
        <w:left w:val="nil"/>
        <w:bottom w:val="nil"/>
        <w:right w:val="nil"/>
        <w:between w:val="nil"/>
      </w:pBdr>
      <w:tabs>
        <w:tab w:val="center" w:pos="4536"/>
        <w:tab w:val="right" w:pos="9072"/>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0FBA2" w14:textId="77777777" w:rsidR="00EE40C5" w:rsidRDefault="00EE40C5"/>
  <w:p w14:paraId="2C8253D0" w14:textId="77777777" w:rsidR="00EE40C5" w:rsidRDefault="00EE40C5">
    <w:pPr>
      <w:rPr>
        <w:sz w:val="13"/>
        <w:szCs w:val="13"/>
      </w:rPr>
    </w:pPr>
  </w:p>
  <w:p w14:paraId="1ED623DD" w14:textId="77777777" w:rsidR="00EE40C5" w:rsidRDefault="00F81610">
    <w:pPr>
      <w:pBdr>
        <w:top w:val="nil"/>
        <w:left w:val="nil"/>
        <w:bottom w:val="nil"/>
        <w:right w:val="nil"/>
        <w:between w:val="nil"/>
      </w:pBdr>
      <w:tabs>
        <w:tab w:val="center" w:pos="4153"/>
        <w:tab w:val="right" w:pos="8306"/>
      </w:tabs>
      <w:spacing w:line="360" w:lineRule="auto"/>
    </w:pPr>
    <w:r>
      <w:rPr>
        <w:noProof/>
      </w:rPr>
      <w:drawing>
        <wp:inline distT="0" distB="0" distL="0" distR="0" wp14:anchorId="5E264638" wp14:editId="7D60C056">
          <wp:extent cx="6728400" cy="73899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728400" cy="7389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6F9B"/>
    <w:multiLevelType w:val="multilevel"/>
    <w:tmpl w:val="FFFFFFFF"/>
    <w:lvl w:ilvl="0">
      <w:start w:val="1"/>
      <w:numFmt w:val="decimal"/>
      <w:lvlText w:val="%1."/>
      <w:lvlJc w:val="right"/>
      <w:pPr>
        <w:ind w:left="720" w:hanging="360"/>
      </w:pPr>
      <w:rPr>
        <w:rFonts w:cs="Times New Roman"/>
      </w:rPr>
    </w:lvl>
    <w:lvl w:ilvl="1">
      <w:start w:val="1"/>
      <w:numFmt w:val="decimal"/>
      <w:lvlText w:val="%1.%2."/>
      <w:lvlJc w:val="right"/>
      <w:pPr>
        <w:ind w:left="1080" w:hanging="796"/>
      </w:pPr>
      <w:rPr>
        <w:rFonts w:cs="Times New Roman"/>
        <w:b w:val="0"/>
        <w:sz w:val="20"/>
        <w:szCs w:val="20"/>
      </w:rPr>
    </w:lvl>
    <w:lvl w:ilvl="2">
      <w:start w:val="1"/>
      <w:numFmt w:val="decimal"/>
      <w:lvlText w:val="%1.%2.%3."/>
      <w:lvlJc w:val="right"/>
      <w:pPr>
        <w:ind w:left="850" w:hanging="566"/>
      </w:pPr>
      <w:rPr>
        <w:rFonts w:cs="Times New Roman"/>
        <w:sz w:val="20"/>
        <w:szCs w:val="20"/>
      </w:rPr>
    </w:lvl>
    <w:lvl w:ilvl="3">
      <w:start w:val="1"/>
      <w:numFmt w:val="lowerLetter"/>
      <w:lvlText w:val="%4)"/>
      <w:lvlJc w:val="right"/>
      <w:pPr>
        <w:ind w:left="1440" w:hanging="1080"/>
      </w:pPr>
      <w:rPr>
        <w:rFonts w:ascii="Arial" w:eastAsia="Times New Roman" w:hAnsi="Arial" w:cs="Arial"/>
        <w:sz w:val="20"/>
        <w:szCs w:val="20"/>
      </w:rPr>
    </w:lvl>
    <w:lvl w:ilvl="4">
      <w:start w:val="1"/>
      <w:numFmt w:val="decimal"/>
      <w:lvlText w:val="%1.%2.%3.%4.%5."/>
      <w:lvlJc w:val="right"/>
      <w:pPr>
        <w:ind w:left="1440" w:hanging="1080"/>
      </w:pPr>
      <w:rPr>
        <w:rFonts w:cs="Times New Roman"/>
      </w:rPr>
    </w:lvl>
    <w:lvl w:ilvl="5">
      <w:start w:val="1"/>
      <w:numFmt w:val="decimal"/>
      <w:lvlText w:val="%1.%2.%3.%4.%5.%6."/>
      <w:lvlJc w:val="right"/>
      <w:pPr>
        <w:ind w:left="1800" w:hanging="1440"/>
      </w:pPr>
      <w:rPr>
        <w:rFonts w:cs="Times New Roman"/>
      </w:rPr>
    </w:lvl>
    <w:lvl w:ilvl="6">
      <w:start w:val="1"/>
      <w:numFmt w:val="decimal"/>
      <w:lvlText w:val="%1.%2.%3.%4.%5.%6.%7."/>
      <w:lvlJc w:val="right"/>
      <w:pPr>
        <w:ind w:left="1800" w:hanging="1440"/>
      </w:pPr>
      <w:rPr>
        <w:rFonts w:cs="Times New Roman"/>
      </w:rPr>
    </w:lvl>
    <w:lvl w:ilvl="7">
      <w:start w:val="1"/>
      <w:numFmt w:val="decimal"/>
      <w:lvlText w:val="%1.%2.%3.%4.%5.%6.%7.%8."/>
      <w:lvlJc w:val="right"/>
      <w:pPr>
        <w:ind w:left="2160" w:hanging="1800"/>
      </w:pPr>
      <w:rPr>
        <w:rFonts w:cs="Times New Roman"/>
      </w:rPr>
    </w:lvl>
    <w:lvl w:ilvl="8">
      <w:start w:val="1"/>
      <w:numFmt w:val="decimal"/>
      <w:lvlText w:val="%1.%2.%3.%4.%5.%6.%7.%8.%9."/>
      <w:lvlJc w:val="right"/>
      <w:pPr>
        <w:ind w:left="2160" w:hanging="1800"/>
      </w:pPr>
      <w:rPr>
        <w:rFonts w:cs="Times New Roman"/>
      </w:rPr>
    </w:lvl>
  </w:abstractNum>
  <w:abstractNum w:abstractNumId="1" w15:restartNumberingAfterBreak="0">
    <w:nsid w:val="06F353CD"/>
    <w:multiLevelType w:val="hybridMultilevel"/>
    <w:tmpl w:val="FFFFFFFF"/>
    <w:lvl w:ilvl="0" w:tplc="FCD076A8">
      <w:start w:val="2"/>
      <w:numFmt w:val="lowerLetter"/>
      <w:lvlText w:val="%1)"/>
      <w:lvlJc w:val="left"/>
      <w:pPr>
        <w:ind w:left="927" w:hanging="360"/>
      </w:pPr>
      <w:rPr>
        <w:rFonts w:cs="Times New Roman" w:hint="default"/>
      </w:rPr>
    </w:lvl>
    <w:lvl w:ilvl="1" w:tplc="04050019">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46"/>
    <w:rsid w:val="00372928"/>
    <w:rsid w:val="00465846"/>
    <w:rsid w:val="0068010A"/>
    <w:rsid w:val="00970827"/>
    <w:rsid w:val="00BB21EE"/>
    <w:rsid w:val="00EE40C5"/>
    <w:rsid w:val="00F81610"/>
    <w:rsid w:val="00FA0F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3C9C1"/>
  <w15:docId w15:val="{59B6A2F4-B59E-49F9-ACFA-64ACF560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pPr>
        <w:spacing w:line="2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spacing w:line="400" w:lineRule="auto"/>
      <w:outlineLvl w:val="0"/>
    </w:pPr>
    <w:rPr>
      <w:b/>
      <w:color w:val="CE3736"/>
      <w:sz w:val="36"/>
      <w:szCs w:val="36"/>
    </w:rPr>
  </w:style>
  <w:style w:type="paragraph" w:styleId="Nadpis2">
    <w:name w:val="heading 2"/>
    <w:basedOn w:val="Normln"/>
    <w:next w:val="Normln"/>
    <w:uiPriority w:val="1"/>
    <w:unhideWhenUsed/>
    <w:qFormat/>
    <w:pPr>
      <w:outlineLvl w:val="1"/>
    </w:pPr>
    <w:rPr>
      <w:b/>
      <w:color w:val="000000"/>
      <w:sz w:val="32"/>
      <w:szCs w:val="32"/>
    </w:rPr>
  </w:style>
  <w:style w:type="paragraph" w:styleId="Nadpis3">
    <w:name w:val="heading 3"/>
    <w:basedOn w:val="Normln"/>
    <w:next w:val="Normln"/>
    <w:uiPriority w:val="9"/>
    <w:semiHidden/>
    <w:unhideWhenUsed/>
    <w:qFormat/>
    <w:pPr>
      <w:outlineLvl w:val="2"/>
    </w:pPr>
    <w:rPr>
      <w:b/>
      <w:color w:val="CE3736"/>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aliases w:val="Název smlouvy"/>
    <w:basedOn w:val="Normln"/>
    <w:next w:val="Normln"/>
    <w:link w:val="NzevChar"/>
    <w:uiPriority w:val="10"/>
    <w:qFormat/>
    <w:pPr>
      <w:keepNext/>
      <w:keepLines/>
      <w:spacing w:before="480" w:after="120"/>
      <w:jc w:val="right"/>
    </w:pPr>
    <w:rPr>
      <w:b/>
      <w:color w:val="CE3736"/>
      <w:sz w:val="48"/>
      <w:szCs w:val="48"/>
    </w:rPr>
  </w:style>
  <w:style w:type="paragraph" w:styleId="Podnadpis">
    <w:name w:val="Subtitle"/>
    <w:basedOn w:val="Normln"/>
    <w:next w:val="Normln"/>
    <w:uiPriority w:val="11"/>
    <w:qFormat/>
    <w:pPr>
      <w:spacing w:after="160"/>
    </w:pPr>
    <w:rPr>
      <w:b/>
      <w:color w:val="000000"/>
      <w:sz w:val="44"/>
      <w:szCs w:val="44"/>
    </w:rPr>
  </w:style>
  <w:style w:type="character" w:customStyle="1" w:styleId="NzevChar">
    <w:name w:val="Název Char"/>
    <w:aliases w:val="Název smlouvy Char"/>
    <w:basedOn w:val="Standardnpsmoodstavce"/>
    <w:link w:val="Nzev"/>
    <w:uiPriority w:val="10"/>
    <w:rsid w:val="00F81610"/>
    <w:rPr>
      <w:b/>
      <w:color w:val="CE3736"/>
      <w:sz w:val="48"/>
      <w:szCs w:val="48"/>
    </w:rPr>
  </w:style>
  <w:style w:type="paragraph" w:styleId="Odstavecseseznamem">
    <w:name w:val="List Paragraph"/>
    <w:basedOn w:val="Normln"/>
    <w:uiPriority w:val="1"/>
    <w:qFormat/>
    <w:rsid w:val="00F81610"/>
    <w:pPr>
      <w:ind w:left="720"/>
      <w:contextualSpacing/>
    </w:pPr>
    <w:rPr>
      <w:rFonts w:eastAsia="Times New Roman" w:cs="Open Sans"/>
    </w:rPr>
  </w:style>
  <w:style w:type="character" w:styleId="Hypertextovodkaz">
    <w:name w:val="Hyperlink"/>
    <w:basedOn w:val="Standardnpsmoodstavce"/>
    <w:uiPriority w:val="99"/>
    <w:unhideWhenUsed/>
    <w:rsid w:val="00F81610"/>
    <w:rPr>
      <w:rFonts w:cs="Times New Roman"/>
      <w:color w:val="0000FF" w:themeColor="hyperlink"/>
      <w:u w:val="single"/>
    </w:rPr>
  </w:style>
  <w:style w:type="character" w:customStyle="1" w:styleId="ui-provider">
    <w:name w:val="ui-provider"/>
    <w:basedOn w:val="Standardnpsmoodstavce"/>
    <w:rsid w:val="00F81610"/>
    <w:rPr>
      <w:rFonts w:cs="Times New Roman"/>
    </w:rPr>
  </w:style>
  <w:style w:type="character" w:customStyle="1" w:styleId="UnresolvedMention">
    <w:name w:val="Unresolved Mention"/>
    <w:basedOn w:val="Standardnpsmoodstavce"/>
    <w:uiPriority w:val="99"/>
    <w:semiHidden/>
    <w:unhideWhenUsed/>
    <w:rsid w:val="00F81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48813/19s5-7v20" TargetMode="External"/><Relationship Id="rId13" Type="http://schemas.openxmlformats.org/officeDocument/2006/relationships/hyperlink" Target="mailto:orcid@techlib.cz"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smlouvy.gov.cz/smlouva/24655039?backlink=9wsdd" TargetMode="External"/><Relationship Id="rId12" Type="http://schemas.openxmlformats.org/officeDocument/2006/relationships/hyperlink" Target="https://doi.org/10.48813/b8yj-t88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48813/b8yj-t884"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orcid.org/orcid-for-consortia/roles-and-responsiblities/" TargetMode="External"/><Relationship Id="rId5" Type="http://schemas.openxmlformats.org/officeDocument/2006/relationships/footnotes" Target="footnotes.xml"/><Relationship Id="rId15" Type="http://schemas.openxmlformats.org/officeDocument/2006/relationships/hyperlink" Target="https://doi.org/10.48813/pa9v-v263" TargetMode="External"/><Relationship Id="rId23" Type="http://schemas.openxmlformats.org/officeDocument/2006/relationships/theme" Target="theme/theme1.xml"/><Relationship Id="rId10" Type="http://schemas.openxmlformats.org/officeDocument/2006/relationships/hyperlink" Target="https://doi.org/10.48813/pa9v-v26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48813/pa9v-v263" TargetMode="External"/><Relationship Id="rId14" Type="http://schemas.openxmlformats.org/officeDocument/2006/relationships/hyperlink" Target="mailto:orcid@techlib.cz"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Y:\Administrativa\Smlouvy\smlouvy_PIDs\smlouvy%20ORCID\&#353;ablona_ORCID_update%201.%208.%202023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šablona_ORCID_update 1. 8. 2023_final.dotx</Template>
  <TotalTime>3</TotalTime>
  <Pages>6</Pages>
  <Words>2672</Words>
  <Characters>15767</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Janečková</dc:creator>
  <cp:lastModifiedBy>Jan Bayer</cp:lastModifiedBy>
  <cp:revision>3</cp:revision>
  <dcterms:created xsi:type="dcterms:W3CDTF">2025-06-26T07:07:00Z</dcterms:created>
  <dcterms:modified xsi:type="dcterms:W3CDTF">2025-06-26T07:09:00Z</dcterms:modified>
</cp:coreProperties>
</file>