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2718DF9E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4C3BBB">
        <w:rPr>
          <w:b/>
          <w:sz w:val="24"/>
          <w:szCs w:val="24"/>
        </w:rPr>
        <w:t>976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61A2CE5D" w:rsidR="00376EEC" w:rsidRDefault="004C3BBB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DOMPE s.r.o.,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Dominikem Perglem</w:t>
      </w:r>
    </w:p>
    <w:p w14:paraId="08DBE883" w14:textId="3CA6AF60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4C3BBB">
        <w:rPr>
          <w:sz w:val="24"/>
          <w:szCs w:val="24"/>
        </w:rPr>
        <w:t xml:space="preserve">Kozí 118/5, 252 62 </w:t>
      </w:r>
      <w:proofErr w:type="spellStart"/>
      <w:r w:rsidR="004C3BBB">
        <w:rPr>
          <w:sz w:val="24"/>
          <w:szCs w:val="24"/>
        </w:rPr>
        <w:t>Unětice</w:t>
      </w:r>
      <w:proofErr w:type="spellEnd"/>
    </w:p>
    <w:p w14:paraId="7773A142" w14:textId="0479FCD7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4C3BBB">
        <w:rPr>
          <w:sz w:val="24"/>
          <w:szCs w:val="24"/>
        </w:rPr>
        <w:t>290 17 904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46BA5034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4C3BBB">
        <w:rPr>
          <w:b/>
          <w:sz w:val="24"/>
          <w:szCs w:val="24"/>
        </w:rPr>
        <w:t>8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4C3BBB">
        <w:rPr>
          <w:b/>
          <w:sz w:val="24"/>
          <w:szCs w:val="24"/>
        </w:rPr>
        <w:t>9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C389F">
        <w:rPr>
          <w:b/>
          <w:sz w:val="24"/>
          <w:szCs w:val="24"/>
        </w:rPr>
        <w:t>5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1FF640EE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1DA677D8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>:</w:t>
      </w:r>
    </w:p>
    <w:p w14:paraId="4C4F7506" w14:textId="49FDC157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54161E9A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1B49109F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D70999">
        <w:rPr>
          <w:sz w:val="24"/>
          <w:szCs w:val="24"/>
        </w:rPr>
        <w:t xml:space="preserve"> 16. 6. 2025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537A8AF8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4C3BBB">
        <w:rPr>
          <w:b/>
          <w:sz w:val="24"/>
          <w:szCs w:val="24"/>
        </w:rPr>
        <w:t>976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6FA0CA31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CB1A" w14:textId="77777777" w:rsidR="00DC74EB" w:rsidRDefault="00DC74EB">
      <w:r>
        <w:separator/>
      </w:r>
    </w:p>
  </w:endnote>
  <w:endnote w:type="continuationSeparator" w:id="0">
    <w:p w14:paraId="646F310E" w14:textId="77777777" w:rsidR="00DC74EB" w:rsidRDefault="00D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0D71" w14:textId="77777777" w:rsidR="00DC74EB" w:rsidRDefault="00DC74EB">
      <w:r>
        <w:separator/>
      </w:r>
    </w:p>
  </w:footnote>
  <w:footnote w:type="continuationSeparator" w:id="0">
    <w:p w14:paraId="0DA4EA0F" w14:textId="77777777" w:rsidR="00DC74EB" w:rsidRDefault="00DC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87F60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3BBB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70999"/>
    <w:rsid w:val="00D8780E"/>
    <w:rsid w:val="00D90260"/>
    <w:rsid w:val="00DB3032"/>
    <w:rsid w:val="00DB59B3"/>
    <w:rsid w:val="00DC389F"/>
    <w:rsid w:val="00DC55DF"/>
    <w:rsid w:val="00DC74EB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1186"/>
    <w:rsid w:val="00F76693"/>
    <w:rsid w:val="00F820DC"/>
    <w:rsid w:val="00FB6C60"/>
    <w:rsid w:val="00FB6FE1"/>
    <w:rsid w:val="00FC6312"/>
    <w:rsid w:val="00FD05DD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1290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5</cp:revision>
  <cp:lastPrinted>2022-11-25T08:11:00Z</cp:lastPrinted>
  <dcterms:created xsi:type="dcterms:W3CDTF">2025-06-09T09:17:00Z</dcterms:created>
  <dcterms:modified xsi:type="dcterms:W3CDTF">2025-06-25T08:14:00Z</dcterms:modified>
</cp:coreProperties>
</file>