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72" w:left="432" w:firstLine="-360"/>
        <w:spacing w:before="0" w:after="0" w:line="268" w:lineRule="auto"/>
        <w:jc w:val="both"/>
        <w:tabs>
          <w:tab w:val="clear" w:pos="360"/>
          <w:tab w:val="decimal" w:pos="432"/>
        </w:tabs>
        <w:numPr>
          <w:ilvl w:val="0"/>
          <w:numId w:val="2"/>
        </w:numPr>
        <w:rPr>
          <w:b w:val="true"/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96pt;height:9.55pt;z-index:-1000;margin-left:0pt;margin-top:704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201" w:lineRule="auto"/>
                    <w:jc w:val="right"/>
                    <w:framePr w:hAnchor="text" w:vAnchor="text" w:y="14083" w:w="9920" w:h="191" w:hSpace="0" w:vSpace="0" w:wrap="3"/>
                    <w:rPr>
                      <w:color w:val="#000000"/>
                      <w:sz w:val="19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Stránka </w:t>
                  </w:r>
                  <w:r>
                    <w:rPr>
                      <w:b w:val="true"/>
                      <w:color w:val="#000000"/>
                      <w:sz w:val="18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3 </w:t>
                  </w:r>
                  <w:r>
                    <w:rPr>
                      <w:color w:val="#000000"/>
                      <w:sz w:val="17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z </w:t>
                  </w:r>
                  <w:r>
                    <w:rPr>
                      <w:b w:val="true"/>
                      <w:color w:val="#000000"/>
                      <w:sz w:val="18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6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„Všeobecná poplachová zpráva"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je informace zaslaná z EPS v Míst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 určení směrem na PCO HZS. 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Operační důstojník HZS vyšle neprodleně síly a prostředky k zásahu na objekt. Systém PCO HZS 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automaticky posílá SMS zprávu.</w:t>
      </w:r>
    </w:p>
    <w:p>
      <w:pPr>
        <w:ind w:right="72" w:left="432" w:firstLine="-360"/>
        <w:spacing w:before="180" w:after="0" w:line="264" w:lineRule="auto"/>
        <w:jc w:val="both"/>
        <w:tabs>
          <w:tab w:val="clear" w:pos="360"/>
          <w:tab w:val="decimal" w:pos="432"/>
        </w:tabs>
        <w:numPr>
          <w:ilvl w:val="0"/>
          <w:numId w:val="2"/>
        </w:numPr>
        <w:rPr>
          <w:b w:val="true"/>
          <w:color w:val="#000000"/>
          <w:sz w:val="18"/>
          <w:lang w:val="cs-CZ"/>
          <w:spacing w:val="7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„Všeobecná Poruchová zpráva" </w:t>
      </w:r>
      <w: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je informace o všeobecné poruše systému EPS bez rozlišení 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významu, zaslaná z EPS v Míst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ě určení směrem na PCO HZS a PCO DOHLED. Systém PCO HZS 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automaticky posílá SMS zprávu. Objednatel následně provede opatření </w:t>
      </w:r>
      <w:r>
        <w:rPr>
          <w:color w:val="#000000"/>
          <w:sz w:val="17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k 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odstranění závady, případně </w: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další opatření k zajištění požární bezpečnosti objektu,</w:t>
      </w:r>
    </w:p>
    <w:p>
      <w:pPr>
        <w:ind w:right="144" w:left="288" w:firstLine="-288"/>
        <w:spacing w:before="216" w:after="0" w:line="240" w:lineRule="auto"/>
        <w:jc w:val="left"/>
        <w:rPr>
          <w:b w:val="true"/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25.,,Vyhrazené požárn</w:t>
      </w:r>
      <w:r>
        <w:rPr>
          <w:b w:val="true"/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ě bezpečnostní zařízení"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je zařízení uvedené ve Vyh1.246/2001 (Vyhláška o 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požární prevenci), a jehož provoz se řídí touto vyhláškou</w:t>
      </w:r>
    </w:p>
    <w:p>
      <w:pPr>
        <w:ind w:right="72" w:left="432" w:firstLine="-360"/>
        <w:spacing w:before="288" w:after="0" w:line="264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b w:val="true"/>
          <w:color w:val="#000000"/>
          <w:sz w:val="18"/>
          <w:lang w:val="cs-CZ"/>
          <w:spacing w:val="14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14"/>
          <w:w w:val="100"/>
          <w:strike w:val="false"/>
          <w:vertAlign w:val="baseline"/>
          <w:rFonts w:ascii="Verdana" w:hAnsi="Verdana"/>
        </w:rPr>
        <w:t xml:space="preserve">„Vyšší moc" </w:t>
      </w:r>
      <w: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znamená p</w:t>
      </w:r>
      <w: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řekážku, která nastala nezávisle na vůli smluvní Strany, které tato </w:t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skutečnost brání v pinění povinností dle Smlouvy, tuto nemožnost pinění svých povinnosti neprodleně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oznámí druhé smluvní straně. Za zásah Vyšší moci budou Strany považovat zejména požár, povodeň, </w:t>
      </w:r>
      <w:r>
        <w:rPr>
          <w:color w:val="#000000"/>
          <w:sz w:val="19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nepříznivé povětrnostní podmínky, jiné živelní pohromy, zásah orgánů státní moci, stávky, 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demonstrace, válku, apod.</w:t>
      </w:r>
    </w:p>
    <w:p>
      <w:pPr>
        <w:ind w:right="0" w:left="432" w:firstLine="-360"/>
        <w:spacing w:before="216" w:after="0" w:line="240" w:lineRule="auto"/>
        <w:jc w:val="left"/>
        <w:tabs>
          <w:tab w:val="clear" w:pos="360"/>
          <w:tab w:val="decimal" w:pos="432"/>
        </w:tabs>
        <w:numPr>
          <w:ilvl w:val="0"/>
          <w:numId w:val="3"/>
        </w:numPr>
        <w:rPr>
          <w:b w:val="true"/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„Web" </w: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znamená internetové stránky Dodavatele provozované na adrese:</w:t>
      </w:r>
      <w:r>
        <w:rPr>
          <w:color w:val="#93ADC6"/>
          <w:sz w:val="18"/>
          <w:lang w:val="cs-CZ"/>
          <w:spacing w:val="9"/>
          <w:w w:val="100"/>
          <w:strike w:val="false"/>
          <w:u w:val="single"/>
          <w:vertAlign w:val="baseline"/>
          <w:rFonts w:ascii="Verdana" w:hAnsi="Verdana"/>
        </w:rPr>
        <w:t xml:space="preserve"> .vww.patrol.cz</w:t>
      </w:r>
      <w:r>
        <w:rPr>
          <w:color w:val="#000000"/>
          <w:sz w:val="6"/>
          <w:lang w:val="cs-CZ"/>
          <w:spacing w:val="9"/>
          <w:w w:val="100"/>
          <w:strike w:val="false"/>
          <w:u w:val="single"/>
          <w:vertAlign w:val="baseline"/>
          <w:rFonts w:ascii="Arial" w:hAnsi="Arial"/>
        </w:rPr>
        <w:t xml:space="preserve"> </w:t>
      </w:r>
    </w:p>
    <w:p>
      <w:pPr>
        <w:ind w:right="72" w:left="432" w:firstLine="-360"/>
        <w:spacing w:before="288" w:after="0" w:line="240" w:lineRule="auto"/>
        <w:jc w:val="left"/>
        <w:tabs>
          <w:tab w:val="clear" w:pos="360"/>
          <w:tab w:val="decimal" w:pos="432"/>
        </w:tabs>
        <w:numPr>
          <w:ilvl w:val="0"/>
          <w:numId w:val="3"/>
        </w:numPr>
        <w:rPr>
          <w:b w:val="true"/>
          <w:color w:val="#000000"/>
          <w:sz w:val="18"/>
          <w:lang w:val="cs-CZ"/>
          <w:spacing w:val="6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6"/>
          <w:w w:val="100"/>
          <w:strike w:val="false"/>
          <w:vertAlign w:val="baseline"/>
          <w:rFonts w:ascii="Verdana" w:hAnsi="Verdana"/>
        </w:rPr>
        <w:t xml:space="preserve">„ZDP" 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znamená Za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řízení Dálkového Přenosu napojené na výstupy EPS, a přenášejíci zprávy na PCO HZS příslušného kraje, a PCO DOHLED.</w:t>
      </w:r>
    </w:p>
    <w:p>
      <w:pPr>
        <w:ind w:right="0" w:left="288" w:firstLine="0"/>
        <w:spacing w:before="972" w:after="0" w:line="204" w:lineRule="auto"/>
        <w:jc w:val="left"/>
        <w:rPr>
          <w:b w:val="true"/>
          <w:color w:val="#000000"/>
          <w:sz w:val="18"/>
          <w:lang w:val="cs-CZ"/>
          <w:spacing w:val="16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16"/>
          <w:w w:val="100"/>
          <w:strike w:val="false"/>
          <w:vertAlign w:val="baseline"/>
          <w:rFonts w:ascii="Verdana" w:hAnsi="Verdana"/>
        </w:rPr>
        <w:t xml:space="preserve">III. POVINNOSTI DODAVATELE</w:t>
      </w:r>
    </w:p>
    <w:p>
      <w:pPr>
        <w:ind w:right="0" w:left="288" w:firstLine="0"/>
        <w:spacing w:before="360" w:after="0" w:line="264" w:lineRule="auto"/>
        <w:jc w:val="left"/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A) Zákonem stanovené služby uvedené v odstavci A) P</w:t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řílohy č.1</w:t>
      </w:r>
    </w:p>
    <w:p>
      <w:pPr>
        <w:ind w:right="0" w:left="432" w:firstLine="-360"/>
        <w:spacing w:before="144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Zajišt</w:t>
      </w:r>
      <w: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ění přenosu poplachových, poruchových a dalších signálů připojené EPS prostřednictvím objek</w:t>
        <w:softHyphen/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tového zařízení dálkového přenosu a přenosové cesty Dodavatele na PCO HZS, a v případě volby ob</w:t>
        <w:softHyphen/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jednatele i na PCO DOHLED.</w:t>
      </w:r>
    </w:p>
    <w:p>
      <w:pPr>
        <w:ind w:right="0" w:left="432" w:firstLine="-360"/>
        <w:spacing w:before="36" w:after="0" w:line="271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Zajišt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ění přenosu signálů uvedených v bodě 1 tohoto odst. dvěma nezávislými přenosovými cestami.</w:t>
      </w:r>
    </w:p>
    <w:p>
      <w:pPr>
        <w:ind w:right="0" w:left="432" w:firstLine="-360"/>
        <w:spacing w:before="72" w:after="0" w:line="271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Zajišt</w:t>
      </w:r>
      <w: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ění opravy v případě výpadku některé z přenosových cest se zahájením do 6 hodin,</w:t>
      </w:r>
    </w:p>
    <w:p>
      <w:pPr>
        <w:ind w:right="0" w:left="432" w:firstLine="-360"/>
        <w:spacing w:before="0" w:after="0" w:line="271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Provedení pravidelné fyzické kontroly provozuschopnosti objektového ZDP jedenkrát za rok.</w:t>
      </w:r>
    </w:p>
    <w:p>
      <w:pPr>
        <w:ind w:right="72" w:left="432" w:firstLine="-360"/>
        <w:spacing w:before="36" w:after="0" w:line="314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Provedení zákonné revize elektrických napájecích 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částí systému ZDP v periodách stanovených 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příslušnými předpisy.</w:t>
      </w:r>
    </w:p>
    <w:p>
      <w:pPr>
        <w:ind w:right="0" w:left="432" w:firstLine="-360"/>
        <w:spacing w:before="0" w:after="0" w:line="264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9"/>
          <w:lang w:val="cs-CZ"/>
          <w:spacing w:val="1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3"/>
          <w:w w:val="100"/>
          <w:strike w:val="false"/>
          <w:vertAlign w:val="baseline"/>
          <w:rFonts w:ascii="Arial" w:hAnsi="Arial"/>
        </w:rPr>
        <w:t xml:space="preserve">Monitorování konektivity obou p</w:t>
      </w:r>
      <w:r>
        <w:rPr>
          <w:color w:val="#000000"/>
          <w:sz w:val="19"/>
          <w:lang w:val="cs-CZ"/>
          <w:spacing w:val="13"/>
          <w:w w:val="100"/>
          <w:strike w:val="false"/>
          <w:vertAlign w:val="baseline"/>
          <w:rFonts w:ascii="Arial" w:hAnsi="Arial"/>
        </w:rPr>
        <w:t xml:space="preserve">řenosových cest na PCO HZS a PCO DOHLED.</w:t>
      </w:r>
    </w:p>
    <w:p>
      <w:pPr>
        <w:ind w:right="0" w:left="432" w:firstLine="-360"/>
        <w:spacing w:before="36" w:after="0" w:line="240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9"/>
          <w:lang w:val="cs-CZ"/>
          <w:spacing w:val="1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7"/>
          <w:w w:val="100"/>
          <w:strike w:val="false"/>
          <w:vertAlign w:val="baseline"/>
          <w:rFonts w:ascii="Arial" w:hAnsi="Arial"/>
        </w:rPr>
        <w:t xml:space="preserve">Monitorování technického stavu objektového ZDP.</w:t>
      </w:r>
    </w:p>
    <w:p>
      <w:pPr>
        <w:ind w:right="72" w:left="432" w:firstLine="-360"/>
        <w:spacing w:before="36" w:after="0" w:line="302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Monitorování poruchových zpráv p</w:t>
      </w: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řipojeného systému EPS, a to adresně s rozlišením významu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poruchy.</w:t>
      </w:r>
    </w:p>
    <w:p>
      <w:pPr>
        <w:ind w:right="0" w:left="432" w:firstLine="-360"/>
        <w:spacing w:before="72" w:after="0" w:line="240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9"/>
          <w:lang w:val="cs-CZ"/>
          <w:spacing w:val="1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3"/>
          <w:w w:val="100"/>
          <w:strike w:val="false"/>
          <w:vertAlign w:val="baseline"/>
          <w:rFonts w:ascii="Arial" w:hAnsi="Arial"/>
        </w:rPr>
        <w:t xml:space="preserve">Sou</w:t>
      </w:r>
      <w:r>
        <w:rPr>
          <w:color w:val="#000000"/>
          <w:sz w:val="19"/>
          <w:lang w:val="cs-CZ"/>
          <w:spacing w:val="13"/>
          <w:w w:val="100"/>
          <w:strike w:val="false"/>
          <w:vertAlign w:val="baseline"/>
          <w:rFonts w:ascii="Arial" w:hAnsi="Arial"/>
        </w:rPr>
        <w:t xml:space="preserve">činnost PCO Dohledu při provádění servisních prací na připojeném systému EPS.</w:t>
      </w:r>
    </w:p>
    <w:p>
      <w:pPr>
        <w:ind w:right="0" w:left="288" w:firstLine="0"/>
        <w:spacing w:before="936" w:after="0" w:line="240" w:lineRule="auto"/>
        <w:jc w:val="left"/>
        <w:rPr>
          <w:b w:val="true"/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B) Objednatelem volitelné služby uvedené v odstavci B) P</w:t>
      </w:r>
      <w:r>
        <w:rPr>
          <w:b w:val="true"/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řílohy č.1 na základě objednávky</w:t>
      </w:r>
    </w:p>
    <w:p>
      <w:pPr>
        <w:ind w:right="0" w:left="72" w:firstLine="0"/>
        <w:spacing w:before="180" w:after="0" w:line="240" w:lineRule="auto"/>
        <w:jc w:val="left"/>
        <w:tabs>
          <w:tab w:val="clear" w:pos="288"/>
          <w:tab w:val="decimal" w:pos="360"/>
        </w:tabs>
        <w:numPr>
          <w:ilvl w:val="0"/>
          <w:numId w:val="5"/>
        </w:numPr>
        <w:rPr>
          <w:color w:val="#000000"/>
          <w:sz w:val="19"/>
          <w:lang w:val="cs-CZ"/>
          <w:spacing w:val="1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5"/>
          <w:w w:val="100"/>
          <w:strike w:val="false"/>
          <w:vertAlign w:val="baseline"/>
          <w:rFonts w:ascii="Arial" w:hAnsi="Arial"/>
        </w:rPr>
        <w:t xml:space="preserve">Opravy, kontroly a revize za</w:t>
      </w:r>
      <w:r>
        <w:rPr>
          <w:color w:val="#000000"/>
          <w:sz w:val="19"/>
          <w:lang w:val="cs-CZ"/>
          <w:spacing w:val="15"/>
          <w:w w:val="100"/>
          <w:strike w:val="false"/>
          <w:vertAlign w:val="baseline"/>
          <w:rFonts w:ascii="Arial" w:hAnsi="Arial"/>
        </w:rPr>
        <w:t xml:space="preserve">řízení prováděné nad rámec smlouvy.</w:t>
      </w:r>
    </w:p>
    <w:p>
      <w:pPr>
        <w:ind w:right="0" w:left="72" w:firstLine="0"/>
        <w:spacing w:before="0" w:after="0" w:line="266" w:lineRule="auto"/>
        <w:jc w:val="left"/>
        <w:tabs>
          <w:tab w:val="clear" w:pos="288"/>
          <w:tab w:val="decimal" w:pos="360"/>
        </w:tabs>
        <w:numPr>
          <w:ilvl w:val="0"/>
          <w:numId w:val="5"/>
        </w:numPr>
        <w:rPr>
          <w:color w:val="#000000"/>
          <w:sz w:val="19"/>
          <w:lang w:val="cs-CZ"/>
          <w:spacing w:val="2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0"/>
          <w:w w:val="100"/>
          <w:strike w:val="false"/>
          <w:vertAlign w:val="baseline"/>
          <w:rFonts w:ascii="Arial" w:hAnsi="Arial"/>
        </w:rPr>
        <w:t xml:space="preserve">Prodení pololetní zkoušky formou vzdáleného p</w:t>
      </w:r>
      <w:r>
        <w:rPr>
          <w:color w:val="#000000"/>
          <w:sz w:val="19"/>
          <w:lang w:val="cs-CZ"/>
          <w:spacing w:val="20"/>
          <w:w w:val="100"/>
          <w:strike w:val="false"/>
          <w:vertAlign w:val="baseline"/>
          <w:rFonts w:ascii="Arial" w:hAnsi="Arial"/>
        </w:rPr>
        <w:t xml:space="preserve">řístupu.</w:t>
      </w:r>
    </w:p>
    <w:p>
      <w:pPr>
        <w:sectPr>
          <w:pgSz w:w="11918" w:h="16854" w:orient="portrait"/>
          <w:type w:val="nextPage"/>
          <w:textDirection w:val="lrTb"/>
          <w:pgMar w:bottom="1389" w:top="1052" w:right="938" w:left="1000" w:header="720" w:footer="720"/>
          <w:titlePg w:val="false"/>
        </w:sectPr>
      </w:pPr>
    </w:p>
    <w:p>
      <w:pPr>
        <w:ind w:right="0" w:left="360" w:firstLine="0"/>
        <w:spacing w:before="0" w:after="0" w:line="192" w:lineRule="auto"/>
        <w:jc w:val="left"/>
        <w:tabs>
          <w:tab w:val="right" w:leader="none" w:pos="4119"/>
        </w:tabs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96pt;height:9.5pt;z-index:-999;margin-left:0pt;margin-top:703.8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204" w:lineRule="auto"/>
                    <w:jc w:val="right"/>
                    <w:framePr w:hAnchor="text" w:vAnchor="text" w:y="14077" w:w="9920" w:h="190" w:hSpace="0" w:vSpace="0" w:wrap="3"/>
                    <w:rPr>
                      <w:color w:val="#000000"/>
                      <w:sz w:val="18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Stránka </w:t>
                  </w:r>
                  <w:r>
                    <w:rPr>
                      <w:b w:val="true"/>
                      <w:color w:val="#000000"/>
                      <w:sz w:val="17"/>
                      <w:lang w:val="cs-CZ"/>
                      <w:spacing w:val="-6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4 z 6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IV.	</w:t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POVINNOSTI OBJEDNATELE</w:t>
      </w:r>
    </w:p>
    <w:p>
      <w:pPr>
        <w:ind w:right="0" w:left="432" w:firstLine="-360"/>
        <w:spacing w:before="180" w:after="0" w:line="240" w:lineRule="auto"/>
        <w:jc w:val="both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V Objektu provozovat funk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ční EPS odpovídající platným předpisům a normám. Veškeré změny a úpravy EPS, které mění či mohou měnit jeho charakter (např. změny konfigurace hlásičů EPS), bezodkladně prokazatelně oznámit Dodavateli.</w:t>
      </w:r>
    </w:p>
    <w:p>
      <w:pPr>
        <w:ind w:right="0" w:left="432" w:firstLine="-360"/>
        <w:spacing w:before="36" w:after="0" w:line="240" w:lineRule="auto"/>
        <w:jc w:val="both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Stanovit práva a povinnosti osobám provád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ějícím obsluhu EPS a OPPO.</w:t>
      </w:r>
    </w:p>
    <w:p>
      <w:pPr>
        <w:ind w:right="0" w:left="432" w:firstLine="-360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V sou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činnosti se servisní společností EPS zajistit pině funkční OPPD v souladu s CSN342710 příloha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E</w:t>
      </w:r>
    </w:p>
    <w:p>
      <w:pPr>
        <w:ind w:right="0" w:left="432" w:firstLine="-360"/>
        <w:spacing w:before="36" w:after="0" w:line="240" w:lineRule="auto"/>
        <w:jc w:val="left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řed zahájením servisních prací na systému EPS odpojit ZDP prostřednictvím tlačítka „ZDP vypnuto"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na zařízení OPPO.</w:t>
      </w:r>
    </w:p>
    <w:p>
      <w:pPr>
        <w:ind w:right="0" w:left="432" w:firstLine="-360"/>
        <w:spacing w:before="36" w:after="0" w:line="240" w:lineRule="auto"/>
        <w:jc w:val="both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Po ukon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čení servisních prací na EPS provést zkoušku přenosu vyvoláním všeobecného poplachu na systému EPS. Tuto zkoušku provést ještě ve stavu </w:t>
      </w:r>
      <w:r>
        <w:rPr>
          <w:b w:val="true"/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„ZDP </w:t>
      </w:r>
      <w:r>
        <w:rPr>
          <w:b w:val="true"/>
          <w:color w:val="#000000"/>
          <w:sz w:val="17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vypnuto"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na OPPO. Průchod všeobecného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poplachu ověřit telefonicky na PCO DOHLED Dodavatele,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Po úsp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ěšném ukončení zkoušky zapnout ZDP na OPPO tlačítkem „ZDP vypnuto".</w:t>
      </w:r>
    </w:p>
    <w:p>
      <w:pPr>
        <w:ind w:right="144" w:left="216" w:firstLine="-144"/>
        <w:spacing w:before="36" w:after="0" w:line="240" w:lineRule="auto"/>
        <w:jc w:val="left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V p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řípadě výpadku síťového napájení 230V na objektu delším než 24 hodin informovat Dodavatele.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8, Udržovat Seznam osob pro komunikaci v aktuálním stavu pro účel pinění informačních povinnostní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Dodavatele.</w:t>
      </w:r>
    </w:p>
    <w:p>
      <w:pPr>
        <w:ind w:right="0" w:left="360" w:firstLine="-360"/>
        <w:spacing w:before="36" w:after="0" w:line="240" w:lineRule="auto"/>
        <w:jc w:val="both"/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9. Umožnit Dodavateli p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řístup k objektovému ZDP v Místě určení pro provádění servisních prací a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kontrol.</w:t>
      </w:r>
    </w:p>
    <w:p>
      <w:pPr>
        <w:ind w:right="0" w:left="360" w:firstLine="-360"/>
        <w:spacing w:before="36" w:after="0" w:line="240" w:lineRule="auto"/>
        <w:jc w:val="both"/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10 V p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řípadě ukončení smlouvy neprovozovat ZDP a umožnit bezodkladně Dodavateli demontáž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objektového ZDP, zejména vysokofrekvenční části vysílače (vysílač ZDP lze provozovat pouze na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frekvenci dle povolení přidělené Dodavateli Českým telekomunikačním úřadem).</w:t>
      </w:r>
    </w:p>
    <w:p>
      <w:pPr>
        <w:ind w:right="0" w:left="288" w:firstLine="0"/>
        <w:spacing w:before="432" w:after="0" w:line="240" w:lineRule="auto"/>
        <w:jc w:val="left"/>
        <w:rPr>
          <w:b w:val="true"/>
          <w:color w:val="#000000"/>
          <w:sz w:val="18"/>
          <w:lang w:val="cs-CZ"/>
          <w:spacing w:val="20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20"/>
          <w:w w:val="100"/>
          <w:strike w:val="false"/>
          <w:vertAlign w:val="baseline"/>
          <w:rFonts w:ascii="Verdana" w:hAnsi="Verdana"/>
        </w:rPr>
        <w:t xml:space="preserve">V. CENA ZA SLUŽBY</w:t>
      </w:r>
    </w:p>
    <w:p>
      <w:pPr>
        <w:ind w:right="0" w:left="360" w:firstLine="-288"/>
        <w:spacing w:before="180" w:after="0" w:line="240" w:lineRule="auto"/>
        <w:jc w:val="both"/>
        <w:tabs>
          <w:tab w:val="clear" w:pos="288"/>
          <w:tab w:val="decimal" w:pos="360"/>
        </w:tabs>
        <w:numPr>
          <w:ilvl w:val="0"/>
          <w:numId w:val="7"/>
        </w:numP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Verdana" w:hAnsi="Verdana"/>
        </w:rPr>
        <w:t xml:space="preserve">Objednatel uhradí m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Verdana" w:hAnsi="Verdana"/>
        </w:rPr>
        <w:t xml:space="preserve">ěsíčně poplatek za Služby, který je vzájemnou dohodou stanoven aktuálně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platným ceníkem, jehož verze platná v době uzavření Smlouvy je uvedena v příloze č.1 Smlouvy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(Elektronický ceník). Cenu poskytované služby dle Smlouvy určuje Ceník. Kontakt pro komunikaci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musí být uveden v příloze č. 3 (Seznam osob pro komunikaci).</w:t>
      </w:r>
    </w:p>
    <w:p>
      <w:pPr>
        <w:ind w:right="0" w:left="360" w:firstLine="-288"/>
        <w:spacing w:before="72" w:after="0" w:line="240" w:lineRule="auto"/>
        <w:jc w:val="both"/>
        <w:tabs>
          <w:tab w:val="clear" w:pos="288"/>
          <w:tab w:val="decimal" w:pos="360"/>
        </w:tabs>
        <w:numPr>
          <w:ilvl w:val="0"/>
          <w:numId w:val="7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Poplatky dle odst, 1 tohoto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článku budou navýšeny o DPH v zákonné výši a budou hrazeny měsíčně,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pokud nebude mezi Stranami dohodnuto jinak na základě vystavené faktury. Fakturu - daňový doklad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vystaví Dodavatel vždy k poslednímu dni v měsíci. Jako variabilní symbol platby bude objednatel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uvádět číslo příslušné faktury. Splatnost faktury je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15 dne] od data vystavení.</w:t>
      </w:r>
    </w:p>
    <w:p>
      <w:pPr>
        <w:ind w:right="0" w:left="360" w:firstLine="-288"/>
        <w:spacing w:before="36" w:after="0" w:line="240" w:lineRule="auto"/>
        <w:jc w:val="both"/>
        <w:tabs>
          <w:tab w:val="clear" w:pos="288"/>
          <w:tab w:val="decimal" w:pos="360"/>
        </w:tabs>
        <w:numPr>
          <w:ilvl w:val="0"/>
          <w:numId w:val="7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Pokud fakturovaná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částka za Služby nebude připsána na účet Dodavatele po datu splatnosti faktury,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má Dodavatel právo od této smlouvy jednostranné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odstoupit nebo dočasně přerušit pinění povinností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vyplývajících ze Smlouvy do zaplacení dlužné částky. Objednatel bude před odstoupením od Smlouvy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nebo přerušením Služby předem informován.</w:t>
      </w:r>
    </w:p>
    <w:p>
      <w:pPr>
        <w:ind w:right="0" w:left="288" w:firstLine="0"/>
        <w:spacing w:before="792" w:after="0" w:line="240" w:lineRule="auto"/>
        <w:jc w:val="left"/>
        <w:rPr>
          <w:b w:val="true"/>
          <w:color w:val="#000000"/>
          <w:sz w:val="18"/>
          <w:lang w:val="cs-CZ"/>
          <w:spacing w:val="12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12"/>
          <w:w w:val="100"/>
          <w:strike w:val="false"/>
          <w:vertAlign w:val="baseline"/>
          <w:rFonts w:ascii="Verdana" w:hAnsi="Verdana"/>
        </w:rPr>
        <w:t xml:space="preserve">VI. ZM</w:t>
      </w:r>
      <w:r>
        <w:rPr>
          <w:b w:val="true"/>
          <w:color w:val="#000000"/>
          <w:sz w:val="18"/>
          <w:lang w:val="cs-CZ"/>
          <w:spacing w:val="12"/>
          <w:w w:val="100"/>
          <w:strike w:val="false"/>
          <w:vertAlign w:val="baseline"/>
          <w:rFonts w:ascii="Verdana" w:hAnsi="Verdana"/>
        </w:rPr>
        <w:t xml:space="preserve">ĚNA SLUŽBY A CENY</w:t>
      </w:r>
    </w:p>
    <w:p>
      <w:pPr>
        <w:ind w:right="0" w:left="0" w:firstLine="0"/>
        <w:spacing w:before="252" w:after="0" w:line="264" w:lineRule="auto"/>
        <w:jc w:val="left"/>
        <w:tabs>
          <w:tab w:val="left" w:leader="none" w:pos="1656"/>
          <w:tab w:val="left" w:leader="none" w:pos="2139"/>
          <w:tab w:val="right" w:leader="none" w:pos="9893"/>
        </w:tabs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1. Dodavatel	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je	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oprávn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ěn	</w:t>
      </w:r>
      <w:r>
        <w:rPr>
          <w:color w:val="#000000"/>
          <w:sz w:val="18"/>
          <w:lang w:val="cs-CZ"/>
          <w:spacing w:val="16"/>
          <w:w w:val="100"/>
          <w:strike w:val="false"/>
          <w:vertAlign w:val="baseline"/>
          <w:rFonts w:ascii="Verdana" w:hAnsi="Verdana"/>
        </w:rPr>
        <w:t xml:space="preserve">přistoupit ke změně Služby nebo její ceny zejména v případě</w:t>
      </w:r>
    </w:p>
    <w:p>
      <w:pPr>
        <w:ind w:right="0" w:left="288" w:firstLine="0"/>
        <w:spacing w:before="0" w:after="0" w:line="280" w:lineRule="auto"/>
        <w:jc w:val="both"/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Verdana" w:hAnsi="Verdana"/>
        </w:rPr>
        <w:t xml:space="preserve">objektivních zm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Verdana" w:hAnsi="Verdana"/>
        </w:rPr>
        <w:t xml:space="preserve">ěn okolností, kterými jsou např. změna technologií, rozšíření nabídky Služeb, </w:t>
      </w:r>
      <w: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Verdana" w:hAnsi="Verdana"/>
        </w:rPr>
        <w:t xml:space="preserve">optimalizace poskytování Služeb, změny cen nebo podmínek pinění třetí strany využívané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Dodavatelem při poskytování Služeb, změny právních předpisů upravujících poskytování Služeb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nebo změny v jejich výkladu, resp. v rozhodovaci praxi dotčených orgánů apod. Dodavatel však není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těmito například uvedenými důvody omezen. Změnu Služby nebo její ceny oznámí Objednateli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zasláním aktuálního Ceníku s uvedením nové - změněné Služby, </w:t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či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změnou ceny, Toto oznámení o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Verdana" w:hAnsi="Verdana"/>
        </w:rPr>
        <w:t xml:space="preserve">změně je </w:t>
      </w:r>
      <w:r>
        <w:rPr>
          <w:i w:val="true"/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povinen </w:t>
      </w:r>
      <w:r>
        <w:rPr>
          <w:i w:val="true"/>
          <w:color w:val="#000000"/>
          <w:sz w:val="18"/>
          <w:lang w:val="cs-CZ"/>
          <w:spacing w:val="6"/>
          <w:w w:val="120"/>
          <w:strike w:val="false"/>
          <w:vertAlign w:val="baseline"/>
          <w:rFonts w:ascii="Tahoma" w:hAnsi="Tahoma"/>
        </w:rPr>
        <w:t xml:space="preserve">zaslat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Verdana" w:hAnsi="Verdana"/>
        </w:rPr>
        <w:t xml:space="preserve">Objednateli dopředu před nabytím účinnosti změny Služby nebo ceny ve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lhůtě nejméně o 1 měsíc delší, než je výpovědní doba uvedená v čl. VII. odst. 2 písm. b) tak, aby Objednatel, v případě, že nesouhlasí, měl možnost smluvní vztah vypovědět. Ke změně Služby nebo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Verdana" w:hAnsi="Verdana"/>
        </w:rPr>
        <w:t xml:space="preserve">ceny takto dojde k datu uvedeném v oznámení o změně, přičemž toto datum bude Dodavatelem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zvoleno s ohledem na zachování práva Objednatele od Smlouvy odstoupit před nabytím účinnosti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změn. Změnou ceny dle tohoto odstavce není zamýšlena valorizace ceny dle odst. 3 tohoto či.</w:t>
      </w:r>
    </w:p>
    <w:p>
      <w:pPr>
        <w:sectPr>
          <w:pgSz w:w="11918" w:h="16854" w:orient="portrait"/>
          <w:type w:val="nextPage"/>
          <w:textDirection w:val="lrTb"/>
          <w:pgMar w:bottom="1175" w:top="1272" w:right="931" w:left="1007" w:header="720" w:footer="720"/>
          <w:titlePg w:val="false"/>
        </w:sectPr>
      </w:pPr>
    </w:p>
    <w:p>
      <w:pPr>
        <w:ind w:right="216" w:left="360" w:firstLine="-288"/>
        <w:spacing w:before="0" w:after="0" w:line="268" w:lineRule="auto"/>
        <w:jc w:val="left"/>
        <w:tabs>
          <w:tab w:val="clear" w:pos="288"/>
          <w:tab w:val="decimal" w:pos="360"/>
        </w:tabs>
        <w:numPr>
          <w:ilvl w:val="0"/>
          <w:numId w:val="8"/>
        </w:numP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504pt;height:9.75pt;z-index:-998;margin-left:0pt;margin-top:689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180" w:left="0" w:firstLine="0"/>
                    <w:spacing w:before="0" w:after="0" w:line="213" w:lineRule="auto"/>
                    <w:jc w:val="right"/>
                    <w:framePr w:hAnchor="text" w:vAnchor="text" w:y="13785" w:w="10080" w:h="195" w:hSpace="0" w:vSpace="0" w:wrap="3"/>
                    <w:rPr>
                      <w:color w:val="#000000"/>
                      <w:sz w:val="19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Stránka </w:t>
                  </w:r>
                  <w:r>
                    <w:rPr>
                      <w:b w:val="true"/>
                      <w:color w:val="#000000"/>
                      <w:sz w:val="17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5 z 6</w:t>
                  </w:r>
                </w:p>
              </w:txbxContent>
            </v:textbox>
          </v:shape>
        </w:pic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řípadě, že Objednatel nesouhlasí se změnou Služby nebo její ceny, má právo Smlouvu vypovědět </w:t>
      </w:r>
      <w:r>
        <w:rPr>
          <w:color w:val="#000000"/>
          <w:sz w:val="19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dle čl. VII. odst. 2 písm. b).</w:t>
      </w:r>
    </w:p>
    <w:p>
      <w:pPr>
        <w:ind w:right="0" w:left="360" w:firstLine="-288"/>
        <w:spacing w:before="0" w:after="0" w:line="240" w:lineRule="auto"/>
        <w:jc w:val="both"/>
        <w:tabs>
          <w:tab w:val="clear" w:pos="288"/>
          <w:tab w:val="decimal" w:pos="360"/>
        </w:tabs>
        <w:numPr>
          <w:ilvl w:val="0"/>
          <w:numId w:val="8"/>
        </w:numP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Dodavatel je oprávn</w: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ěn od 1. ledna kalendářního roku následujícího po datu podpisu Smlouvy cenu slu</w:t>
        <w:softHyphen/>
      </w: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žeb každoročně valorizovat o tzv, průměrnou roční míru inflace, která je každoročně zveřejňována ve </w:t>
      </w:r>
      <w: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12. čísle přehledů vydávaných Českým statistickým úřadem pod názvem „Indexy spotřebitelských </w:t>
      </w: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cen". Takto vzniklý doplatek ceny služeb je oprávněn Dodavatel vyúčtovat každoročně zpětně od </w:t>
      </w:r>
      <w:r>
        <w:rPr>
          <w:b w:val="true"/>
          <w:color w:val="#000000"/>
          <w:sz w:val="17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1, </w:t>
      </w: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ledna příslušného kalendářního roku. Bude-li obdobným způsobem zveřejněna míra deflace, bude 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adekvátně shora popsanému postupu snížena cena služeb ve prospěch Objednatele, případný přepla</w:t>
        <w:softHyphen/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tek na ceně služeb bude řešen formou dobropisu.</w:t>
      </w:r>
    </w:p>
    <w:p>
      <w:pPr>
        <w:ind w:right="0" w:left="288" w:firstLine="0"/>
        <w:spacing w:before="648" w:after="0" w:line="266" w:lineRule="auto"/>
        <w:jc w:val="left"/>
        <w:rPr>
          <w:b w:val="true"/>
          <w:color w:val="#000000"/>
          <w:sz w:val="18"/>
          <w:lang w:val="cs-CZ"/>
          <w:spacing w:val="8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8"/>
          <w:w w:val="100"/>
          <w:strike w:val="false"/>
          <w:vertAlign w:val="baseline"/>
          <w:rFonts w:ascii="Verdana" w:hAnsi="Verdana"/>
        </w:rPr>
        <w:t xml:space="preserve">VII. DOBA TRVÁNÍ SMLUVNÍHO VZTAHU</w:t>
      </w:r>
    </w:p>
    <w:p>
      <w:pPr>
        <w:ind w:right="0" w:left="72" w:firstLine="0"/>
        <w:spacing w:before="252" w:after="0" w:line="266" w:lineRule="auto"/>
        <w:jc w:val="left"/>
        <w:tabs>
          <w:tab w:val="clear" w:pos="360"/>
          <w:tab w:val="decimal" w:pos="432"/>
        </w:tabs>
        <w:numPr>
          <w:ilvl w:val="0"/>
          <w:numId w:val="9"/>
        </w:numP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Smlouva se sjednává na dobu neur</w:t>
      </w:r>
      <w: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čitou, pokud ve smlouvě nebude uvedena doba platnosti.</w:t>
      </w:r>
    </w:p>
    <w:p>
      <w:pPr>
        <w:ind w:right="0" w:left="72" w:firstLine="0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9"/>
        </w:numPr>
        <w:rPr>
          <w:color w:val="#000000"/>
          <w:sz w:val="19"/>
          <w:lang w:val="cs-CZ"/>
          <w:spacing w:val="1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7"/>
          <w:w w:val="100"/>
          <w:strike w:val="false"/>
          <w:vertAlign w:val="baseline"/>
          <w:rFonts w:ascii="Arial" w:hAnsi="Arial"/>
        </w:rPr>
        <w:t xml:space="preserve">Smluvní vztah založený Smlouvou lze ukon</w:t>
      </w:r>
      <w:r>
        <w:rPr>
          <w:color w:val="#000000"/>
          <w:sz w:val="19"/>
          <w:lang w:val="cs-CZ"/>
          <w:spacing w:val="17"/>
          <w:w w:val="100"/>
          <w:strike w:val="false"/>
          <w:vertAlign w:val="baseline"/>
          <w:rFonts w:ascii="Arial" w:hAnsi="Arial"/>
        </w:rPr>
        <w:t xml:space="preserve">čit:</w:t>
      </w:r>
    </w:p>
    <w:p>
      <w:pPr>
        <w:ind w:right="0" w:left="1152" w:firstLine="-288"/>
        <w:spacing w:before="36" w:after="0" w:line="240" w:lineRule="auto"/>
        <w:jc w:val="left"/>
        <w:tabs>
          <w:tab w:val="clear" w:pos="288"/>
          <w:tab w:val="decimal" w:pos="1152"/>
        </w:tabs>
        <w:numPr>
          <w:ilvl w:val="0"/>
          <w:numId w:val="10"/>
        </w:numPr>
        <w:rPr>
          <w:color w:val="#000000"/>
          <w:sz w:val="19"/>
          <w:lang w:val="cs-CZ"/>
          <w:spacing w:val="1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8"/>
          <w:w w:val="100"/>
          <w:strike w:val="false"/>
          <w:vertAlign w:val="baseline"/>
          <w:rFonts w:ascii="Arial" w:hAnsi="Arial"/>
        </w:rPr>
        <w:t xml:space="preserve">písemnou dohodou smluvních stran.</w:t>
      </w:r>
    </w:p>
    <w:p>
      <w:pPr>
        <w:ind w:right="216" w:left="1152" w:firstLine="-288"/>
        <w:spacing w:before="0" w:after="0" w:line="240" w:lineRule="auto"/>
        <w:jc w:val="both"/>
        <w:tabs>
          <w:tab w:val="clear" w:pos="288"/>
          <w:tab w:val="decimal" w:pos="1152"/>
        </w:tabs>
        <w:numPr>
          <w:ilvl w:val="0"/>
          <w:numId w:val="10"/>
        </w:numP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písemnou výpov</w: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ědí i bez uvedení důvodů, přičemž se sjednává </w:t>
      </w:r>
      <w:r>
        <w:rPr>
          <w:b w:val="true"/>
          <w:color w:val="#000000"/>
          <w:sz w:val="18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"měsíční </w: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výpovědní lhůta, která počíná běžet prvním dnem měsíce následujícího po měsíci, ve kterém byla výpověď 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doručena druhé straně.</w:t>
      </w:r>
    </w:p>
    <w:p>
      <w:pPr>
        <w:ind w:right="288" w:left="1152" w:firstLine="-288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10"/>
        </w:numPr>
        <w:rPr>
          <w:color w:val="#000000"/>
          <w:sz w:val="19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odstoupením ze strany Dodavatele za podmínek ujednaných v </w:t>
      </w:r>
      <w:r>
        <w:rPr>
          <w:b w:val="true"/>
          <w:color w:val="#000000"/>
          <w:sz w:val="17"/>
          <w:lang w:val="cs-CZ"/>
          <w:spacing w:val="16"/>
          <w:w w:val="100"/>
          <w:strike w:val="false"/>
          <w:vertAlign w:val="baseline"/>
          <w:rFonts w:ascii="Tahoma" w:hAnsi="Tahoma"/>
        </w:rPr>
        <w:t xml:space="preserve">či. </w:t>
      </w:r>
      <w:r>
        <w:rPr>
          <w:color w:val="#000000"/>
          <w:sz w:val="19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V odst. 3. Účinky 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odstoupení nastávají dnem následujícím po dni doručení oznámení o odstoupení.</w:t>
      </w:r>
    </w:p>
    <w:p>
      <w:pPr>
        <w:ind w:right="0" w:left="288" w:firstLine="0"/>
        <w:spacing w:before="396" w:after="0" w:line="266" w:lineRule="auto"/>
        <w:jc w:val="left"/>
        <w:rPr>
          <w:b w:val="true"/>
          <w:color w:val="#000000"/>
          <w:sz w:val="18"/>
          <w:lang w:val="cs-CZ"/>
          <w:spacing w:val="8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8"/>
          <w:w w:val="100"/>
          <w:strike w:val="false"/>
          <w:vertAlign w:val="baseline"/>
          <w:rFonts w:ascii="Verdana" w:hAnsi="Verdana"/>
        </w:rPr>
        <w:t xml:space="preserve">VIII. OSTATNÍ UJEDNÁNÍ</w:t>
      </w:r>
    </w:p>
    <w:p>
      <w:pPr>
        <w:ind w:right="216" w:left="360" w:firstLine="-288"/>
        <w:spacing w:before="144" w:after="0" w:line="240" w:lineRule="auto"/>
        <w:jc w:val="both"/>
        <w:tabs>
          <w:tab w:val="clear" w:pos="288"/>
          <w:tab w:val="decimal" w:pos="360"/>
        </w:tabs>
        <w:numPr>
          <w:ilvl w:val="0"/>
          <w:numId w:val="11"/>
        </w:numP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Objednatel bere na v</w: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ědomi, že Služby poskytované Dodavatelem dle Smlouvy jakkoliv nenahrazují 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pojištění Objektu, jeho vybavení a zásob, služby dodavatele slouží pouze k prevenci předcházení </w: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škodám na majetku Objednatele a odpovědnost Dodavatele je dána pouze v rozsahu Občanského 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zákoníku v platném znění.</w:t>
      </w:r>
    </w:p>
    <w:p>
      <w:pPr>
        <w:ind w:right="216" w:left="360" w:firstLine="-288"/>
        <w:spacing w:before="72" w:after="0" w:line="240" w:lineRule="auto"/>
        <w:jc w:val="left"/>
        <w:tabs>
          <w:tab w:val="clear" w:pos="288"/>
          <w:tab w:val="decimal" w:pos="360"/>
        </w:tabs>
        <w:numPr>
          <w:ilvl w:val="0"/>
          <w:numId w:val="11"/>
        </w:numP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Objednatel bere na v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ědomí, že Dodavatel neodpovídá za případné závady v přenosu Signálu na PCO 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HZS a PCO DOHLED z jakéhokoliv důvodu.</w:t>
      </w:r>
    </w:p>
    <w:p>
      <w:pPr>
        <w:ind w:right="216" w:left="360" w:firstLine="-288"/>
        <w:spacing w:before="0" w:after="0" w:line="292" w:lineRule="auto"/>
        <w:jc w:val="left"/>
        <w:tabs>
          <w:tab w:val="clear" w:pos="288"/>
          <w:tab w:val="decimal" w:pos="360"/>
        </w:tabs>
        <w:numPr>
          <w:ilvl w:val="0"/>
          <w:numId w:val="11"/>
        </w:numP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Objednatel bere na v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ědomí, že ZDP instalované k EPS Objednatele je telekomunikační zařízení, jehož </w:t>
      </w:r>
      <w: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provoz podléhá schválení Českým telekomunikačním úřadem. Provozem bez potřebné licence nebo 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neoprávněným zásahem do zařízení může dojít k porušení pravidel telekomunikačního provozu a ná</w:t>
        <w:softHyphen/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sledným velmi vysokým sankcím ze strany ČTÚ. Jedinou servisní organizací oprávněnou k provozu a 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provádění jakýchkoliv zásahů do tohoto zařízení je Dodavatel.</w:t>
      </w:r>
    </w:p>
    <w:p>
      <w:pPr>
        <w:ind w:right="0" w:left="360" w:firstLine="-288"/>
        <w:spacing w:before="0" w:after="0" w:line="280" w:lineRule="auto"/>
        <w:jc w:val="left"/>
        <w:tabs>
          <w:tab w:val="clear" w:pos="288"/>
          <w:tab w:val="decimal" w:pos="360"/>
        </w:tabs>
        <w:numPr>
          <w:ilvl w:val="0"/>
          <w:numId w:val="11"/>
        </w:numPr>
        <w:rPr>
          <w:color w:val="#000000"/>
          <w:sz w:val="19"/>
          <w:lang w:val="cs-CZ"/>
          <w:spacing w:val="1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5"/>
          <w:w w:val="100"/>
          <w:strike w:val="false"/>
          <w:vertAlign w:val="baseline"/>
          <w:rFonts w:ascii="Arial" w:hAnsi="Arial"/>
        </w:rPr>
        <w:t xml:space="preserve">Strany vylu</w:t>
      </w:r>
      <w:r>
        <w:rPr>
          <w:color w:val="#000000"/>
          <w:sz w:val="19"/>
          <w:lang w:val="cs-CZ"/>
          <w:spacing w:val="15"/>
          <w:w w:val="100"/>
          <w:strike w:val="false"/>
          <w:vertAlign w:val="baseline"/>
          <w:rFonts w:ascii="Arial" w:hAnsi="Arial"/>
        </w:rPr>
        <w:t xml:space="preserve">čují vzájemně odpovědnost za vzniklé škody pro případ Vyšší moci.</w:t>
      </w:r>
    </w:p>
    <w:p>
      <w:pPr>
        <w:ind w:right="0" w:left="288" w:firstLine="0"/>
        <w:spacing w:before="324" w:after="0" w:line="240" w:lineRule="auto"/>
        <w:jc w:val="left"/>
        <w:rPr>
          <w:b w:val="true"/>
          <w:color w:val="#000000"/>
          <w:sz w:val="18"/>
          <w:lang w:val="cs-CZ"/>
          <w:spacing w:val="14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14"/>
          <w:w w:val="100"/>
          <w:strike w:val="false"/>
          <w:vertAlign w:val="baseline"/>
          <w:rFonts w:ascii="Verdana" w:hAnsi="Verdana"/>
        </w:rPr>
        <w:t xml:space="preserve">IX. OCHRANA OSOBNÍCH ÚDAJI)</w:t>
      </w:r>
    </w:p>
    <w:p>
      <w:pPr>
        <w:ind w:right="216" w:left="432" w:firstLine="-360"/>
        <w:spacing w:before="180" w:after="0" w:line="240" w:lineRule="auto"/>
        <w:jc w:val="left"/>
        <w:tabs>
          <w:tab w:val="clear" w:pos="360"/>
          <w:tab w:val="decimal" w:pos="432"/>
        </w:tabs>
        <w:numPr>
          <w:ilvl w:val="0"/>
          <w:numId w:val="12"/>
        </w:numP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Objednatel je povinen osobní údaje sd</w:t>
      </w:r>
      <w: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ělované při uzavírání Smlouvy uvádět správně a pravdivé a je </w:t>
      </w: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povinen bez zbytečného odkladu oznámit Dodavateli jejich změnu.</w:t>
      </w:r>
    </w:p>
    <w:p>
      <w:pPr>
        <w:ind w:right="0" w:left="432" w:firstLine="-360"/>
        <w:spacing w:before="36" w:after="0" w:line="240" w:lineRule="auto"/>
        <w:jc w:val="left"/>
        <w:tabs>
          <w:tab w:val="clear" w:pos="360"/>
          <w:tab w:val="decimal" w:pos="432"/>
        </w:tabs>
        <w:numPr>
          <w:ilvl w:val="0"/>
          <w:numId w:val="12"/>
        </w:numPr>
        <w:rPr>
          <w:color w:val="#000000"/>
          <w:sz w:val="19"/>
          <w:lang w:val="cs-CZ"/>
          <w:spacing w:val="1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5"/>
          <w:w w:val="100"/>
          <w:strike w:val="false"/>
          <w:vertAlign w:val="baseline"/>
          <w:rFonts w:ascii="Arial" w:hAnsi="Arial"/>
        </w:rPr>
        <w:t xml:space="preserve">Další informace </w:t>
      </w:r>
      <w:r>
        <w:rPr>
          <w:color w:val="#000000"/>
          <w:sz w:val="19"/>
          <w:lang w:val="cs-CZ"/>
          <w:spacing w:val="15"/>
          <w:w w:val="100"/>
          <w:strike w:val="false"/>
          <w:vertAlign w:val="baseline"/>
          <w:rFonts w:ascii="Arial" w:hAnsi="Arial"/>
        </w:rPr>
        <w:t xml:space="preserve">❑ zpracování osobních údaj</w:t>
      </w:r>
      <w:r>
        <w:rPr>
          <w:color w:val="#000000"/>
          <w:sz w:val="19"/>
          <w:lang w:val="cs-CZ"/>
          <w:spacing w:val="15"/>
          <w:w w:val="100"/>
          <w:strike w:val="false"/>
          <w:vertAlign w:val="baseline"/>
          <w:rFonts w:ascii="Arial" w:hAnsi="Arial"/>
        </w:rPr>
        <w:t xml:space="preserve">ů Dodavatelem jsou dostupné na Webu.</w:t>
      </w:r>
    </w:p>
    <w:p>
      <w:pPr>
        <w:ind w:right="0" w:left="288" w:firstLine="0"/>
        <w:spacing w:before="252" w:after="0" w:line="240" w:lineRule="auto"/>
        <w:jc w:val="left"/>
        <w:rPr>
          <w:b w:val="true"/>
          <w:color w:val="#000000"/>
          <w:sz w:val="18"/>
          <w:lang w:val="cs-CZ"/>
          <w:spacing w:val="12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12"/>
          <w:w w:val="100"/>
          <w:strike w:val="false"/>
          <w:vertAlign w:val="baseline"/>
          <w:rFonts w:ascii="Verdana" w:hAnsi="Verdana"/>
        </w:rPr>
        <w:t xml:space="preserve">X. ZM</w:t>
      </w:r>
      <w:r>
        <w:rPr>
          <w:b w:val="true"/>
          <w:color w:val="#000000"/>
          <w:sz w:val="18"/>
          <w:lang w:val="cs-CZ"/>
          <w:spacing w:val="12"/>
          <w:w w:val="100"/>
          <w:strike w:val="false"/>
          <w:vertAlign w:val="baseline"/>
          <w:rFonts w:ascii="Verdana" w:hAnsi="Verdana"/>
        </w:rPr>
        <w:t xml:space="preserve">ĚNA PODMÍNEK</w:t>
      </w:r>
    </w:p>
    <w:p>
      <w:pPr>
        <w:ind w:right="216" w:left="432" w:firstLine="-360"/>
        <w:spacing w:before="180" w:after="0" w:line="240" w:lineRule="auto"/>
        <w:jc w:val="both"/>
        <w:tabs>
          <w:tab w:val="clear" w:pos="360"/>
          <w:tab w:val="decimal" w:pos="432"/>
        </w:tabs>
        <w:numPr>
          <w:ilvl w:val="0"/>
          <w:numId w:val="13"/>
        </w:numP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Dodavatel je oprávn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ěn v přiměřeném rozsahu tyto Podmínky z důvodu rozumné potřeby (zejména z </w:t>
      </w: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důvodu rozšíření poskytovaných Služeb, změny technologie, z důvodu optimalizace poskytování 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Služeb, změny cen nebo podmínek pinění třetí strany využívané Dodavatelem při poskytování Služeb, 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změny právních předpisů upravujících poskytování Služeb nebo změny v jejich výkladu, resp. v rozhodovací praxi dotčených orgánů) změnit.</w:t>
      </w:r>
    </w:p>
    <w:p>
      <w:pPr>
        <w:ind w:right="216" w:left="432" w:firstLine="-360"/>
        <w:spacing w:before="36" w:after="0" w:line="240" w:lineRule="auto"/>
        <w:jc w:val="left"/>
        <w:tabs>
          <w:tab w:val="clear" w:pos="360"/>
          <w:tab w:val="decimal" w:pos="432"/>
        </w:tabs>
        <w:numPr>
          <w:ilvl w:val="0"/>
          <w:numId w:val="13"/>
        </w:numP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Zm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ěnu je Dodavatel povinen oznámit Objednateli ve dvouměsíčním předst</w:t>
      </w:r>
      <w:r>
        <w:rPr>
          <w:color w:val="#000000"/>
          <w:sz w:val="20"/>
          <w:lang w:val="cs-CZ"/>
          <w:spacing w:val="10"/>
          <w:w w:val="75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hu před účinností změny, a to bud' prostřednictvím Elektronické komunikace nebo na korespondenční adresu Objednatele.</w:t>
      </w:r>
    </w:p>
    <w:p>
      <w:pPr>
        <w:ind w:right="1008" w:left="432" w:firstLine="-360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13"/>
        </w:numP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Platí, že po oznámení zm</w:t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ěny Podmínek dle odst. 2 nové Podmínky automaticky k datu jejich </w: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účinnosti nahrazují původní znění Podmínek.</w:t>
      </w:r>
    </w:p>
    <w:p>
      <w:pPr>
        <w:ind w:right="216" w:left="360" w:firstLine="-288"/>
        <w:spacing w:before="0" w:after="0" w:line="240" w:lineRule="auto"/>
        <w:jc w:val="left"/>
        <w:tabs>
          <w:tab w:val="clear" w:pos="288"/>
          <w:tab w:val="decimal" w:pos="360"/>
        </w:tabs>
        <w:numPr>
          <w:ilvl w:val="0"/>
          <w:numId w:val="13"/>
        </w:numP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řípadě, že Objednatel nesouhlasí se změnou Podmínek, má právo Smlouvu vypovědět dle či. VII. 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odst. 2 písm. O).</w:t>
      </w:r>
    </w:p>
    <w:p>
      <w:pPr>
        <w:sectPr>
          <w:pgSz w:w="11918" w:h="16854" w:orient="portrait"/>
          <w:type w:val="nextPage"/>
          <w:textDirection w:val="lrTb"/>
          <w:pgMar w:bottom="1409" w:top="1330" w:right="858" w:left="920" w:header="720" w:footer="720"/>
          <w:titlePg w:val="false"/>
        </w:sectPr>
      </w:pPr>
    </w:p>
    <w:p>
      <w:pPr>
        <w:ind w:right="0" w:left="432" w:firstLine="0"/>
        <w:spacing w:before="0" w:after="0" w:line="240" w:lineRule="auto"/>
        <w:jc w:val="left"/>
        <w:rPr>
          <w:b w:val="true"/>
          <w:color w:val="#2E2E2E"/>
          <w:sz w:val="18"/>
          <w:lang w:val="cs-CZ"/>
          <w:spacing w:val="18"/>
          <w:w w:val="100"/>
          <w:strike w:val="false"/>
          <w:vertAlign w:val="baseline"/>
          <w:rFonts w:ascii="Verdana" w:hAnsi="Verdana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504pt;height:8.85pt;z-index:-997;margin-left:0pt;margin-top:665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108" w:left="0" w:firstLine="0"/>
                    <w:spacing w:before="0" w:after="0" w:line="194" w:lineRule="auto"/>
                    <w:jc w:val="right"/>
                    <w:framePr w:hAnchor="text" w:vAnchor="text" w:y="13316" w:w="10080" w:h="177" w:hSpace="0" w:vSpace="0" w:wrap="3"/>
                    <w:rPr>
                      <w:color w:val="#2E2E2E"/>
                      <w:sz w:val="18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2E2E2E"/>
                      <w:sz w:val="18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Stránka </w:t>
                  </w:r>
                  <w:r>
                    <w:rPr>
                      <w:b w:val="true"/>
                      <w:color w:val="#2E2E2E"/>
                      <w:sz w:val="16"/>
                      <w:lang w:val="cs-CZ"/>
                      <w:spacing w:val="-4"/>
                      <w:w w:val="95"/>
                      <w:strike w:val="false"/>
                      <w:vertAlign w:val="baseline"/>
                      <w:rFonts w:ascii="Tahoma" w:hAnsi="Tahoma"/>
                    </w:rPr>
                    <w:t xml:space="preserve">6 z 6</w:t>
                  </w:r>
                </w:p>
              </w:txbxContent>
            </v:textbox>
          </v:shape>
        </w:pict>
      </w:r>
      <w:r>
        <w:rPr>
          <w:b w:val="true"/>
          <w:color w:val="#2E2E2E"/>
          <w:sz w:val="18"/>
          <w:lang w:val="cs-CZ"/>
          <w:spacing w:val="18"/>
          <w:w w:val="100"/>
          <w:strike w:val="false"/>
          <w:vertAlign w:val="baseline"/>
          <w:rFonts w:ascii="Verdana" w:hAnsi="Verdana"/>
        </w:rPr>
        <w:t xml:space="preserve">XI. DORU</w:t>
      </w:r>
      <w:r>
        <w:rPr>
          <w:b w:val="true"/>
          <w:color w:val="#2E2E2E"/>
          <w:sz w:val="18"/>
          <w:lang w:val="cs-CZ"/>
          <w:spacing w:val="18"/>
          <w:w w:val="100"/>
          <w:strike w:val="false"/>
          <w:vertAlign w:val="baseline"/>
          <w:rFonts w:ascii="Verdana" w:hAnsi="Verdana"/>
        </w:rPr>
        <w:t xml:space="preserve">ČOVÁNÍ</w:t>
      </w:r>
    </w:p>
    <w:p>
      <w:pPr>
        <w:ind w:right="144" w:left="432" w:firstLine="-360"/>
        <w:spacing w:before="180" w:after="0" w:line="240" w:lineRule="auto"/>
        <w:jc w:val="both"/>
        <w:rPr>
          <w:b w:val="true"/>
          <w:color w:val="#2E2E2E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2E2E2E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L </w:t>
      </w:r>
      <w:r>
        <w:rPr>
          <w:color w:val="#2E2E2E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Strany se dohodly na komunikaci prost</w:t>
      </w:r>
      <w:r>
        <w:rPr>
          <w:color w:val="#2E2E2E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řednictvím e-mailů, webového portálu Dodavatele, </w:t>
      </w:r>
      <w:r>
        <w:rPr>
          <w:color w:val="#2E2E2E"/>
          <w:sz w:val="19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datových </w:t>
      </w:r>
      <w:r>
        <w:rPr>
          <w:color w:val="#2E2E2E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schránek a doručovatelů poštovních zásilek. Dokumenty týkající se změn Smlouvy či jejího ukončení </w:t>
      </w:r>
      <w:r>
        <w:rPr>
          <w:color w:val="#2E2E2E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mohou být doručovány do datové schránky případně prostřednictvím doručovatelů poštovních zásilek </w:t>
      </w:r>
      <w:r>
        <w:rPr>
          <w:color w:val="#2E2E2E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či e-mailovou formou opatřenou platným elektronickým podpisem zprávy a elektronicky podepsaným </w:t>
      </w:r>
      <w:r>
        <w:rPr>
          <w:color w:val="#2E2E2E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dokumentem v příloze. V případě, že adresát znemožní doručení těchto dokumentů, má se za to, že </w:t>
      </w:r>
      <w:r>
        <w:rPr>
          <w:color w:val="#2E2E2E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u doručování do datové schránky byl dokument doručen desátým dnem od dodání do datové schránky </w:t>
      </w:r>
      <w:r>
        <w:rPr>
          <w:color w:val="#2E2E2E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adresáta a že u doručováni prostřednictvím poštovních doručovatelů byl dokument doručen k datu, kdy doručovatel zásilky vrátí zásilku adresátovi jako nedoručenou.</w:t>
      </w:r>
    </w:p>
    <w:p>
      <w:pPr>
        <w:ind w:right="0" w:left="72" w:firstLine="0"/>
        <w:spacing w:before="2808" w:after="0" w:line="240" w:lineRule="auto"/>
        <w:jc w:val="left"/>
        <w:rPr>
          <w:b w:val="true"/>
          <w:color w:val="#2E2E2E"/>
          <w:sz w:val="15"/>
          <w:lang w:val="cs-CZ"/>
          <w:spacing w:val="2"/>
          <w:w w:val="105"/>
          <w:strike w:val="false"/>
          <w:vertAlign w:val="baseline"/>
          <w:rFonts w:ascii="Verdana" w:hAnsi="Verdana"/>
        </w:rPr>
      </w:pPr>
      <w:r>
        <w:rPr>
          <w:b w:val="true"/>
          <w:color w:val="#2E2E2E"/>
          <w:sz w:val="15"/>
          <w:lang w:val="cs-CZ"/>
          <w:spacing w:val="2"/>
          <w:w w:val="105"/>
          <w:strike w:val="false"/>
          <w:vertAlign w:val="baseline"/>
          <w:rFonts w:ascii="Verdana" w:hAnsi="Verdana"/>
        </w:rPr>
        <w:t xml:space="preserve">PATROL </w:t>
      </w:r>
      <w:r>
        <w:rPr>
          <w:b w:val="true"/>
          <w:color w:val="#2E2E2E"/>
          <w:sz w:val="15"/>
          <w:lang w:val="cs-CZ"/>
          <w:spacing w:val="2"/>
          <w:w w:val="110"/>
          <w:strike w:val="false"/>
          <w:vertAlign w:val="baseline"/>
          <w:rFonts w:ascii="Verdana" w:hAnsi="Verdana"/>
        </w:rPr>
        <w:t xml:space="preserve">group s.r.o.</w:t>
      </w:r>
    </w:p>
    <w:p>
      <w:pPr>
        <w:ind w:right="0" w:left="72" w:firstLine="0"/>
        <w:spacing w:before="36" w:after="0" w:line="240" w:lineRule="auto"/>
        <w:jc w:val="left"/>
        <w:rPr>
          <w:color w:val="#2E2E2E"/>
          <w:sz w:val="12"/>
          <w:lang w:val="cs-CZ"/>
          <w:spacing w:val="6"/>
          <w:w w:val="100"/>
          <w:strike w:val="false"/>
          <w:vertAlign w:val="baseline"/>
          <w:rFonts w:ascii="Verdana" w:hAnsi="Verdana"/>
        </w:rPr>
      </w:pPr>
      <w:r>
        <w:rPr>
          <w:color w:val="#2E2E2E"/>
          <w:sz w:val="12"/>
          <w:lang w:val="cs-CZ"/>
          <w:spacing w:val="6"/>
          <w:w w:val="100"/>
          <w:strike w:val="false"/>
          <w:vertAlign w:val="baseline"/>
          <w:rFonts w:ascii="Verdana" w:hAnsi="Verdana"/>
        </w:rPr>
        <w:t xml:space="preserve">se sídlem: Romana Havelky 4957/5b, 586 01, Jihlava</w:t>
      </w:r>
    </w:p>
    <w:p>
      <w:pPr>
        <w:ind w:right="4752" w:left="72" w:firstLine="0"/>
        <w:spacing w:before="0" w:after="0" w:line="240" w:lineRule="auto"/>
        <w:jc w:val="left"/>
        <w:rPr>
          <w:color w:val="#2E2E2E"/>
          <w:sz w:val="12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2E2E2E"/>
          <w:sz w:val="12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zapsána v OR vedeném KS Brno, oddílu C, vložce 8188, sp. zn. Firm 21048/97 </w:t>
      </w:r>
      <w:r>
        <w:rPr>
          <w:color w:val="#2E2E2E"/>
          <w:sz w:val="12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zastupuje: Petr Hansa, </w:t>
      </w:r>
      <w:r>
        <w:rPr>
          <w:color w:val="#2E2E2E"/>
          <w:sz w:val="12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ředitel společnosti</w:t>
      </w:r>
    </w:p>
    <w:p>
      <w:pPr>
        <w:ind w:right="7704" w:left="72" w:firstLine="0"/>
        <w:spacing w:before="144" w:after="0" w:line="240" w:lineRule="auto"/>
        <w:jc w:val="left"/>
        <w:rPr>
          <w:color w:val="#2E2E2E"/>
          <w:sz w:val="12"/>
          <w:lang w:val="cs-CZ"/>
          <w:spacing w:val="5"/>
          <w:w w:val="100"/>
          <w:strike w:val="false"/>
          <w:vertAlign w:val="baseline"/>
          <w:rFonts w:ascii="Verdana" w:hAnsi="Verdana"/>
        </w:rPr>
      </w:pPr>
      <w:r>
        <w:rPr>
          <w:color w:val="#2E2E2E"/>
          <w:sz w:val="12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I</w:t>
      </w:r>
      <w:r>
        <w:rPr>
          <w:color w:val="#2E2E2E"/>
          <w:sz w:val="12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Č: 46981233, DIČ: CZ46981233, </w:t>
      </w:r>
      <w:r>
        <w:rPr>
          <w:color w:val="#2E2E2E"/>
          <w:sz w:val="12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ID datové schránky: g8ish42</w:t>
      </w:r>
    </w:p>
    <w:sectPr>
      <w:pgSz w:w="11918" w:h="16854" w:orient="portrait"/>
      <w:type w:val="nextPage"/>
      <w:textDirection w:val="lrTb"/>
      <w:pgMar w:bottom="1158" w:top="2050" w:right="894" w:left="88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23"/>
      <w:lvlJc w:val="left"/>
      <w:pPr>
        <w:ind w:left="720"/>
        <w:tabs>
          <w:tab w:val="decimal" w:pos="360"/>
        </w:tabs>
      </w:pPr>
      <w:rPr>
        <w:b w:val="true"/>
        <w:color w:val="#000000"/>
        <w:sz w:val="18"/>
        <w:lang w:val="cs-CZ"/>
        <w:spacing w:val="2"/>
        <w:w w:val="100"/>
        <w:strike w:val="false"/>
        <w:vertAlign w:val="baseline"/>
        <w:rFonts w:ascii="Verdana" w:hAnsi="Verdana"/>
      </w:rPr>
    </w:lvl>
  </w:abstractNum>
  <w:abstractNum w:abstractNumId="2">
    <w:lvl w:ilvl="0">
      <w:numFmt w:val="decimal"/>
      <w:lvlText w:val="%1."/>
      <w:start w:val="26"/>
      <w:lvlJc w:val="left"/>
      <w:pPr>
        <w:ind w:left="720"/>
        <w:tabs>
          <w:tab w:val="decimal" w:pos="360"/>
        </w:tabs>
      </w:pPr>
      <w:rPr>
        <w:b w:val="true"/>
        <w:color w:val="#000000"/>
        <w:sz w:val="18"/>
        <w:lang w:val="cs-CZ"/>
        <w:spacing w:val="14"/>
        <w:w w:val="100"/>
        <w:strike w:val="false"/>
        <w:vertAlign w:val="baseline"/>
        <w:rFonts w:ascii="Verdana" w:hAnsi="Verdana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7"/>
        <w:w w:val="100"/>
        <w:strike w:val="false"/>
        <w:vertAlign w:val="baseline"/>
        <w:rFonts w:ascii="Arial" w:hAnsi="Arial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19"/>
        <w:lang w:val="cs-CZ"/>
        <w:spacing w:val="15"/>
        <w:w w:val="100"/>
        <w:strike w:val="false"/>
        <w:vertAlign w:val="baseline"/>
        <w:rFonts w:ascii="Arial" w:hAnsi="Arial"/>
      </w:rPr>
    </w:lvl>
  </w:abstractNum>
  <w:abstractNum w:abstractNumId="5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8"/>
        <w:lang w:val="cs-CZ"/>
        <w:spacing w:val="4"/>
        <w:w w:val="100"/>
        <w:strike w:val="false"/>
        <w:vertAlign w:val="baseline"/>
        <w:rFonts w:ascii="Verdana" w:hAnsi="Verdana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6"/>
        <w:w w:val="100"/>
        <w:strike w:val="false"/>
        <w:vertAlign w:val="baseline"/>
        <w:rFonts w:ascii="Verdana" w:hAnsi="Verdana"/>
      </w:rPr>
    </w:lvl>
  </w:abstractNum>
  <w:abstractNum w:abstractNumId="7">
    <w:lvl w:ilvl="0">
      <w:numFmt w:val="decimal"/>
      <w:lvlText w:val="%1."/>
      <w:start w:val="2"/>
      <w:lvlJc w:val="left"/>
      <w:pPr>
        <w:ind w:left="720"/>
        <w:tabs>
          <w:tab w:val="decimal" w:pos="288"/>
        </w:tabs>
      </w:pPr>
      <w:rPr>
        <w:color w:val="#000000"/>
        <w:sz w:val="19"/>
        <w:lang w:val="cs-CZ"/>
        <w:spacing w:val="9"/>
        <w:w w:val="100"/>
        <w:strike w:val="false"/>
        <w:vertAlign w:val="baseline"/>
        <w:rFonts w:ascii="Arial" w:hAnsi="Arial"/>
      </w:rPr>
    </w:lvl>
  </w:abstractNum>
  <w:abstractNum w:abstractNumId="8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14"/>
        <w:w w:val="100"/>
        <w:strike w:val="false"/>
        <w:vertAlign w:val="baseline"/>
        <w:rFonts w:ascii="Arial" w:hAnsi="Arial"/>
      </w:rPr>
    </w:lvl>
  </w:abstractNum>
  <w:abstractNum w:abstractNumId="9">
    <w:lvl w:ilvl="0">
      <w:numFmt w:val="lowerLetter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19"/>
        <w:lang w:val="cs-CZ"/>
        <w:spacing w:val="18"/>
        <w:w w:val="100"/>
        <w:strike w:val="false"/>
        <w:vertAlign w:val="baseline"/>
        <w:rFonts w:ascii="Arial" w:hAnsi="Arial"/>
      </w:rPr>
    </w:lvl>
  </w:abstractNum>
  <w:abstractNum w:abstractNumId="10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19"/>
        <w:lang w:val="cs-CZ"/>
        <w:spacing w:val="9"/>
        <w:w w:val="100"/>
        <w:strike w:val="false"/>
        <w:vertAlign w:val="baseline"/>
        <w:rFonts w:ascii="Arial" w:hAnsi="Arial"/>
      </w:rPr>
    </w:lvl>
  </w:abstractNum>
  <w:abstractNum w:abstractNumId="1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7"/>
        <w:w w:val="100"/>
        <w:strike w:val="false"/>
        <w:vertAlign w:val="baseline"/>
        <w:rFonts w:ascii="Arial" w:hAnsi="Arial"/>
      </w:rPr>
    </w:lvl>
  </w:abstractNum>
  <w:abstractNum w:abstractNumId="12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8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