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660276B9" w:rsidR="00E31FFE" w:rsidRPr="001E3071" w:rsidRDefault="003614F9" w:rsidP="004E3A81">
            <w:pPr>
              <w:pStyle w:val="Tab"/>
              <w:rPr>
                <w:highlight w:val="yellow"/>
              </w:rPr>
            </w:pPr>
            <w:proofErr w:type="spellStart"/>
            <w:r>
              <w:t>xxxxxxxxxx</w:t>
            </w:r>
            <w:proofErr w:type="spellEnd"/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03BA8E6B" w:rsidR="00E31FFE" w:rsidRPr="00362086" w:rsidRDefault="003614F9" w:rsidP="004E3A81">
            <w:pPr>
              <w:pStyle w:val="Tab"/>
            </w:pPr>
            <w:proofErr w:type="spellStart"/>
            <w:r>
              <w:t>xxxxxxxxxxxxxxx</w:t>
            </w:r>
            <w:proofErr w:type="spellEnd"/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6042ABEB" w:rsidR="00E31FFE" w:rsidRPr="0000270B" w:rsidRDefault="001E59F7" w:rsidP="004E3A81">
            <w:pPr>
              <w:pStyle w:val="Tab"/>
            </w:pPr>
            <w:r w:rsidRPr="001E59F7">
              <w:t>Revitalizace nábřeží – Náplavka Holešovice, P7, č. akce 1000321 - Projektant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2ADDE1D9" w:rsidR="004B184A" w:rsidRPr="0090779C" w:rsidRDefault="001E59F7" w:rsidP="001E59F7">
            <w:pPr>
              <w:pStyle w:val="Tab"/>
            </w:pPr>
            <w:hyperlink r:id="rId11" w:history="1">
              <w:proofErr w:type="spellStart"/>
              <w:r w:rsidR="003614F9">
                <w:rPr>
                  <w:rStyle w:val="Hypertextovodkaz"/>
                </w:rPr>
                <w:t>xxxxxxxxxxxxxx</w:t>
              </w:r>
              <w:proofErr w:type="spellEnd"/>
            </w:hyperlink>
            <w:r>
              <w:t xml:space="preserve"> </w:t>
            </w: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1D100C27" w:rsidR="004B184A" w:rsidRPr="0090779C" w:rsidRDefault="004B184A" w:rsidP="004B184A">
            <w:pPr>
              <w:pStyle w:val="Tab"/>
            </w:pPr>
            <w:hyperlink r:id="rId12" w:history="1">
              <w:proofErr w:type="spellStart"/>
              <w:r w:rsidR="003614F9">
                <w:rPr>
                  <w:rStyle w:val="Hypertextovodkaz"/>
                </w:rPr>
                <w:t>xxxxxxxxxxxxx</w:t>
              </w:r>
              <w:r w:rsidRPr="00F64968">
                <w:rPr>
                  <w:rStyle w:val="Hypertextovodkaz"/>
                </w:rPr>
                <w:t>z</w:t>
              </w:r>
              <w:proofErr w:type="spellEnd"/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362086" w:rsidRDefault="004B184A" w:rsidP="004B184A">
            <w:pPr>
              <w:pStyle w:val="Tab"/>
            </w:pPr>
            <w:r w:rsidRPr="00362086">
              <w:t>Korespondenční adresa: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463FB19A" w:rsidR="004B184A" w:rsidRPr="00362086" w:rsidRDefault="00362086" w:rsidP="004B184A">
            <w:pPr>
              <w:pStyle w:val="Tab"/>
            </w:pPr>
            <w:r w:rsidRPr="00362086">
              <w:t>Na Záhonech 27/884, 141 00 Praha 4 - Michle</w:t>
            </w:r>
          </w:p>
          <w:p w14:paraId="6F3DE89D" w14:textId="7072F5A7" w:rsidR="004B184A" w:rsidRPr="00362086" w:rsidRDefault="004B184A" w:rsidP="004B184A">
            <w:pPr>
              <w:pStyle w:val="Tab"/>
            </w:pPr>
            <w:r w:rsidRPr="00362086">
              <w:t xml:space="preserve">k rukám </w:t>
            </w:r>
            <w:r w:rsidR="00E8016A" w:rsidRPr="00362086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B457A3F" w14:textId="77777777" w:rsidR="00362086" w:rsidRDefault="00362086" w:rsidP="00362086">
            <w:pPr>
              <w:pStyle w:val="Tab"/>
            </w:pPr>
            <w:r>
              <w:t>wznpij7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71326A93" w:rsidR="004B184A" w:rsidRPr="0090779C" w:rsidRDefault="003614F9" w:rsidP="004B184A">
            <w:pPr>
              <w:pStyle w:val="Tab"/>
            </w:pPr>
            <w:proofErr w:type="spellStart"/>
            <w:r>
              <w:t>xxxxxxxxxxx</w:t>
            </w:r>
            <w:proofErr w:type="spellEnd"/>
            <w:r w:rsidR="00362086"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F22B132" w:rsidR="004B184A" w:rsidRPr="0090779C" w:rsidRDefault="003614F9" w:rsidP="004B184A">
            <w:pPr>
              <w:pStyle w:val="Tab"/>
            </w:pPr>
            <w:r>
              <w:t>xxxxxxxxxxxxxxxxx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</w:t>
            </w:r>
            <w:proofErr w:type="spellStart"/>
            <w:r w:rsidRPr="00E64F91">
              <w:t>ii</w:t>
            </w:r>
            <w:proofErr w:type="spellEnd"/>
            <w:r w:rsidRPr="00E64F91">
              <w:t>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488E4A0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614F9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9F7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443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14F9"/>
    <w:rsid w:val="00362086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014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7B5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6EE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4E42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57A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jirova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2025-06-24T10:21:00Z</dcterms:created>
  <dcterms:modified xsi:type="dcterms:W3CDTF">2025-06-24T10:21:00Z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