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BE8C1" w14:textId="77777777" w:rsidR="00074317" w:rsidRDefault="00BB0A46">
      <w:pPr>
        <w:spacing w:line="1" w:lineRule="exact"/>
      </w:pPr>
      <w:r>
        <w:rPr>
          <w:noProof/>
        </w:rPr>
        <mc:AlternateContent>
          <mc:Choice Requires="wps">
            <w:drawing>
              <wp:anchor distT="0" distB="0" distL="114300" distR="114300" simplePos="0" relativeHeight="2" behindDoc="1" locked="0" layoutInCell="1" allowOverlap="1" wp14:anchorId="018DE172" wp14:editId="3B0E7C73">
                <wp:simplePos x="0" y="0"/>
                <wp:positionH relativeFrom="page">
                  <wp:posOffset>488950</wp:posOffset>
                </wp:positionH>
                <wp:positionV relativeFrom="page">
                  <wp:posOffset>697230</wp:posOffset>
                </wp:positionV>
                <wp:extent cx="6699885" cy="0"/>
                <wp:effectExtent l="0" t="0" r="0" b="0"/>
                <wp:wrapNone/>
                <wp:docPr id="1" name="Shape 1"/>
                <wp:cNvGraphicFramePr/>
                <a:graphic xmlns:a="http://schemas.openxmlformats.org/drawingml/2006/main">
                  <a:graphicData uri="http://schemas.microsoft.com/office/word/2010/wordprocessingShape">
                    <wps:wsp>
                      <wps:cNvCnPr/>
                      <wps:spPr>
                        <a:xfrm>
                          <a:off x="0" y="0"/>
                          <a:ext cx="6699885" cy="0"/>
                        </a:xfrm>
                        <a:prstGeom prst="straightConnector1">
                          <a:avLst/>
                        </a:prstGeom>
                        <a:ln w="36830">
                          <a:solidFill/>
                        </a:ln>
                      </wps:spPr>
                      <wps:bodyPr/>
                    </wps:wsp>
                  </a:graphicData>
                </a:graphic>
              </wp:anchor>
            </w:drawing>
          </mc:Choice>
          <mc:Fallback>
            <w:pict>
              <v:shape o:spt="32" o:oned="true" path="m,l21600,21600e" style="position:absolute;margin-left:38.5pt;margin-top:54.899999999999999pt;width:527.54999999999995pt;height:0;z-index:-251658240;mso-position-horizontal-relative:page;mso-position-vertical-relative:page">
                <v:stroke weight="2.8999999999999999pt"/>
              </v:shape>
            </w:pict>
          </mc:Fallback>
        </mc:AlternateContent>
      </w:r>
    </w:p>
    <w:p w14:paraId="201CEE56" w14:textId="77777777" w:rsidR="00074317" w:rsidRDefault="00BB0A46">
      <w:pPr>
        <w:pStyle w:val="Headerorfooter10"/>
        <w:framePr w:wrap="none" w:vAnchor="page" w:hAnchor="page" w:x="6781" w:y="657"/>
        <w:rPr>
          <w:sz w:val="36"/>
          <w:szCs w:val="36"/>
        </w:rPr>
      </w:pPr>
      <w:r>
        <w:rPr>
          <w:b/>
          <w:bCs/>
          <w:i/>
          <w:iCs/>
          <w:sz w:val="36"/>
          <w:szCs w:val="36"/>
        </w:rPr>
        <w:t>Kupní smlouva OGR159</w:t>
      </w:r>
    </w:p>
    <w:tbl>
      <w:tblPr>
        <w:tblOverlap w:val="never"/>
        <w:tblW w:w="0" w:type="auto"/>
        <w:tblLayout w:type="fixed"/>
        <w:tblCellMar>
          <w:left w:w="10" w:type="dxa"/>
          <w:right w:w="10" w:type="dxa"/>
        </w:tblCellMar>
        <w:tblLook w:val="04A0" w:firstRow="1" w:lastRow="0" w:firstColumn="1" w:lastColumn="0" w:noHBand="0" w:noVBand="1"/>
      </w:tblPr>
      <w:tblGrid>
        <w:gridCol w:w="1262"/>
        <w:gridCol w:w="3749"/>
        <w:gridCol w:w="216"/>
      </w:tblGrid>
      <w:tr w:rsidR="00074317" w14:paraId="3406D930" w14:textId="77777777">
        <w:trPr>
          <w:trHeight w:hRule="exact" w:val="221"/>
        </w:trPr>
        <w:tc>
          <w:tcPr>
            <w:tcW w:w="1262" w:type="dxa"/>
            <w:tcBorders>
              <w:top w:val="single" w:sz="4" w:space="0" w:color="auto"/>
              <w:left w:val="single" w:sz="4" w:space="0" w:color="auto"/>
            </w:tcBorders>
            <w:shd w:val="clear" w:color="auto" w:fill="FFFFFF"/>
            <w:vAlign w:val="bottom"/>
          </w:tcPr>
          <w:p w14:paraId="10F011E4" w14:textId="77777777" w:rsidR="00074317" w:rsidRDefault="00BB0A46">
            <w:pPr>
              <w:pStyle w:val="Other10"/>
              <w:framePr w:w="5227" w:h="3096" w:wrap="none" w:vAnchor="page" w:hAnchor="page" w:x="776" w:y="1171"/>
              <w:spacing w:line="240" w:lineRule="auto"/>
              <w:rPr>
                <w:sz w:val="12"/>
                <w:szCs w:val="12"/>
              </w:rPr>
            </w:pPr>
            <w:r>
              <w:rPr>
                <w:rFonts w:ascii="Arial" w:eastAsia="Arial" w:hAnsi="Arial" w:cs="Arial"/>
                <w:i/>
                <w:iCs/>
                <w:sz w:val="12"/>
                <w:szCs w:val="12"/>
              </w:rPr>
              <w:t>Prodávající</w:t>
            </w:r>
          </w:p>
        </w:tc>
        <w:tc>
          <w:tcPr>
            <w:tcW w:w="3749" w:type="dxa"/>
            <w:tcBorders>
              <w:top w:val="single" w:sz="4" w:space="0" w:color="auto"/>
            </w:tcBorders>
            <w:shd w:val="clear" w:color="auto" w:fill="FFFFFF"/>
          </w:tcPr>
          <w:p w14:paraId="64EB1797" w14:textId="77777777" w:rsidR="00074317" w:rsidRDefault="00074317">
            <w:pPr>
              <w:framePr w:w="5227" w:h="3096" w:wrap="none" w:vAnchor="page" w:hAnchor="page" w:x="776" w:y="1171"/>
              <w:rPr>
                <w:sz w:val="10"/>
                <w:szCs w:val="10"/>
              </w:rPr>
            </w:pPr>
          </w:p>
        </w:tc>
        <w:tc>
          <w:tcPr>
            <w:tcW w:w="216" w:type="dxa"/>
            <w:tcBorders>
              <w:top w:val="single" w:sz="4" w:space="0" w:color="auto"/>
              <w:right w:val="single" w:sz="4" w:space="0" w:color="auto"/>
            </w:tcBorders>
            <w:shd w:val="clear" w:color="auto" w:fill="FFFFFF"/>
          </w:tcPr>
          <w:p w14:paraId="29F4EBCD" w14:textId="77777777" w:rsidR="00074317" w:rsidRDefault="00074317">
            <w:pPr>
              <w:framePr w:w="5227" w:h="3096" w:wrap="none" w:vAnchor="page" w:hAnchor="page" w:x="776" w:y="1171"/>
              <w:rPr>
                <w:sz w:val="10"/>
                <w:szCs w:val="10"/>
              </w:rPr>
            </w:pPr>
          </w:p>
        </w:tc>
      </w:tr>
      <w:tr w:rsidR="00074317" w14:paraId="514227BA" w14:textId="77777777">
        <w:trPr>
          <w:trHeight w:hRule="exact" w:val="1080"/>
        </w:trPr>
        <w:tc>
          <w:tcPr>
            <w:tcW w:w="1262" w:type="dxa"/>
            <w:tcBorders>
              <w:top w:val="single" w:sz="4" w:space="0" w:color="auto"/>
              <w:left w:val="single" w:sz="4" w:space="0" w:color="auto"/>
            </w:tcBorders>
            <w:shd w:val="clear" w:color="auto" w:fill="FFFFFF"/>
            <w:vAlign w:val="bottom"/>
          </w:tcPr>
          <w:p w14:paraId="05C6C562" w14:textId="77777777" w:rsidR="00074317" w:rsidRDefault="00BB0A46">
            <w:pPr>
              <w:pStyle w:val="Other10"/>
              <w:framePr w:w="5227" w:h="3096" w:wrap="none" w:vAnchor="page" w:hAnchor="page" w:x="776" w:y="1171"/>
              <w:spacing w:line="240" w:lineRule="auto"/>
              <w:rPr>
                <w:sz w:val="17"/>
                <w:szCs w:val="17"/>
              </w:rPr>
            </w:pPr>
            <w:r>
              <w:rPr>
                <w:rFonts w:ascii="Arial" w:eastAsia="Arial" w:hAnsi="Arial" w:cs="Arial"/>
                <w:b/>
                <w:bCs/>
                <w:sz w:val="17"/>
                <w:szCs w:val="17"/>
              </w:rPr>
              <w:t>326 00</w:t>
            </w:r>
          </w:p>
        </w:tc>
        <w:tc>
          <w:tcPr>
            <w:tcW w:w="3749" w:type="dxa"/>
            <w:tcBorders>
              <w:top w:val="single" w:sz="4" w:space="0" w:color="auto"/>
            </w:tcBorders>
            <w:shd w:val="clear" w:color="auto" w:fill="FFFFFF"/>
          </w:tcPr>
          <w:p w14:paraId="358EE3E5" w14:textId="77777777" w:rsidR="00074317" w:rsidRDefault="00BB0A46">
            <w:pPr>
              <w:pStyle w:val="Other10"/>
              <w:framePr w:w="5227" w:h="3096" w:wrap="none" w:vAnchor="page" w:hAnchor="page" w:x="776" w:y="1171"/>
              <w:spacing w:line="240" w:lineRule="auto"/>
              <w:rPr>
                <w:sz w:val="17"/>
                <w:szCs w:val="17"/>
              </w:rPr>
            </w:pPr>
            <w:r>
              <w:rPr>
                <w:rFonts w:ascii="Arial" w:eastAsia="Arial" w:hAnsi="Arial" w:cs="Arial"/>
                <w:b/>
                <w:bCs/>
                <w:sz w:val="17"/>
                <w:szCs w:val="17"/>
              </w:rPr>
              <w:t>DAJBYCH plus s.r.o.</w:t>
            </w:r>
          </w:p>
          <w:p w14:paraId="45C990DF" w14:textId="77777777" w:rsidR="00074317" w:rsidRDefault="00BB0A46">
            <w:pPr>
              <w:pStyle w:val="Other10"/>
              <w:framePr w:w="5227" w:h="3096" w:wrap="none" w:vAnchor="page" w:hAnchor="page" w:x="776" w:y="1171"/>
              <w:spacing w:line="240" w:lineRule="auto"/>
              <w:rPr>
                <w:sz w:val="17"/>
                <w:szCs w:val="17"/>
              </w:rPr>
            </w:pPr>
            <w:r>
              <w:rPr>
                <w:rFonts w:ascii="Arial" w:eastAsia="Arial" w:hAnsi="Arial" w:cs="Arial"/>
                <w:b/>
                <w:bCs/>
                <w:sz w:val="17"/>
                <w:szCs w:val="17"/>
              </w:rPr>
              <w:t>provozovna: Na Výsluní 1025/33, 326 00</w:t>
            </w:r>
          </w:p>
          <w:p w14:paraId="60C79C31" w14:textId="77777777" w:rsidR="00074317" w:rsidRDefault="00BB0A46">
            <w:pPr>
              <w:pStyle w:val="Other10"/>
              <w:framePr w:w="5227" w:h="3096" w:wrap="none" w:vAnchor="page" w:hAnchor="page" w:x="776" w:y="1171"/>
              <w:spacing w:line="240" w:lineRule="auto"/>
              <w:rPr>
                <w:sz w:val="17"/>
                <w:szCs w:val="17"/>
              </w:rPr>
            </w:pPr>
            <w:r>
              <w:rPr>
                <w:rFonts w:ascii="Arial" w:eastAsia="Arial" w:hAnsi="Arial" w:cs="Arial"/>
                <w:b/>
                <w:bCs/>
                <w:sz w:val="17"/>
                <w:szCs w:val="17"/>
              </w:rPr>
              <w:t>Na Výsluní 1025/33</w:t>
            </w:r>
          </w:p>
          <w:p w14:paraId="64BFF431" w14:textId="77777777" w:rsidR="00074317" w:rsidRDefault="00BB0A46">
            <w:pPr>
              <w:pStyle w:val="Other10"/>
              <w:framePr w:w="5227" w:h="3096" w:wrap="none" w:vAnchor="page" w:hAnchor="page" w:x="776" w:y="1171"/>
              <w:spacing w:line="240" w:lineRule="auto"/>
              <w:rPr>
                <w:sz w:val="17"/>
                <w:szCs w:val="17"/>
              </w:rPr>
            </w:pPr>
            <w:r>
              <w:rPr>
                <w:rFonts w:ascii="Arial" w:eastAsia="Arial" w:hAnsi="Arial" w:cs="Arial"/>
                <w:b/>
                <w:bCs/>
                <w:sz w:val="17"/>
                <w:szCs w:val="17"/>
              </w:rPr>
              <w:t>Plzeň</w:t>
            </w:r>
          </w:p>
        </w:tc>
        <w:tc>
          <w:tcPr>
            <w:tcW w:w="216" w:type="dxa"/>
            <w:tcBorders>
              <w:top w:val="single" w:sz="4" w:space="0" w:color="auto"/>
              <w:right w:val="single" w:sz="4" w:space="0" w:color="auto"/>
            </w:tcBorders>
            <w:shd w:val="clear" w:color="auto" w:fill="FFFFFF"/>
          </w:tcPr>
          <w:p w14:paraId="3307E753" w14:textId="77777777" w:rsidR="00074317" w:rsidRDefault="00074317">
            <w:pPr>
              <w:framePr w:w="5227" w:h="3096" w:wrap="none" w:vAnchor="page" w:hAnchor="page" w:x="776" w:y="1171"/>
              <w:rPr>
                <w:sz w:val="10"/>
                <w:szCs w:val="10"/>
              </w:rPr>
            </w:pPr>
          </w:p>
        </w:tc>
      </w:tr>
      <w:tr w:rsidR="00074317" w14:paraId="2A8149DD" w14:textId="77777777">
        <w:trPr>
          <w:trHeight w:hRule="exact" w:val="624"/>
        </w:trPr>
        <w:tc>
          <w:tcPr>
            <w:tcW w:w="1262" w:type="dxa"/>
            <w:tcBorders>
              <w:top w:val="single" w:sz="4" w:space="0" w:color="auto"/>
              <w:left w:val="single" w:sz="4" w:space="0" w:color="auto"/>
            </w:tcBorders>
            <w:shd w:val="clear" w:color="auto" w:fill="FFFFFF"/>
          </w:tcPr>
          <w:p w14:paraId="71FAFCD5" w14:textId="77777777" w:rsidR="00074317" w:rsidRDefault="00BB0A46">
            <w:pPr>
              <w:pStyle w:val="Other10"/>
              <w:framePr w:w="5227" w:h="3096" w:wrap="none" w:vAnchor="page" w:hAnchor="page" w:x="776" w:y="1171"/>
              <w:spacing w:line="240" w:lineRule="auto"/>
              <w:rPr>
                <w:sz w:val="12"/>
                <w:szCs w:val="12"/>
              </w:rPr>
            </w:pPr>
            <w:r>
              <w:rPr>
                <w:rFonts w:ascii="Arial" w:eastAsia="Arial" w:hAnsi="Arial" w:cs="Arial"/>
                <w:i/>
                <w:iCs/>
                <w:sz w:val="12"/>
                <w:szCs w:val="12"/>
              </w:rPr>
              <w:t>IČ:</w:t>
            </w:r>
          </w:p>
          <w:p w14:paraId="44C277A8" w14:textId="565FA387" w:rsidR="00074317" w:rsidRDefault="00BB0A46">
            <w:pPr>
              <w:pStyle w:val="Other10"/>
              <w:framePr w:w="5227" w:h="3096" w:wrap="none" w:vAnchor="page" w:hAnchor="page" w:x="776" w:y="1171"/>
              <w:spacing w:line="240" w:lineRule="auto"/>
              <w:rPr>
                <w:sz w:val="12"/>
                <w:szCs w:val="12"/>
              </w:rPr>
            </w:pPr>
            <w:r>
              <w:rPr>
                <w:rFonts w:ascii="Arial" w:eastAsia="Arial" w:hAnsi="Arial" w:cs="Arial"/>
                <w:i/>
                <w:iCs/>
                <w:sz w:val="12"/>
                <w:szCs w:val="12"/>
              </w:rPr>
              <w:t>DIČ:</w:t>
            </w:r>
            <w:r w:rsidR="006469BF">
              <w:rPr>
                <w:rFonts w:ascii="Arial" w:eastAsia="Arial" w:hAnsi="Arial" w:cs="Arial"/>
                <w:b/>
                <w:bCs/>
              </w:rPr>
              <w:t xml:space="preserve">  </w:t>
            </w:r>
          </w:p>
        </w:tc>
        <w:tc>
          <w:tcPr>
            <w:tcW w:w="3749" w:type="dxa"/>
            <w:tcBorders>
              <w:top w:val="single" w:sz="4" w:space="0" w:color="auto"/>
            </w:tcBorders>
            <w:shd w:val="clear" w:color="auto" w:fill="FFFFFF"/>
          </w:tcPr>
          <w:p w14:paraId="0D7A78BC" w14:textId="77777777" w:rsidR="00074317" w:rsidRDefault="00BB0A46">
            <w:pPr>
              <w:pStyle w:val="Other10"/>
              <w:framePr w:w="5227" w:h="3096" w:wrap="none" w:vAnchor="page" w:hAnchor="page" w:x="776" w:y="1171"/>
              <w:spacing w:line="264" w:lineRule="auto"/>
              <w:rPr>
                <w:rFonts w:ascii="Arial" w:eastAsia="Arial" w:hAnsi="Arial" w:cs="Arial"/>
                <w:b/>
                <w:bCs/>
              </w:rPr>
            </w:pPr>
            <w:r>
              <w:rPr>
                <w:rFonts w:ascii="Arial" w:eastAsia="Arial" w:hAnsi="Arial" w:cs="Arial"/>
                <w:b/>
                <w:bCs/>
              </w:rPr>
              <w:t xml:space="preserve">11881151 </w:t>
            </w:r>
          </w:p>
          <w:p w14:paraId="737540AB" w14:textId="2E115061" w:rsidR="006469BF" w:rsidRDefault="006469BF">
            <w:pPr>
              <w:pStyle w:val="Other10"/>
              <w:framePr w:w="5227" w:h="3096" w:wrap="none" w:vAnchor="page" w:hAnchor="page" w:x="776" w:y="1171"/>
              <w:spacing w:line="264" w:lineRule="auto"/>
            </w:pPr>
            <w:r>
              <w:rPr>
                <w:rFonts w:ascii="Arial" w:eastAsia="Arial" w:hAnsi="Arial" w:cs="Arial"/>
                <w:b/>
                <w:bCs/>
              </w:rPr>
              <w:t>CZ11881151</w:t>
            </w:r>
          </w:p>
        </w:tc>
        <w:tc>
          <w:tcPr>
            <w:tcW w:w="216" w:type="dxa"/>
            <w:tcBorders>
              <w:top w:val="single" w:sz="4" w:space="0" w:color="auto"/>
              <w:right w:val="single" w:sz="4" w:space="0" w:color="auto"/>
            </w:tcBorders>
            <w:shd w:val="clear" w:color="auto" w:fill="FFFFFF"/>
          </w:tcPr>
          <w:p w14:paraId="743EDBC0" w14:textId="77777777" w:rsidR="00074317" w:rsidRDefault="00074317">
            <w:pPr>
              <w:framePr w:w="5227" w:h="3096" w:wrap="none" w:vAnchor="page" w:hAnchor="page" w:x="776" w:y="1171"/>
              <w:rPr>
                <w:sz w:val="10"/>
                <w:szCs w:val="10"/>
              </w:rPr>
            </w:pPr>
          </w:p>
        </w:tc>
      </w:tr>
      <w:tr w:rsidR="00074317" w14:paraId="63C838F4" w14:textId="77777777">
        <w:trPr>
          <w:trHeight w:hRule="exact" w:val="1171"/>
        </w:trPr>
        <w:tc>
          <w:tcPr>
            <w:tcW w:w="1262" w:type="dxa"/>
            <w:tcBorders>
              <w:top w:val="single" w:sz="4" w:space="0" w:color="auto"/>
              <w:left w:val="single" w:sz="4" w:space="0" w:color="auto"/>
              <w:bottom w:val="single" w:sz="4" w:space="0" w:color="auto"/>
            </w:tcBorders>
            <w:shd w:val="clear" w:color="auto" w:fill="FFFFFF"/>
          </w:tcPr>
          <w:p w14:paraId="3CFB7987" w14:textId="77777777" w:rsidR="00074317" w:rsidRDefault="00BB0A46">
            <w:pPr>
              <w:pStyle w:val="Other10"/>
              <w:framePr w:w="5227" w:h="3096" w:wrap="none" w:vAnchor="page" w:hAnchor="page" w:x="776" w:y="1171"/>
              <w:spacing w:before="80" w:after="60" w:line="240" w:lineRule="auto"/>
              <w:rPr>
                <w:sz w:val="12"/>
                <w:szCs w:val="12"/>
              </w:rPr>
            </w:pPr>
            <w:r>
              <w:rPr>
                <w:rFonts w:ascii="Arial" w:eastAsia="Arial" w:hAnsi="Arial" w:cs="Arial"/>
                <w:i/>
                <w:iCs/>
                <w:sz w:val="12"/>
                <w:szCs w:val="12"/>
              </w:rPr>
              <w:t xml:space="preserve">Banko </w:t>
            </w:r>
            <w:proofErr w:type="spellStart"/>
            <w:r>
              <w:rPr>
                <w:rFonts w:ascii="Arial" w:eastAsia="Arial" w:hAnsi="Arial" w:cs="Arial"/>
                <w:i/>
                <w:iCs/>
                <w:sz w:val="12"/>
                <w:szCs w:val="12"/>
              </w:rPr>
              <w:t>vní</w:t>
            </w:r>
            <w:proofErr w:type="spellEnd"/>
            <w:r>
              <w:rPr>
                <w:rFonts w:ascii="Arial" w:eastAsia="Arial" w:hAnsi="Arial" w:cs="Arial"/>
                <w:i/>
                <w:iCs/>
                <w:sz w:val="12"/>
                <w:szCs w:val="12"/>
              </w:rPr>
              <w:t xml:space="preserve"> spojení:</w:t>
            </w:r>
          </w:p>
          <w:p w14:paraId="16720C82" w14:textId="77777777" w:rsidR="00074317" w:rsidRDefault="00BB0A46">
            <w:pPr>
              <w:pStyle w:val="Other10"/>
              <w:framePr w:w="5227" w:h="3096" w:wrap="none" w:vAnchor="page" w:hAnchor="page" w:x="776" w:y="1171"/>
              <w:spacing w:after="60" w:line="240" w:lineRule="auto"/>
              <w:rPr>
                <w:sz w:val="12"/>
                <w:szCs w:val="12"/>
              </w:rPr>
            </w:pPr>
            <w:r>
              <w:rPr>
                <w:rFonts w:ascii="Arial" w:eastAsia="Arial" w:hAnsi="Arial" w:cs="Arial"/>
                <w:i/>
                <w:iCs/>
                <w:sz w:val="12"/>
                <w:szCs w:val="12"/>
              </w:rPr>
              <w:t>IBAN:</w:t>
            </w:r>
          </w:p>
          <w:p w14:paraId="30569040" w14:textId="77777777" w:rsidR="00074317" w:rsidRDefault="00BB0A46">
            <w:pPr>
              <w:pStyle w:val="Other10"/>
              <w:framePr w:w="5227" w:h="3096" w:wrap="none" w:vAnchor="page" w:hAnchor="page" w:x="776" w:y="1171"/>
              <w:spacing w:after="60" w:line="240" w:lineRule="auto"/>
              <w:rPr>
                <w:sz w:val="12"/>
                <w:szCs w:val="12"/>
              </w:rPr>
            </w:pPr>
            <w:r>
              <w:rPr>
                <w:rFonts w:ascii="Arial" w:eastAsia="Arial" w:hAnsi="Arial" w:cs="Arial"/>
                <w:i/>
                <w:iCs/>
                <w:sz w:val="12"/>
                <w:szCs w:val="12"/>
              </w:rPr>
              <w:t>SWIFT:</w:t>
            </w:r>
          </w:p>
        </w:tc>
        <w:tc>
          <w:tcPr>
            <w:tcW w:w="3749" w:type="dxa"/>
            <w:tcBorders>
              <w:top w:val="single" w:sz="4" w:space="0" w:color="auto"/>
              <w:bottom w:val="single" w:sz="4" w:space="0" w:color="auto"/>
            </w:tcBorders>
            <w:shd w:val="clear" w:color="auto" w:fill="FFFFFF"/>
          </w:tcPr>
          <w:p w14:paraId="0ED4F41D" w14:textId="7B0878B5" w:rsidR="00074317" w:rsidRDefault="00074317" w:rsidP="002E7605">
            <w:pPr>
              <w:pStyle w:val="Other10"/>
              <w:framePr w:w="5227" w:h="3096" w:wrap="none" w:vAnchor="page" w:hAnchor="page" w:x="776" w:y="1171"/>
              <w:spacing w:line="240" w:lineRule="auto"/>
            </w:pPr>
          </w:p>
        </w:tc>
        <w:tc>
          <w:tcPr>
            <w:tcW w:w="216" w:type="dxa"/>
            <w:tcBorders>
              <w:top w:val="single" w:sz="4" w:space="0" w:color="auto"/>
              <w:bottom w:val="single" w:sz="4" w:space="0" w:color="auto"/>
              <w:right w:val="single" w:sz="4" w:space="0" w:color="auto"/>
            </w:tcBorders>
            <w:shd w:val="clear" w:color="auto" w:fill="FFFFFF"/>
          </w:tcPr>
          <w:p w14:paraId="1AA5C020" w14:textId="77777777" w:rsidR="00074317" w:rsidRDefault="00074317">
            <w:pPr>
              <w:framePr w:w="5227" w:h="3096" w:wrap="none" w:vAnchor="page" w:hAnchor="page" w:x="776" w:y="1171"/>
              <w:rPr>
                <w:sz w:val="10"/>
                <w:szCs w:val="10"/>
              </w:rPr>
            </w:pPr>
          </w:p>
        </w:tc>
      </w:tr>
    </w:tbl>
    <w:p w14:paraId="133DE4BA" w14:textId="77777777" w:rsidR="00074317" w:rsidRDefault="00BB0A46">
      <w:pPr>
        <w:pStyle w:val="Tablecaption10"/>
        <w:framePr w:wrap="none" w:vAnchor="page" w:hAnchor="page" w:x="891" w:y="4281"/>
      </w:pPr>
      <w:r>
        <w:t>C 41273 vedená u Krajského soudu v Plzni</w:t>
      </w:r>
    </w:p>
    <w:p w14:paraId="487C5F41" w14:textId="77777777" w:rsidR="00074317" w:rsidRDefault="00BB0A46">
      <w:pPr>
        <w:pStyle w:val="Tablecaption10"/>
        <w:framePr w:w="773" w:h="182" w:hRule="exact" w:wrap="none" w:vAnchor="page" w:hAnchor="page" w:x="10559" w:y="1262"/>
        <w:jc w:val="right"/>
        <w:rPr>
          <w:sz w:val="14"/>
          <w:szCs w:val="14"/>
        </w:rPr>
      </w:pPr>
      <w:r>
        <w:rPr>
          <w:b/>
          <w:bCs/>
          <w:sz w:val="14"/>
          <w:szCs w:val="14"/>
        </w:rPr>
        <w:t>Strana 1/2</w:t>
      </w:r>
    </w:p>
    <w:tbl>
      <w:tblPr>
        <w:tblOverlap w:val="never"/>
        <w:tblW w:w="0" w:type="auto"/>
        <w:tblLayout w:type="fixed"/>
        <w:tblCellMar>
          <w:left w:w="10" w:type="dxa"/>
          <w:right w:w="10" w:type="dxa"/>
        </w:tblCellMar>
        <w:tblLook w:val="04A0" w:firstRow="1" w:lastRow="0" w:firstColumn="1" w:lastColumn="0" w:noHBand="0" w:noVBand="1"/>
      </w:tblPr>
      <w:tblGrid>
        <w:gridCol w:w="4858"/>
        <w:gridCol w:w="312"/>
      </w:tblGrid>
      <w:tr w:rsidR="00074317" w14:paraId="68EE4CAA" w14:textId="77777777">
        <w:trPr>
          <w:trHeight w:hRule="exact" w:val="226"/>
        </w:trPr>
        <w:tc>
          <w:tcPr>
            <w:tcW w:w="5170" w:type="dxa"/>
            <w:gridSpan w:val="2"/>
            <w:tcBorders>
              <w:top w:val="single" w:sz="4" w:space="0" w:color="auto"/>
              <w:left w:val="single" w:sz="4" w:space="0" w:color="auto"/>
              <w:right w:val="single" w:sz="4" w:space="0" w:color="auto"/>
            </w:tcBorders>
            <w:shd w:val="clear" w:color="auto" w:fill="FFFFFF"/>
            <w:vAlign w:val="bottom"/>
          </w:tcPr>
          <w:p w14:paraId="665F167B" w14:textId="77777777" w:rsidR="00074317" w:rsidRDefault="00BB0A46">
            <w:pPr>
              <w:pStyle w:val="Other10"/>
              <w:framePr w:w="5170" w:h="3226" w:wrap="none" w:vAnchor="page" w:hAnchor="page" w:x="6143" w:y="1444"/>
              <w:spacing w:line="240" w:lineRule="auto"/>
              <w:ind w:firstLine="220"/>
              <w:rPr>
                <w:sz w:val="12"/>
                <w:szCs w:val="12"/>
              </w:rPr>
            </w:pPr>
            <w:r>
              <w:rPr>
                <w:rFonts w:ascii="Arial" w:eastAsia="Arial" w:hAnsi="Arial" w:cs="Arial"/>
                <w:i/>
                <w:iCs/>
                <w:sz w:val="12"/>
                <w:szCs w:val="12"/>
              </w:rPr>
              <w:t>Kupující</w:t>
            </w:r>
          </w:p>
        </w:tc>
      </w:tr>
      <w:tr w:rsidR="00074317" w14:paraId="5CA86389" w14:textId="77777777">
        <w:trPr>
          <w:trHeight w:hRule="exact" w:val="1349"/>
        </w:trPr>
        <w:tc>
          <w:tcPr>
            <w:tcW w:w="4858" w:type="dxa"/>
            <w:tcBorders>
              <w:top w:val="single" w:sz="4" w:space="0" w:color="auto"/>
              <w:left w:val="single" w:sz="4" w:space="0" w:color="auto"/>
            </w:tcBorders>
            <w:shd w:val="clear" w:color="auto" w:fill="FFFFFF"/>
          </w:tcPr>
          <w:p w14:paraId="190009C0" w14:textId="77777777" w:rsidR="00074317" w:rsidRDefault="00BB0A46">
            <w:pPr>
              <w:pStyle w:val="Other10"/>
              <w:framePr w:w="5170" w:h="3226" w:wrap="none" w:vAnchor="page" w:hAnchor="page" w:x="6143" w:y="1444"/>
              <w:spacing w:after="60" w:line="240" w:lineRule="auto"/>
              <w:rPr>
                <w:sz w:val="11"/>
                <w:szCs w:val="11"/>
              </w:rPr>
            </w:pPr>
            <w:r>
              <w:rPr>
                <w:sz w:val="11"/>
                <w:szCs w:val="11"/>
              </w:rPr>
              <w:t>Z</w:t>
            </w:r>
          </w:p>
          <w:p w14:paraId="3182C51F" w14:textId="77777777" w:rsidR="00074317" w:rsidRDefault="00BB0A46">
            <w:pPr>
              <w:pStyle w:val="Other10"/>
              <w:framePr w:w="5170" w:h="3226" w:wrap="none" w:vAnchor="page" w:hAnchor="page" w:x="6143" w:y="1444"/>
              <w:spacing w:after="60" w:line="240" w:lineRule="auto"/>
              <w:ind w:firstLine="540"/>
              <w:rPr>
                <w:sz w:val="17"/>
                <w:szCs w:val="17"/>
              </w:rPr>
            </w:pPr>
            <w:r>
              <w:rPr>
                <w:rFonts w:ascii="Arial" w:eastAsia="Arial" w:hAnsi="Arial" w:cs="Arial"/>
                <w:b/>
                <w:bCs/>
                <w:sz w:val="17"/>
                <w:szCs w:val="17"/>
              </w:rPr>
              <w:t>Národní muzeum, příspěvková organizace</w:t>
            </w:r>
          </w:p>
          <w:p w14:paraId="00D0FCD9" w14:textId="77777777" w:rsidR="00074317" w:rsidRDefault="00BB0A46">
            <w:pPr>
              <w:pStyle w:val="Other10"/>
              <w:framePr w:w="5170" w:h="3226" w:wrap="none" w:vAnchor="page" w:hAnchor="page" w:x="6143" w:y="1444"/>
              <w:spacing w:after="60" w:line="240" w:lineRule="auto"/>
              <w:ind w:firstLine="540"/>
              <w:rPr>
                <w:sz w:val="17"/>
                <w:szCs w:val="17"/>
              </w:rPr>
            </w:pPr>
            <w:r>
              <w:rPr>
                <w:rFonts w:ascii="Arial" w:eastAsia="Arial" w:hAnsi="Arial" w:cs="Arial"/>
                <w:sz w:val="17"/>
                <w:szCs w:val="17"/>
              </w:rPr>
              <w:t>Václavské náměstí 1700/68</w:t>
            </w:r>
          </w:p>
          <w:p w14:paraId="6C80C85A" w14:textId="77777777" w:rsidR="00074317" w:rsidRDefault="00BB0A46">
            <w:pPr>
              <w:pStyle w:val="Other10"/>
              <w:framePr w:w="5170" w:h="3226" w:wrap="none" w:vAnchor="page" w:hAnchor="page" w:x="6143" w:y="1444"/>
              <w:spacing w:after="60" w:line="240" w:lineRule="auto"/>
              <w:ind w:firstLine="540"/>
              <w:rPr>
                <w:sz w:val="17"/>
                <w:szCs w:val="17"/>
              </w:rPr>
            </w:pPr>
            <w:r>
              <w:rPr>
                <w:rFonts w:ascii="Arial" w:eastAsia="Arial" w:hAnsi="Arial" w:cs="Arial"/>
                <w:sz w:val="17"/>
                <w:szCs w:val="17"/>
              </w:rPr>
              <w:t>115 79 Praha 1</w:t>
            </w:r>
          </w:p>
        </w:tc>
        <w:tc>
          <w:tcPr>
            <w:tcW w:w="312" w:type="dxa"/>
            <w:tcBorders>
              <w:top w:val="single" w:sz="4" w:space="0" w:color="auto"/>
              <w:right w:val="single" w:sz="4" w:space="0" w:color="auto"/>
            </w:tcBorders>
            <w:shd w:val="clear" w:color="auto" w:fill="FFFFFF"/>
          </w:tcPr>
          <w:p w14:paraId="23931564" w14:textId="77777777" w:rsidR="00074317" w:rsidRDefault="00074317">
            <w:pPr>
              <w:framePr w:w="5170" w:h="3226" w:wrap="none" w:vAnchor="page" w:hAnchor="page" w:x="6143" w:y="1444"/>
              <w:rPr>
                <w:sz w:val="10"/>
                <w:szCs w:val="10"/>
              </w:rPr>
            </w:pPr>
          </w:p>
        </w:tc>
      </w:tr>
      <w:tr w:rsidR="00074317" w14:paraId="1EE81251" w14:textId="77777777">
        <w:trPr>
          <w:trHeight w:hRule="exact" w:val="557"/>
        </w:trPr>
        <w:tc>
          <w:tcPr>
            <w:tcW w:w="4858" w:type="dxa"/>
            <w:tcBorders>
              <w:left w:val="single" w:sz="4" w:space="0" w:color="auto"/>
            </w:tcBorders>
            <w:shd w:val="clear" w:color="auto" w:fill="FFFFFF"/>
            <w:vAlign w:val="bottom"/>
          </w:tcPr>
          <w:p w14:paraId="42FF602D" w14:textId="77777777" w:rsidR="00074317" w:rsidRDefault="00BB0A46">
            <w:pPr>
              <w:pStyle w:val="Other10"/>
              <w:framePr w:w="5170" w:h="3226" w:wrap="none" w:vAnchor="page" w:hAnchor="page" w:x="6143" w:y="1444"/>
              <w:spacing w:line="240" w:lineRule="auto"/>
              <w:rPr>
                <w:sz w:val="17"/>
                <w:szCs w:val="17"/>
              </w:rPr>
            </w:pPr>
            <w:r>
              <w:rPr>
                <w:rFonts w:ascii="Arial" w:eastAsia="Arial" w:hAnsi="Arial" w:cs="Arial"/>
                <w:b/>
                <w:bCs/>
                <w:sz w:val="17"/>
                <w:szCs w:val="17"/>
              </w:rPr>
              <w:t>v</w:t>
            </w:r>
          </w:p>
        </w:tc>
        <w:tc>
          <w:tcPr>
            <w:tcW w:w="312" w:type="dxa"/>
            <w:tcBorders>
              <w:right w:val="single" w:sz="4" w:space="0" w:color="auto"/>
            </w:tcBorders>
            <w:shd w:val="clear" w:color="auto" w:fill="FFFFFF"/>
            <w:vAlign w:val="bottom"/>
          </w:tcPr>
          <w:p w14:paraId="5A197D48" w14:textId="77777777" w:rsidR="00074317" w:rsidRDefault="00BB0A46">
            <w:pPr>
              <w:pStyle w:val="Other10"/>
              <w:framePr w:w="5170" w:h="3226" w:wrap="none" w:vAnchor="page" w:hAnchor="page" w:x="6143" w:y="1444"/>
              <w:tabs>
                <w:tab w:val="left" w:leader="underscore" w:pos="163"/>
              </w:tabs>
              <w:spacing w:line="240" w:lineRule="auto"/>
              <w:jc w:val="right"/>
              <w:rPr>
                <w:sz w:val="11"/>
                <w:szCs w:val="11"/>
              </w:rPr>
            </w:pPr>
            <w:r>
              <w:rPr>
                <w:sz w:val="11"/>
                <w:szCs w:val="11"/>
              </w:rPr>
              <w:tab/>
              <w:t>/</w:t>
            </w:r>
          </w:p>
        </w:tc>
      </w:tr>
      <w:tr w:rsidR="00074317" w14:paraId="4F33F2FA" w14:textId="77777777">
        <w:trPr>
          <w:trHeight w:hRule="exact" w:val="528"/>
        </w:trPr>
        <w:tc>
          <w:tcPr>
            <w:tcW w:w="4858" w:type="dxa"/>
            <w:tcBorders>
              <w:top w:val="single" w:sz="4" w:space="0" w:color="auto"/>
              <w:left w:val="single" w:sz="4" w:space="0" w:color="auto"/>
            </w:tcBorders>
            <w:shd w:val="clear" w:color="auto" w:fill="FFFFFF"/>
            <w:vAlign w:val="bottom"/>
          </w:tcPr>
          <w:p w14:paraId="48137B20" w14:textId="77777777" w:rsidR="00074317" w:rsidRDefault="00BB0A46">
            <w:pPr>
              <w:pStyle w:val="Other10"/>
              <w:framePr w:w="5170" w:h="3226" w:wrap="none" w:vAnchor="page" w:hAnchor="page" w:x="6143" w:y="1444"/>
              <w:spacing w:line="240" w:lineRule="auto"/>
              <w:ind w:left="3400"/>
              <w:rPr>
                <w:sz w:val="14"/>
                <w:szCs w:val="14"/>
              </w:rPr>
            </w:pPr>
            <w:r>
              <w:rPr>
                <w:rFonts w:ascii="Arial" w:eastAsia="Arial" w:hAnsi="Arial" w:cs="Arial"/>
                <w:i/>
                <w:iCs/>
                <w:sz w:val="12"/>
                <w:szCs w:val="12"/>
              </w:rPr>
              <w:t>IČ:</w:t>
            </w:r>
            <w:r>
              <w:rPr>
                <w:rFonts w:ascii="Arial" w:eastAsia="Arial" w:hAnsi="Arial" w:cs="Arial"/>
                <w:b/>
                <w:bCs/>
                <w:sz w:val="14"/>
                <w:szCs w:val="14"/>
              </w:rPr>
              <w:t xml:space="preserve"> 00023272</w:t>
            </w:r>
          </w:p>
        </w:tc>
        <w:tc>
          <w:tcPr>
            <w:tcW w:w="312" w:type="dxa"/>
            <w:tcBorders>
              <w:top w:val="single" w:sz="4" w:space="0" w:color="auto"/>
              <w:right w:val="single" w:sz="4" w:space="0" w:color="auto"/>
            </w:tcBorders>
            <w:shd w:val="clear" w:color="auto" w:fill="FFFFFF"/>
          </w:tcPr>
          <w:p w14:paraId="2E676254" w14:textId="77777777" w:rsidR="00074317" w:rsidRDefault="00074317">
            <w:pPr>
              <w:framePr w:w="5170" w:h="3226" w:wrap="none" w:vAnchor="page" w:hAnchor="page" w:x="6143" w:y="1444"/>
              <w:rPr>
                <w:sz w:val="10"/>
                <w:szCs w:val="10"/>
              </w:rPr>
            </w:pPr>
          </w:p>
        </w:tc>
      </w:tr>
      <w:tr w:rsidR="00074317" w14:paraId="5247C81D" w14:textId="77777777">
        <w:trPr>
          <w:trHeight w:hRule="exact" w:val="302"/>
        </w:trPr>
        <w:tc>
          <w:tcPr>
            <w:tcW w:w="4858" w:type="dxa"/>
            <w:tcBorders>
              <w:left w:val="single" w:sz="4" w:space="0" w:color="auto"/>
            </w:tcBorders>
            <w:shd w:val="clear" w:color="auto" w:fill="FFFFFF"/>
          </w:tcPr>
          <w:p w14:paraId="16FD3F15" w14:textId="77777777" w:rsidR="00074317" w:rsidRDefault="00BB0A46">
            <w:pPr>
              <w:pStyle w:val="Other10"/>
              <w:framePr w:w="5170" w:h="3226" w:wrap="none" w:vAnchor="page" w:hAnchor="page" w:x="6143" w:y="1444"/>
              <w:spacing w:line="240" w:lineRule="auto"/>
              <w:ind w:left="3400"/>
              <w:rPr>
                <w:sz w:val="14"/>
                <w:szCs w:val="14"/>
              </w:rPr>
            </w:pPr>
            <w:r>
              <w:rPr>
                <w:rFonts w:ascii="Arial" w:eastAsia="Arial" w:hAnsi="Arial" w:cs="Arial"/>
                <w:i/>
                <w:iCs/>
                <w:sz w:val="12"/>
                <w:szCs w:val="12"/>
              </w:rPr>
              <w:t>DIČ:</w:t>
            </w:r>
            <w:r>
              <w:rPr>
                <w:rFonts w:ascii="Arial" w:eastAsia="Arial" w:hAnsi="Arial" w:cs="Arial"/>
                <w:b/>
                <w:bCs/>
                <w:sz w:val="14"/>
                <w:szCs w:val="14"/>
              </w:rPr>
              <w:t xml:space="preserve"> CZ00023272</w:t>
            </w:r>
          </w:p>
        </w:tc>
        <w:tc>
          <w:tcPr>
            <w:tcW w:w="312" w:type="dxa"/>
            <w:tcBorders>
              <w:right w:val="single" w:sz="4" w:space="0" w:color="auto"/>
            </w:tcBorders>
            <w:shd w:val="clear" w:color="auto" w:fill="FFFFFF"/>
          </w:tcPr>
          <w:p w14:paraId="0C69CF71" w14:textId="77777777" w:rsidR="00074317" w:rsidRDefault="00074317">
            <w:pPr>
              <w:framePr w:w="5170" w:h="3226" w:wrap="none" w:vAnchor="page" w:hAnchor="page" w:x="6143" w:y="1444"/>
              <w:rPr>
                <w:sz w:val="10"/>
                <w:szCs w:val="10"/>
              </w:rPr>
            </w:pPr>
          </w:p>
        </w:tc>
      </w:tr>
      <w:tr w:rsidR="00074317" w14:paraId="144ECAF2" w14:textId="77777777">
        <w:trPr>
          <w:trHeight w:hRule="exact" w:val="264"/>
        </w:trPr>
        <w:tc>
          <w:tcPr>
            <w:tcW w:w="4858" w:type="dxa"/>
            <w:tcBorders>
              <w:left w:val="single" w:sz="4" w:space="0" w:color="auto"/>
              <w:bottom w:val="single" w:sz="4" w:space="0" w:color="auto"/>
            </w:tcBorders>
            <w:shd w:val="clear" w:color="auto" w:fill="FFFFFF"/>
          </w:tcPr>
          <w:p w14:paraId="26D4E4DE" w14:textId="77777777" w:rsidR="00074317" w:rsidRDefault="00074317">
            <w:pPr>
              <w:framePr w:w="5170" w:h="3226" w:wrap="none" w:vAnchor="page" w:hAnchor="page" w:x="6143" w:y="1444"/>
              <w:rPr>
                <w:sz w:val="10"/>
                <w:szCs w:val="10"/>
              </w:rPr>
            </w:pPr>
          </w:p>
        </w:tc>
        <w:tc>
          <w:tcPr>
            <w:tcW w:w="312" w:type="dxa"/>
            <w:tcBorders>
              <w:bottom w:val="single" w:sz="4" w:space="0" w:color="auto"/>
              <w:right w:val="single" w:sz="4" w:space="0" w:color="auto"/>
            </w:tcBorders>
            <w:shd w:val="clear" w:color="auto" w:fill="FFFFFF"/>
          </w:tcPr>
          <w:p w14:paraId="505CD471" w14:textId="77777777" w:rsidR="00074317" w:rsidRDefault="00074317">
            <w:pPr>
              <w:framePr w:w="5170" w:h="3226" w:wrap="none" w:vAnchor="page" w:hAnchor="page" w:x="6143" w:y="1444"/>
              <w:rPr>
                <w:sz w:val="10"/>
                <w:szCs w:val="10"/>
              </w:rPr>
            </w:pPr>
          </w:p>
        </w:tc>
      </w:tr>
    </w:tbl>
    <w:p w14:paraId="2DCC5BDD" w14:textId="77777777" w:rsidR="00074317" w:rsidRDefault="00BB0A46">
      <w:pPr>
        <w:pStyle w:val="Heading210"/>
        <w:framePr w:w="10589" w:h="302" w:hRule="exact" w:wrap="none" w:vAnchor="page" w:hAnchor="page" w:x="757" w:y="4876"/>
        <w:spacing w:after="0"/>
      </w:pPr>
      <w:bookmarkStart w:id="0" w:name="bookmark0"/>
      <w:bookmarkStart w:id="1" w:name="bookmark1"/>
      <w:bookmarkStart w:id="2" w:name="bookmark2"/>
      <w:r>
        <w:t>Předmět smlouvy</w:t>
      </w:r>
      <w:bookmarkEnd w:id="0"/>
      <w:bookmarkEnd w:id="1"/>
      <w:bookmarkEnd w:id="2"/>
    </w:p>
    <w:tbl>
      <w:tblPr>
        <w:tblOverlap w:val="never"/>
        <w:tblW w:w="0" w:type="auto"/>
        <w:tblLayout w:type="fixed"/>
        <w:tblCellMar>
          <w:left w:w="10" w:type="dxa"/>
          <w:right w:w="10" w:type="dxa"/>
        </w:tblCellMar>
        <w:tblLook w:val="04A0" w:firstRow="1" w:lastRow="0" w:firstColumn="1" w:lastColumn="0" w:noHBand="0" w:noVBand="1"/>
      </w:tblPr>
      <w:tblGrid>
        <w:gridCol w:w="1411"/>
        <w:gridCol w:w="4531"/>
        <w:gridCol w:w="1368"/>
        <w:gridCol w:w="1469"/>
        <w:gridCol w:w="1810"/>
      </w:tblGrid>
      <w:tr w:rsidR="00074317" w14:paraId="2C09C81C" w14:textId="77777777">
        <w:trPr>
          <w:trHeight w:hRule="exact" w:val="259"/>
        </w:trPr>
        <w:tc>
          <w:tcPr>
            <w:tcW w:w="1411" w:type="dxa"/>
            <w:tcBorders>
              <w:top w:val="single" w:sz="4" w:space="0" w:color="auto"/>
              <w:left w:val="single" w:sz="4" w:space="0" w:color="auto"/>
            </w:tcBorders>
            <w:shd w:val="clear" w:color="auto" w:fill="FFFFFF"/>
          </w:tcPr>
          <w:p w14:paraId="13ECFEBC" w14:textId="77777777" w:rsidR="00074317" w:rsidRDefault="00074317">
            <w:pPr>
              <w:framePr w:w="10589" w:h="8275" w:wrap="none" w:vAnchor="page" w:hAnchor="page" w:x="757" w:y="5217"/>
              <w:rPr>
                <w:sz w:val="10"/>
                <w:szCs w:val="10"/>
              </w:rPr>
            </w:pPr>
          </w:p>
        </w:tc>
        <w:tc>
          <w:tcPr>
            <w:tcW w:w="4531" w:type="dxa"/>
            <w:tcBorders>
              <w:top w:val="single" w:sz="4" w:space="0" w:color="auto"/>
            </w:tcBorders>
            <w:shd w:val="clear" w:color="auto" w:fill="FFFFFF"/>
          </w:tcPr>
          <w:p w14:paraId="05F536C9" w14:textId="77777777" w:rsidR="00074317" w:rsidRDefault="00074317">
            <w:pPr>
              <w:framePr w:w="10589" w:h="8275" w:wrap="none" w:vAnchor="page" w:hAnchor="page" w:x="757" w:y="5217"/>
              <w:rPr>
                <w:sz w:val="10"/>
                <w:szCs w:val="10"/>
              </w:rPr>
            </w:pPr>
          </w:p>
        </w:tc>
        <w:tc>
          <w:tcPr>
            <w:tcW w:w="1368" w:type="dxa"/>
            <w:tcBorders>
              <w:top w:val="single" w:sz="4" w:space="0" w:color="auto"/>
            </w:tcBorders>
            <w:shd w:val="clear" w:color="auto" w:fill="FFFFFF"/>
            <w:vAlign w:val="bottom"/>
          </w:tcPr>
          <w:p w14:paraId="2B43713F" w14:textId="77777777" w:rsidR="00074317" w:rsidRDefault="00BB0A46">
            <w:pPr>
              <w:pStyle w:val="Other10"/>
              <w:framePr w:w="10589" w:h="8275" w:wrap="none" w:vAnchor="page" w:hAnchor="page" w:x="757" w:y="5217"/>
              <w:spacing w:line="240" w:lineRule="auto"/>
              <w:ind w:firstLine="680"/>
              <w:jc w:val="both"/>
              <w:rPr>
                <w:sz w:val="12"/>
                <w:szCs w:val="12"/>
              </w:rPr>
            </w:pPr>
            <w:r>
              <w:rPr>
                <w:rFonts w:ascii="Arial" w:eastAsia="Arial" w:hAnsi="Arial" w:cs="Arial"/>
                <w:i/>
                <w:iCs/>
                <w:sz w:val="12"/>
                <w:szCs w:val="12"/>
              </w:rPr>
              <w:t>Sazba DPH</w:t>
            </w:r>
          </w:p>
        </w:tc>
        <w:tc>
          <w:tcPr>
            <w:tcW w:w="1469" w:type="dxa"/>
            <w:tcBorders>
              <w:top w:val="single" w:sz="4" w:space="0" w:color="auto"/>
            </w:tcBorders>
            <w:shd w:val="clear" w:color="auto" w:fill="FFFFFF"/>
            <w:vAlign w:val="bottom"/>
          </w:tcPr>
          <w:p w14:paraId="555C4884" w14:textId="77777777" w:rsidR="00074317" w:rsidRDefault="00BB0A46">
            <w:pPr>
              <w:pStyle w:val="Other10"/>
              <w:framePr w:w="10589" w:h="8275" w:wrap="none" w:vAnchor="page" w:hAnchor="page" w:x="757" w:y="5217"/>
              <w:spacing w:line="240" w:lineRule="auto"/>
              <w:jc w:val="right"/>
              <w:rPr>
                <w:sz w:val="12"/>
                <w:szCs w:val="12"/>
              </w:rPr>
            </w:pPr>
            <w:r>
              <w:rPr>
                <w:rFonts w:ascii="Arial" w:eastAsia="Arial" w:hAnsi="Arial" w:cs="Arial"/>
                <w:i/>
                <w:iCs/>
                <w:sz w:val="12"/>
                <w:szCs w:val="12"/>
              </w:rPr>
              <w:t xml:space="preserve">Cena bez </w:t>
            </w:r>
            <w:proofErr w:type="spellStart"/>
            <w:r>
              <w:rPr>
                <w:rFonts w:ascii="Arial" w:eastAsia="Arial" w:hAnsi="Arial" w:cs="Arial"/>
                <w:i/>
                <w:iCs/>
                <w:sz w:val="12"/>
                <w:szCs w:val="12"/>
              </w:rPr>
              <w:t>DPh</w:t>
            </w:r>
            <w:proofErr w:type="spellEnd"/>
          </w:p>
        </w:tc>
        <w:tc>
          <w:tcPr>
            <w:tcW w:w="1810" w:type="dxa"/>
            <w:tcBorders>
              <w:top w:val="single" w:sz="4" w:space="0" w:color="auto"/>
              <w:right w:val="single" w:sz="4" w:space="0" w:color="auto"/>
            </w:tcBorders>
            <w:shd w:val="clear" w:color="auto" w:fill="FFFFFF"/>
            <w:vAlign w:val="bottom"/>
          </w:tcPr>
          <w:p w14:paraId="5056C67F" w14:textId="77777777" w:rsidR="00074317" w:rsidRDefault="00BB0A46">
            <w:pPr>
              <w:pStyle w:val="Other10"/>
              <w:framePr w:w="10589" w:h="8275" w:wrap="none" w:vAnchor="page" w:hAnchor="page" w:x="757" w:y="5217"/>
              <w:spacing w:line="240" w:lineRule="auto"/>
              <w:jc w:val="right"/>
              <w:rPr>
                <w:sz w:val="12"/>
                <w:szCs w:val="12"/>
              </w:rPr>
            </w:pPr>
            <w:r>
              <w:rPr>
                <w:rFonts w:ascii="Arial" w:eastAsia="Arial" w:hAnsi="Arial" w:cs="Arial"/>
                <w:i/>
                <w:iCs/>
                <w:sz w:val="12"/>
                <w:szCs w:val="12"/>
              </w:rPr>
              <w:t xml:space="preserve">Cena s </w:t>
            </w:r>
            <w:proofErr w:type="spellStart"/>
            <w:r>
              <w:rPr>
                <w:rFonts w:ascii="Arial" w:eastAsia="Arial" w:hAnsi="Arial" w:cs="Arial"/>
                <w:i/>
                <w:iCs/>
                <w:sz w:val="12"/>
                <w:szCs w:val="12"/>
              </w:rPr>
              <w:t>DPh</w:t>
            </w:r>
            <w:proofErr w:type="spellEnd"/>
          </w:p>
        </w:tc>
      </w:tr>
      <w:tr w:rsidR="00074317" w14:paraId="29691156" w14:textId="77777777">
        <w:trPr>
          <w:trHeight w:hRule="exact" w:val="581"/>
        </w:trPr>
        <w:tc>
          <w:tcPr>
            <w:tcW w:w="1411" w:type="dxa"/>
            <w:tcBorders>
              <w:top w:val="single" w:sz="4" w:space="0" w:color="auto"/>
              <w:left w:val="single" w:sz="4" w:space="0" w:color="auto"/>
            </w:tcBorders>
            <w:shd w:val="clear" w:color="auto" w:fill="FFFFFF"/>
            <w:vAlign w:val="center"/>
          </w:tcPr>
          <w:p w14:paraId="0E4EA913" w14:textId="77777777" w:rsidR="00074317" w:rsidRDefault="00BB0A46">
            <w:pPr>
              <w:pStyle w:val="Other10"/>
              <w:framePr w:w="10589" w:h="8275" w:wrap="none" w:vAnchor="page" w:hAnchor="page" w:x="757" w:y="5217"/>
              <w:spacing w:line="240" w:lineRule="auto"/>
              <w:rPr>
                <w:sz w:val="13"/>
                <w:szCs w:val="13"/>
              </w:rPr>
            </w:pPr>
            <w:r>
              <w:rPr>
                <w:rFonts w:ascii="Arial" w:eastAsia="Arial" w:hAnsi="Arial" w:cs="Arial"/>
                <w:sz w:val="13"/>
                <w:szCs w:val="13"/>
              </w:rPr>
              <w:t>G01B/GEC MY25</w:t>
            </w:r>
          </w:p>
        </w:tc>
        <w:tc>
          <w:tcPr>
            <w:tcW w:w="4531" w:type="dxa"/>
            <w:tcBorders>
              <w:top w:val="single" w:sz="4" w:space="0" w:color="auto"/>
            </w:tcBorders>
            <w:shd w:val="clear" w:color="auto" w:fill="FFFFFF"/>
            <w:vAlign w:val="bottom"/>
          </w:tcPr>
          <w:p w14:paraId="7AB8FBA4" w14:textId="77777777" w:rsidR="00074317" w:rsidRDefault="00BB0A46">
            <w:pPr>
              <w:pStyle w:val="Other10"/>
              <w:framePr w:w="10589" w:h="8275" w:wrap="none" w:vAnchor="page" w:hAnchor="page" w:x="757" w:y="5217"/>
              <w:spacing w:line="271" w:lineRule="auto"/>
              <w:ind w:left="280" w:firstLine="20"/>
              <w:rPr>
                <w:sz w:val="17"/>
                <w:szCs w:val="17"/>
              </w:rPr>
            </w:pPr>
            <w:r>
              <w:rPr>
                <w:rFonts w:ascii="Arial" w:eastAsia="Arial" w:hAnsi="Arial" w:cs="Arial"/>
                <w:b/>
                <w:bCs/>
                <w:sz w:val="20"/>
                <w:szCs w:val="20"/>
              </w:rPr>
              <w:t xml:space="preserve">INEOS GRENADIER SW 3,0 diesel </w:t>
            </w:r>
            <w:r>
              <w:rPr>
                <w:rFonts w:ascii="Arial" w:eastAsia="Arial" w:hAnsi="Arial" w:cs="Arial"/>
                <w:b/>
                <w:bCs/>
                <w:sz w:val="17"/>
                <w:szCs w:val="17"/>
              </w:rPr>
              <w:t>TRIALMASTER MY25</w:t>
            </w:r>
          </w:p>
        </w:tc>
        <w:tc>
          <w:tcPr>
            <w:tcW w:w="1368" w:type="dxa"/>
            <w:tcBorders>
              <w:top w:val="single" w:sz="4" w:space="0" w:color="auto"/>
            </w:tcBorders>
            <w:shd w:val="clear" w:color="auto" w:fill="FFFFFF"/>
            <w:vAlign w:val="center"/>
          </w:tcPr>
          <w:p w14:paraId="259AB632"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tcBorders>
              <w:top w:val="single" w:sz="4" w:space="0" w:color="auto"/>
            </w:tcBorders>
            <w:shd w:val="clear" w:color="auto" w:fill="FFFFFF"/>
            <w:vAlign w:val="center"/>
          </w:tcPr>
          <w:p w14:paraId="3B4C5A21" w14:textId="77777777" w:rsidR="00074317" w:rsidRDefault="00BB0A46">
            <w:pPr>
              <w:pStyle w:val="Other10"/>
              <w:framePr w:w="10589" w:h="8275" w:wrap="none" w:vAnchor="page" w:hAnchor="page" w:x="757" w:y="5217"/>
              <w:spacing w:line="240" w:lineRule="auto"/>
              <w:ind w:firstLine="360"/>
              <w:rPr>
                <w:sz w:val="13"/>
                <w:szCs w:val="13"/>
              </w:rPr>
            </w:pPr>
            <w:r>
              <w:rPr>
                <w:rFonts w:ascii="Arial" w:eastAsia="Arial" w:hAnsi="Arial" w:cs="Arial"/>
                <w:sz w:val="13"/>
                <w:szCs w:val="13"/>
              </w:rPr>
              <w:t>1 800 621,56Kč</w:t>
            </w:r>
          </w:p>
        </w:tc>
        <w:tc>
          <w:tcPr>
            <w:tcW w:w="1810" w:type="dxa"/>
            <w:tcBorders>
              <w:top w:val="single" w:sz="4" w:space="0" w:color="auto"/>
              <w:right w:val="single" w:sz="4" w:space="0" w:color="auto"/>
            </w:tcBorders>
            <w:shd w:val="clear" w:color="auto" w:fill="FFFFFF"/>
            <w:vAlign w:val="center"/>
          </w:tcPr>
          <w:p w14:paraId="7B2A8624" w14:textId="77777777" w:rsidR="00074317" w:rsidRDefault="00BB0A46">
            <w:pPr>
              <w:pStyle w:val="Other10"/>
              <w:framePr w:w="10589" w:h="8275" w:wrap="none" w:vAnchor="page" w:hAnchor="page" w:x="757" w:y="5217"/>
              <w:spacing w:line="240" w:lineRule="auto"/>
              <w:jc w:val="right"/>
              <w:rPr>
                <w:sz w:val="14"/>
                <w:szCs w:val="14"/>
              </w:rPr>
            </w:pPr>
            <w:r>
              <w:rPr>
                <w:rFonts w:ascii="Arial" w:eastAsia="Arial" w:hAnsi="Arial" w:cs="Arial"/>
                <w:b/>
                <w:bCs/>
                <w:sz w:val="14"/>
                <w:szCs w:val="14"/>
              </w:rPr>
              <w:t>2 178 752,09Kč</w:t>
            </w:r>
          </w:p>
        </w:tc>
      </w:tr>
      <w:tr w:rsidR="00074317" w14:paraId="4373292B" w14:textId="77777777">
        <w:trPr>
          <w:trHeight w:hRule="exact" w:val="221"/>
        </w:trPr>
        <w:tc>
          <w:tcPr>
            <w:tcW w:w="1411" w:type="dxa"/>
            <w:tcBorders>
              <w:left w:val="single" w:sz="4" w:space="0" w:color="auto"/>
            </w:tcBorders>
            <w:shd w:val="clear" w:color="auto" w:fill="FFFFFF"/>
            <w:vAlign w:val="bottom"/>
          </w:tcPr>
          <w:p w14:paraId="3ECAC644" w14:textId="77777777" w:rsidR="00074317" w:rsidRDefault="00BB0A46">
            <w:pPr>
              <w:pStyle w:val="Other10"/>
              <w:framePr w:w="10589" w:h="8275" w:wrap="none" w:vAnchor="page" w:hAnchor="page" w:x="757" w:y="5217"/>
              <w:spacing w:line="240" w:lineRule="auto"/>
              <w:rPr>
                <w:sz w:val="13"/>
                <w:szCs w:val="13"/>
              </w:rPr>
            </w:pPr>
            <w:r>
              <w:rPr>
                <w:rFonts w:ascii="Arial" w:eastAsia="Arial" w:hAnsi="Arial" w:cs="Arial"/>
                <w:sz w:val="13"/>
                <w:szCs w:val="13"/>
              </w:rPr>
              <w:t>FPL</w:t>
            </w:r>
          </w:p>
        </w:tc>
        <w:tc>
          <w:tcPr>
            <w:tcW w:w="4531" w:type="dxa"/>
            <w:shd w:val="clear" w:color="auto" w:fill="FFFFFF"/>
            <w:vAlign w:val="bottom"/>
          </w:tcPr>
          <w:p w14:paraId="0424F71F" w14:textId="77777777" w:rsidR="00074317" w:rsidRDefault="00BB0A46">
            <w:pPr>
              <w:pStyle w:val="Other10"/>
              <w:framePr w:w="10589" w:h="8275" w:wrap="none" w:vAnchor="page" w:hAnchor="page" w:x="757" w:y="5217"/>
              <w:spacing w:line="240" w:lineRule="auto"/>
              <w:ind w:firstLine="280"/>
            </w:pPr>
            <w:proofErr w:type="spellStart"/>
            <w:r>
              <w:t>Magic</w:t>
            </w:r>
            <w:proofErr w:type="spellEnd"/>
            <w:r>
              <w:t xml:space="preserve"> </w:t>
            </w:r>
            <w:proofErr w:type="spellStart"/>
            <w:r>
              <w:t>Mushroom</w:t>
            </w:r>
            <w:proofErr w:type="spellEnd"/>
          </w:p>
        </w:tc>
        <w:tc>
          <w:tcPr>
            <w:tcW w:w="1368" w:type="dxa"/>
            <w:shd w:val="clear" w:color="auto" w:fill="FFFFFF"/>
            <w:vAlign w:val="bottom"/>
          </w:tcPr>
          <w:p w14:paraId="192920A1"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bottom"/>
          </w:tcPr>
          <w:p w14:paraId="59D57516" w14:textId="77777777" w:rsidR="00074317" w:rsidRDefault="00BB0A46">
            <w:pPr>
              <w:pStyle w:val="Other10"/>
              <w:framePr w:w="10589" w:h="8275" w:wrap="none" w:vAnchor="page" w:hAnchor="page" w:x="757" w:y="5217"/>
              <w:spacing w:line="240" w:lineRule="auto"/>
              <w:ind w:firstLine="560"/>
              <w:jc w:val="both"/>
              <w:rPr>
                <w:sz w:val="13"/>
                <w:szCs w:val="13"/>
              </w:rPr>
            </w:pPr>
            <w:r>
              <w:rPr>
                <w:rFonts w:ascii="Arial" w:eastAsia="Arial" w:hAnsi="Arial" w:cs="Arial"/>
                <w:sz w:val="13"/>
                <w:szCs w:val="13"/>
              </w:rPr>
              <w:t>16 602,80Kč</w:t>
            </w:r>
          </w:p>
        </w:tc>
        <w:tc>
          <w:tcPr>
            <w:tcW w:w="1810" w:type="dxa"/>
            <w:tcBorders>
              <w:right w:val="single" w:sz="4" w:space="0" w:color="auto"/>
            </w:tcBorders>
            <w:shd w:val="clear" w:color="auto" w:fill="FFFFFF"/>
            <w:vAlign w:val="bottom"/>
          </w:tcPr>
          <w:p w14:paraId="6CF9BA76" w14:textId="77777777" w:rsidR="00074317" w:rsidRDefault="00BB0A46">
            <w:pPr>
              <w:pStyle w:val="Other10"/>
              <w:framePr w:w="10589" w:h="8275" w:wrap="none" w:vAnchor="page" w:hAnchor="page" w:x="757" w:y="5217"/>
              <w:spacing w:line="240" w:lineRule="auto"/>
              <w:ind w:firstLine="860"/>
              <w:jc w:val="both"/>
              <w:rPr>
                <w:sz w:val="14"/>
                <w:szCs w:val="14"/>
              </w:rPr>
            </w:pPr>
            <w:r>
              <w:rPr>
                <w:rFonts w:ascii="Arial" w:eastAsia="Arial" w:hAnsi="Arial" w:cs="Arial"/>
                <w:b/>
                <w:bCs/>
                <w:sz w:val="14"/>
                <w:szCs w:val="14"/>
              </w:rPr>
              <w:t>20 089,39Kč</w:t>
            </w:r>
          </w:p>
        </w:tc>
      </w:tr>
      <w:tr w:rsidR="00074317" w14:paraId="07A70B85" w14:textId="77777777">
        <w:trPr>
          <w:trHeight w:hRule="exact" w:val="456"/>
        </w:trPr>
        <w:tc>
          <w:tcPr>
            <w:tcW w:w="1411" w:type="dxa"/>
            <w:tcBorders>
              <w:left w:val="single" w:sz="4" w:space="0" w:color="auto"/>
            </w:tcBorders>
            <w:shd w:val="clear" w:color="auto" w:fill="FFFFFF"/>
            <w:vAlign w:val="bottom"/>
          </w:tcPr>
          <w:p w14:paraId="33FF2A78" w14:textId="77777777" w:rsidR="00074317" w:rsidRDefault="00BB0A46">
            <w:pPr>
              <w:pStyle w:val="Other10"/>
              <w:framePr w:w="10589" w:h="8275" w:wrap="none" w:vAnchor="page" w:hAnchor="page" w:x="757" w:y="5217"/>
              <w:spacing w:after="120" w:line="240" w:lineRule="auto"/>
              <w:rPr>
                <w:sz w:val="11"/>
                <w:szCs w:val="11"/>
              </w:rPr>
            </w:pPr>
            <w:r>
              <w:rPr>
                <w:rFonts w:ascii="Arial" w:eastAsia="Arial" w:hAnsi="Arial" w:cs="Arial"/>
                <w:i/>
                <w:iCs/>
                <w:sz w:val="11"/>
                <w:szCs w:val="11"/>
              </w:rPr>
              <w:t>Číslo karoserie:</w:t>
            </w:r>
          </w:p>
          <w:p w14:paraId="5F0CFAE2" w14:textId="77777777" w:rsidR="00074317" w:rsidRDefault="00BB0A46">
            <w:pPr>
              <w:pStyle w:val="Other10"/>
              <w:framePr w:w="10589" w:h="8275" w:wrap="none" w:vAnchor="page" w:hAnchor="page" w:x="757" w:y="5217"/>
              <w:tabs>
                <w:tab w:val="left" w:leader="underscore" w:pos="1368"/>
              </w:tabs>
              <w:spacing w:line="240" w:lineRule="auto"/>
              <w:rPr>
                <w:sz w:val="14"/>
                <w:szCs w:val="14"/>
              </w:rPr>
            </w:pPr>
            <w:r>
              <w:rPr>
                <w:rFonts w:ascii="Arial" w:eastAsia="Arial" w:hAnsi="Arial" w:cs="Arial"/>
                <w:b/>
                <w:bCs/>
                <w:sz w:val="14"/>
                <w:szCs w:val="14"/>
              </w:rPr>
              <w:t>l</w:t>
            </w:r>
            <w:r>
              <w:rPr>
                <w:rFonts w:ascii="Arial" w:eastAsia="Arial" w:hAnsi="Arial" w:cs="Arial"/>
                <w:b/>
                <w:bCs/>
                <w:sz w:val="14"/>
                <w:szCs w:val="14"/>
              </w:rPr>
              <w:tab/>
            </w:r>
          </w:p>
        </w:tc>
        <w:tc>
          <w:tcPr>
            <w:tcW w:w="9178" w:type="dxa"/>
            <w:gridSpan w:val="4"/>
            <w:tcBorders>
              <w:right w:val="single" w:sz="4" w:space="0" w:color="auto"/>
            </w:tcBorders>
            <w:shd w:val="clear" w:color="auto" w:fill="FFFFFF"/>
            <w:vAlign w:val="bottom"/>
          </w:tcPr>
          <w:p w14:paraId="1001A046" w14:textId="77777777" w:rsidR="00074317" w:rsidRDefault="00BB0A46">
            <w:pPr>
              <w:pStyle w:val="Other10"/>
              <w:framePr w:w="10589" w:h="8275" w:wrap="none" w:vAnchor="page" w:hAnchor="page" w:x="757" w:y="5217"/>
              <w:spacing w:line="240" w:lineRule="auto"/>
              <w:ind w:firstLine="300"/>
            </w:pPr>
            <w:r>
              <w:t>SC6GM1DA0SF024554</w:t>
            </w:r>
          </w:p>
          <w:p w14:paraId="296E4DAF" w14:textId="77777777" w:rsidR="00074317" w:rsidRDefault="00BB0A46">
            <w:pPr>
              <w:pStyle w:val="Other10"/>
              <w:framePr w:w="10589" w:h="8275" w:wrap="none" w:vAnchor="page" w:hAnchor="page" w:x="757" w:y="5217"/>
              <w:spacing w:line="240" w:lineRule="auto"/>
              <w:ind w:firstLine="300"/>
              <w:jc w:val="both"/>
            </w:pPr>
            <w:r>
              <w:t xml:space="preserve">Servis: - Poskytování servisních </w:t>
            </w:r>
            <w:proofErr w:type="gramStart"/>
            <w:r>
              <w:t>služeb - Poskytnutí</w:t>
            </w:r>
            <w:proofErr w:type="gramEnd"/>
            <w:r>
              <w:t xml:space="preserve"> náhradního vozidla v případě závady po dobu provádění servisních služeb</w:t>
            </w:r>
          </w:p>
        </w:tc>
      </w:tr>
      <w:tr w:rsidR="00074317" w14:paraId="4B525CE5" w14:textId="77777777">
        <w:trPr>
          <w:trHeight w:hRule="exact" w:val="480"/>
        </w:trPr>
        <w:tc>
          <w:tcPr>
            <w:tcW w:w="5942" w:type="dxa"/>
            <w:gridSpan w:val="2"/>
            <w:tcBorders>
              <w:top w:val="single" w:sz="4" w:space="0" w:color="auto"/>
            </w:tcBorders>
            <w:shd w:val="clear" w:color="auto" w:fill="FFFFFF"/>
            <w:vAlign w:val="bottom"/>
          </w:tcPr>
          <w:p w14:paraId="2E7191BC" w14:textId="77777777" w:rsidR="00074317" w:rsidRDefault="00BB0A46">
            <w:pPr>
              <w:pStyle w:val="Other10"/>
              <w:framePr w:w="10589" w:h="8275" w:wrap="none" w:vAnchor="page" w:hAnchor="page" w:x="757" w:y="5217"/>
              <w:spacing w:line="240" w:lineRule="auto"/>
              <w:ind w:firstLine="140"/>
              <w:rPr>
                <w:sz w:val="14"/>
                <w:szCs w:val="14"/>
              </w:rPr>
            </w:pPr>
            <w:r>
              <w:rPr>
                <w:rFonts w:ascii="Arial" w:eastAsia="Arial" w:hAnsi="Arial" w:cs="Arial"/>
                <w:b/>
                <w:bCs/>
                <w:i/>
                <w:iCs/>
                <w:sz w:val="14"/>
                <w:szCs w:val="14"/>
              </w:rPr>
              <w:t>Nadstandardní výbava:</w:t>
            </w:r>
          </w:p>
          <w:p w14:paraId="55F09769" w14:textId="77777777" w:rsidR="00074317" w:rsidRDefault="00BB0A46">
            <w:pPr>
              <w:pStyle w:val="Other10"/>
              <w:framePr w:w="10589" w:h="8275" w:wrap="none" w:vAnchor="page" w:hAnchor="page" w:x="757" w:y="5217"/>
              <w:tabs>
                <w:tab w:val="left" w:pos="1422"/>
              </w:tabs>
              <w:spacing w:line="240" w:lineRule="auto"/>
              <w:ind w:firstLine="140"/>
              <w:rPr>
                <w:sz w:val="14"/>
                <w:szCs w:val="14"/>
              </w:rPr>
            </w:pPr>
            <w:r>
              <w:rPr>
                <w:rFonts w:ascii="Arial" w:eastAsia="Arial" w:hAnsi="Arial" w:cs="Arial"/>
                <w:sz w:val="13"/>
                <w:szCs w:val="13"/>
              </w:rPr>
              <w:t>ISF</w:t>
            </w:r>
            <w:r>
              <w:rPr>
                <w:rFonts w:ascii="Arial" w:eastAsia="Arial" w:hAnsi="Arial" w:cs="Arial"/>
                <w:sz w:val="13"/>
                <w:szCs w:val="13"/>
              </w:rPr>
              <w:tab/>
            </w:r>
            <w:r>
              <w:rPr>
                <w:rFonts w:ascii="Arial" w:eastAsia="Arial" w:hAnsi="Arial" w:cs="Arial"/>
                <w:b/>
                <w:bCs/>
                <w:sz w:val="14"/>
                <w:szCs w:val="14"/>
              </w:rPr>
              <w:t>Vyhřívaná přední sedadla</w:t>
            </w:r>
          </w:p>
        </w:tc>
        <w:tc>
          <w:tcPr>
            <w:tcW w:w="1368" w:type="dxa"/>
            <w:tcBorders>
              <w:top w:val="single" w:sz="4" w:space="0" w:color="auto"/>
            </w:tcBorders>
            <w:shd w:val="clear" w:color="auto" w:fill="FFFFFF"/>
            <w:vAlign w:val="bottom"/>
          </w:tcPr>
          <w:p w14:paraId="09ED873E"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tcBorders>
              <w:top w:val="single" w:sz="4" w:space="0" w:color="auto"/>
            </w:tcBorders>
            <w:shd w:val="clear" w:color="auto" w:fill="FFFFFF"/>
            <w:vAlign w:val="bottom"/>
          </w:tcPr>
          <w:p w14:paraId="7869FECE" w14:textId="77777777" w:rsidR="00074317" w:rsidRDefault="00BB0A46">
            <w:pPr>
              <w:pStyle w:val="Other10"/>
              <w:framePr w:w="10589" w:h="8275" w:wrap="none" w:vAnchor="page" w:hAnchor="page" w:x="757" w:y="5217"/>
              <w:spacing w:line="240" w:lineRule="auto"/>
              <w:ind w:firstLine="640"/>
              <w:jc w:val="both"/>
              <w:rPr>
                <w:sz w:val="13"/>
                <w:szCs w:val="13"/>
              </w:rPr>
            </w:pPr>
            <w:r>
              <w:rPr>
                <w:rFonts w:ascii="Arial" w:eastAsia="Arial" w:hAnsi="Arial" w:cs="Arial"/>
                <w:sz w:val="13"/>
                <w:szCs w:val="13"/>
              </w:rPr>
              <w:t>8 999,97Kč</w:t>
            </w:r>
          </w:p>
        </w:tc>
        <w:tc>
          <w:tcPr>
            <w:tcW w:w="1810" w:type="dxa"/>
            <w:tcBorders>
              <w:top w:val="single" w:sz="4" w:space="0" w:color="auto"/>
            </w:tcBorders>
            <w:shd w:val="clear" w:color="auto" w:fill="FFFFFF"/>
            <w:vAlign w:val="bottom"/>
          </w:tcPr>
          <w:p w14:paraId="15612843" w14:textId="77777777" w:rsidR="00074317" w:rsidRDefault="00BB0A46">
            <w:pPr>
              <w:pStyle w:val="Other10"/>
              <w:framePr w:w="10589" w:h="8275" w:wrap="none" w:vAnchor="page" w:hAnchor="page" w:x="757" w:y="5217"/>
              <w:spacing w:line="240" w:lineRule="auto"/>
              <w:ind w:firstLine="860"/>
              <w:jc w:val="both"/>
              <w:rPr>
                <w:sz w:val="14"/>
                <w:szCs w:val="14"/>
              </w:rPr>
            </w:pPr>
            <w:r>
              <w:rPr>
                <w:rFonts w:ascii="Arial" w:eastAsia="Arial" w:hAnsi="Arial" w:cs="Arial"/>
                <w:b/>
                <w:bCs/>
                <w:sz w:val="14"/>
                <w:szCs w:val="14"/>
              </w:rPr>
              <w:t>10 889,96Kč</w:t>
            </w:r>
          </w:p>
        </w:tc>
      </w:tr>
      <w:tr w:rsidR="00074317" w14:paraId="4621D961" w14:textId="77777777">
        <w:trPr>
          <w:trHeight w:hRule="exact" w:val="216"/>
        </w:trPr>
        <w:tc>
          <w:tcPr>
            <w:tcW w:w="1411" w:type="dxa"/>
            <w:shd w:val="clear" w:color="auto" w:fill="FFFFFF"/>
            <w:vAlign w:val="bottom"/>
          </w:tcPr>
          <w:p w14:paraId="31C28CC4"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ETC</w:t>
            </w:r>
          </w:p>
        </w:tc>
        <w:tc>
          <w:tcPr>
            <w:tcW w:w="4531" w:type="dxa"/>
            <w:shd w:val="clear" w:color="auto" w:fill="FFFFFF"/>
            <w:vAlign w:val="bottom"/>
          </w:tcPr>
          <w:p w14:paraId="0F9F114D"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Pevné tažné zařízení a elektrická přípojka</w:t>
            </w:r>
          </w:p>
        </w:tc>
        <w:tc>
          <w:tcPr>
            <w:tcW w:w="1368" w:type="dxa"/>
            <w:shd w:val="clear" w:color="auto" w:fill="FFFFFF"/>
            <w:vAlign w:val="bottom"/>
          </w:tcPr>
          <w:p w14:paraId="64675F22"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bottom"/>
          </w:tcPr>
          <w:p w14:paraId="6CB982FA" w14:textId="77777777" w:rsidR="00074317" w:rsidRDefault="00BB0A46">
            <w:pPr>
              <w:pStyle w:val="Other10"/>
              <w:framePr w:w="10589" w:h="8275" w:wrap="none" w:vAnchor="page" w:hAnchor="page" w:x="757" w:y="5217"/>
              <w:spacing w:line="240" w:lineRule="auto"/>
              <w:ind w:firstLine="560"/>
              <w:jc w:val="both"/>
              <w:rPr>
                <w:sz w:val="13"/>
                <w:szCs w:val="13"/>
              </w:rPr>
            </w:pPr>
            <w:r>
              <w:rPr>
                <w:rFonts w:ascii="Arial" w:eastAsia="Arial" w:hAnsi="Arial" w:cs="Arial"/>
                <w:sz w:val="13"/>
                <w:szCs w:val="13"/>
              </w:rPr>
              <w:t>16 935,32Kč</w:t>
            </w:r>
          </w:p>
        </w:tc>
        <w:tc>
          <w:tcPr>
            <w:tcW w:w="1810" w:type="dxa"/>
            <w:shd w:val="clear" w:color="auto" w:fill="FFFFFF"/>
            <w:vAlign w:val="bottom"/>
          </w:tcPr>
          <w:p w14:paraId="23E292AE" w14:textId="77777777" w:rsidR="00074317" w:rsidRDefault="00BB0A46">
            <w:pPr>
              <w:pStyle w:val="Other10"/>
              <w:framePr w:w="10589" w:h="8275" w:wrap="none" w:vAnchor="page" w:hAnchor="page" w:x="757" w:y="5217"/>
              <w:spacing w:line="240" w:lineRule="auto"/>
              <w:ind w:firstLine="860"/>
              <w:jc w:val="both"/>
              <w:rPr>
                <w:sz w:val="14"/>
                <w:szCs w:val="14"/>
              </w:rPr>
            </w:pPr>
            <w:r>
              <w:rPr>
                <w:rFonts w:ascii="Arial" w:eastAsia="Arial" w:hAnsi="Arial" w:cs="Arial"/>
                <w:b/>
                <w:bCs/>
                <w:sz w:val="14"/>
                <w:szCs w:val="14"/>
              </w:rPr>
              <w:t>20 491,74Kč</w:t>
            </w:r>
          </w:p>
        </w:tc>
      </w:tr>
      <w:tr w:rsidR="00074317" w14:paraId="6F867B7F" w14:textId="77777777">
        <w:trPr>
          <w:trHeight w:hRule="exact" w:val="211"/>
        </w:trPr>
        <w:tc>
          <w:tcPr>
            <w:tcW w:w="1411" w:type="dxa"/>
            <w:shd w:val="clear" w:color="auto" w:fill="FFFFFF"/>
            <w:vAlign w:val="bottom"/>
          </w:tcPr>
          <w:p w14:paraId="1B9D329C"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DDG</w:t>
            </w:r>
          </w:p>
        </w:tc>
        <w:tc>
          <w:tcPr>
            <w:tcW w:w="4531" w:type="dxa"/>
            <w:shd w:val="clear" w:color="auto" w:fill="FFFFFF"/>
            <w:vAlign w:val="bottom"/>
          </w:tcPr>
          <w:p w14:paraId="78AB5260" w14:textId="77777777" w:rsidR="00074317" w:rsidRDefault="00BB0A46">
            <w:pPr>
              <w:pStyle w:val="Other10"/>
              <w:framePr w:w="10589" w:h="8275" w:wrap="none" w:vAnchor="page" w:hAnchor="page" w:x="757" w:y="5217"/>
              <w:spacing w:line="240" w:lineRule="auto"/>
              <w:rPr>
                <w:sz w:val="14"/>
                <w:szCs w:val="14"/>
              </w:rPr>
            </w:pPr>
            <w:proofErr w:type="gramStart"/>
            <w:r>
              <w:rPr>
                <w:rFonts w:ascii="Arial" w:eastAsia="Arial" w:hAnsi="Arial" w:cs="Arial"/>
                <w:b/>
                <w:bCs/>
                <w:sz w:val="14"/>
                <w:szCs w:val="14"/>
              </w:rPr>
              <w:t>Nafta - odlučovač</w:t>
            </w:r>
            <w:proofErr w:type="gramEnd"/>
            <w:r>
              <w:rPr>
                <w:rFonts w:ascii="Arial" w:eastAsia="Arial" w:hAnsi="Arial" w:cs="Arial"/>
                <w:b/>
                <w:bCs/>
                <w:sz w:val="14"/>
                <w:szCs w:val="14"/>
              </w:rPr>
              <w:t xml:space="preserve"> vody</w:t>
            </w:r>
          </w:p>
        </w:tc>
        <w:tc>
          <w:tcPr>
            <w:tcW w:w="1368" w:type="dxa"/>
            <w:shd w:val="clear" w:color="auto" w:fill="FFFFFF"/>
            <w:vAlign w:val="bottom"/>
          </w:tcPr>
          <w:p w14:paraId="5F84268F"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bottom"/>
          </w:tcPr>
          <w:p w14:paraId="6BC81530" w14:textId="77777777" w:rsidR="00074317" w:rsidRDefault="00BB0A46">
            <w:pPr>
              <w:pStyle w:val="Other10"/>
              <w:framePr w:w="10589" w:h="8275" w:wrap="none" w:vAnchor="page" w:hAnchor="page" w:x="757" w:y="5217"/>
              <w:spacing w:line="240" w:lineRule="auto"/>
              <w:ind w:firstLine="900"/>
              <w:rPr>
                <w:sz w:val="13"/>
                <w:szCs w:val="13"/>
              </w:rPr>
            </w:pPr>
            <w:r>
              <w:rPr>
                <w:rFonts w:ascii="Arial" w:eastAsia="Arial" w:hAnsi="Arial" w:cs="Arial"/>
                <w:sz w:val="13"/>
                <w:szCs w:val="13"/>
              </w:rPr>
              <w:t>0,00Kč</w:t>
            </w:r>
          </w:p>
        </w:tc>
        <w:tc>
          <w:tcPr>
            <w:tcW w:w="1810" w:type="dxa"/>
            <w:shd w:val="clear" w:color="auto" w:fill="FFFFFF"/>
            <w:vAlign w:val="bottom"/>
          </w:tcPr>
          <w:p w14:paraId="75E1B916" w14:textId="77777777" w:rsidR="00074317" w:rsidRDefault="00BB0A46">
            <w:pPr>
              <w:pStyle w:val="Other10"/>
              <w:framePr w:w="10589" w:h="8275" w:wrap="none" w:vAnchor="page" w:hAnchor="page" w:x="757" w:y="5217"/>
              <w:spacing w:line="240" w:lineRule="auto"/>
              <w:jc w:val="right"/>
              <w:rPr>
                <w:sz w:val="14"/>
                <w:szCs w:val="14"/>
              </w:rPr>
            </w:pPr>
            <w:r>
              <w:rPr>
                <w:rFonts w:ascii="Arial" w:eastAsia="Arial" w:hAnsi="Arial" w:cs="Arial"/>
                <w:b/>
                <w:bCs/>
                <w:sz w:val="14"/>
                <w:szCs w:val="14"/>
              </w:rPr>
              <w:t>0,00 Kč</w:t>
            </w:r>
          </w:p>
        </w:tc>
      </w:tr>
      <w:tr w:rsidR="00074317" w14:paraId="14C654AB" w14:textId="77777777">
        <w:trPr>
          <w:trHeight w:hRule="exact" w:val="216"/>
        </w:trPr>
        <w:tc>
          <w:tcPr>
            <w:tcW w:w="1411" w:type="dxa"/>
            <w:shd w:val="clear" w:color="auto" w:fill="FFFFFF"/>
            <w:vAlign w:val="bottom"/>
          </w:tcPr>
          <w:p w14:paraId="153CB6BE"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EWK</w:t>
            </w:r>
          </w:p>
        </w:tc>
        <w:tc>
          <w:tcPr>
            <w:tcW w:w="4531" w:type="dxa"/>
            <w:shd w:val="clear" w:color="auto" w:fill="FFFFFF"/>
            <w:vAlign w:val="bottom"/>
          </w:tcPr>
          <w:p w14:paraId="553B5763"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 xml:space="preserve">Safari </w:t>
            </w:r>
            <w:proofErr w:type="gramStart"/>
            <w:r>
              <w:rPr>
                <w:rFonts w:ascii="Arial" w:eastAsia="Arial" w:hAnsi="Arial" w:cs="Arial"/>
                <w:b/>
                <w:bCs/>
                <w:sz w:val="14"/>
                <w:szCs w:val="14"/>
              </w:rPr>
              <w:t>Windows - střešní</w:t>
            </w:r>
            <w:proofErr w:type="gramEnd"/>
            <w:r>
              <w:rPr>
                <w:rFonts w:ascii="Arial" w:eastAsia="Arial" w:hAnsi="Arial" w:cs="Arial"/>
                <w:b/>
                <w:bCs/>
                <w:sz w:val="14"/>
                <w:szCs w:val="14"/>
              </w:rPr>
              <w:t xml:space="preserve"> okna</w:t>
            </w:r>
          </w:p>
        </w:tc>
        <w:tc>
          <w:tcPr>
            <w:tcW w:w="1368" w:type="dxa"/>
            <w:shd w:val="clear" w:color="auto" w:fill="FFFFFF"/>
            <w:vAlign w:val="bottom"/>
          </w:tcPr>
          <w:p w14:paraId="60944BED"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bottom"/>
          </w:tcPr>
          <w:p w14:paraId="3431B092" w14:textId="77777777" w:rsidR="00074317" w:rsidRDefault="00BB0A46">
            <w:pPr>
              <w:pStyle w:val="Other10"/>
              <w:framePr w:w="10589" w:h="8275" w:wrap="none" w:vAnchor="page" w:hAnchor="page" w:x="757" w:y="5217"/>
              <w:spacing w:line="240" w:lineRule="auto"/>
              <w:ind w:firstLine="900"/>
              <w:rPr>
                <w:sz w:val="13"/>
                <w:szCs w:val="13"/>
              </w:rPr>
            </w:pPr>
            <w:r>
              <w:rPr>
                <w:rFonts w:ascii="Arial" w:eastAsia="Arial" w:hAnsi="Arial" w:cs="Arial"/>
                <w:sz w:val="13"/>
                <w:szCs w:val="13"/>
              </w:rPr>
              <w:t>0,00Kč</w:t>
            </w:r>
          </w:p>
        </w:tc>
        <w:tc>
          <w:tcPr>
            <w:tcW w:w="1810" w:type="dxa"/>
            <w:shd w:val="clear" w:color="auto" w:fill="FFFFFF"/>
            <w:vAlign w:val="bottom"/>
          </w:tcPr>
          <w:p w14:paraId="714F92F9" w14:textId="77777777" w:rsidR="00074317" w:rsidRDefault="00BB0A46">
            <w:pPr>
              <w:pStyle w:val="Other10"/>
              <w:framePr w:w="10589" w:h="8275" w:wrap="none" w:vAnchor="page" w:hAnchor="page" w:x="757" w:y="5217"/>
              <w:spacing w:line="240" w:lineRule="auto"/>
              <w:jc w:val="right"/>
              <w:rPr>
                <w:sz w:val="14"/>
                <w:szCs w:val="14"/>
              </w:rPr>
            </w:pPr>
            <w:proofErr w:type="gramStart"/>
            <w:r>
              <w:rPr>
                <w:rFonts w:ascii="Arial" w:eastAsia="Arial" w:hAnsi="Arial" w:cs="Arial"/>
                <w:b/>
                <w:bCs/>
                <w:sz w:val="14"/>
                <w:szCs w:val="14"/>
              </w:rPr>
              <w:t>O,OOKČ</w:t>
            </w:r>
            <w:proofErr w:type="gramEnd"/>
          </w:p>
        </w:tc>
      </w:tr>
      <w:tr w:rsidR="00074317" w14:paraId="7492694C" w14:textId="77777777">
        <w:trPr>
          <w:trHeight w:hRule="exact" w:val="216"/>
        </w:trPr>
        <w:tc>
          <w:tcPr>
            <w:tcW w:w="1411" w:type="dxa"/>
            <w:shd w:val="clear" w:color="auto" w:fill="FFFFFF"/>
            <w:vAlign w:val="bottom"/>
          </w:tcPr>
          <w:p w14:paraId="17AAE17D"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EWO</w:t>
            </w:r>
          </w:p>
        </w:tc>
        <w:tc>
          <w:tcPr>
            <w:tcW w:w="4531" w:type="dxa"/>
            <w:shd w:val="clear" w:color="auto" w:fill="FFFFFF"/>
            <w:vAlign w:val="bottom"/>
          </w:tcPr>
          <w:p w14:paraId="11994930"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 xml:space="preserve">Tepelně reflexní </w:t>
            </w:r>
            <w:proofErr w:type="spellStart"/>
            <w:r>
              <w:rPr>
                <w:rFonts w:ascii="Arial" w:eastAsia="Arial" w:hAnsi="Arial" w:cs="Arial"/>
                <w:b/>
                <w:bCs/>
                <w:sz w:val="14"/>
                <w:szCs w:val="14"/>
              </w:rPr>
              <w:t>zatmavené</w:t>
            </w:r>
            <w:proofErr w:type="spellEnd"/>
            <w:r>
              <w:rPr>
                <w:rFonts w:ascii="Arial" w:eastAsia="Arial" w:hAnsi="Arial" w:cs="Arial"/>
                <w:b/>
                <w:bCs/>
                <w:sz w:val="14"/>
                <w:szCs w:val="14"/>
              </w:rPr>
              <w:t xml:space="preserve"> sklo</w:t>
            </w:r>
          </w:p>
        </w:tc>
        <w:tc>
          <w:tcPr>
            <w:tcW w:w="1368" w:type="dxa"/>
            <w:shd w:val="clear" w:color="auto" w:fill="FFFFFF"/>
            <w:vAlign w:val="bottom"/>
          </w:tcPr>
          <w:p w14:paraId="40996292"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bottom"/>
          </w:tcPr>
          <w:p w14:paraId="5767545A" w14:textId="77777777" w:rsidR="00074317" w:rsidRDefault="00BB0A46">
            <w:pPr>
              <w:pStyle w:val="Other10"/>
              <w:framePr w:w="10589" w:h="8275" w:wrap="none" w:vAnchor="page" w:hAnchor="page" w:x="757" w:y="5217"/>
              <w:spacing w:line="240" w:lineRule="auto"/>
              <w:ind w:firstLine="560"/>
              <w:jc w:val="both"/>
              <w:rPr>
                <w:sz w:val="13"/>
                <w:szCs w:val="13"/>
              </w:rPr>
            </w:pPr>
            <w:r>
              <w:rPr>
                <w:rFonts w:ascii="Arial" w:eastAsia="Arial" w:hAnsi="Arial" w:cs="Arial"/>
                <w:sz w:val="13"/>
                <w:szCs w:val="13"/>
              </w:rPr>
              <w:t>11 142,74Kč</w:t>
            </w:r>
          </w:p>
        </w:tc>
        <w:tc>
          <w:tcPr>
            <w:tcW w:w="1810" w:type="dxa"/>
            <w:shd w:val="clear" w:color="auto" w:fill="FFFFFF"/>
            <w:vAlign w:val="bottom"/>
          </w:tcPr>
          <w:p w14:paraId="321BEE51" w14:textId="77777777" w:rsidR="00074317" w:rsidRDefault="00BB0A46">
            <w:pPr>
              <w:pStyle w:val="Other10"/>
              <w:framePr w:w="10589" w:h="8275" w:wrap="none" w:vAnchor="page" w:hAnchor="page" w:x="757" w:y="5217"/>
              <w:spacing w:line="240" w:lineRule="auto"/>
              <w:ind w:firstLine="860"/>
              <w:jc w:val="both"/>
              <w:rPr>
                <w:sz w:val="14"/>
                <w:szCs w:val="14"/>
              </w:rPr>
            </w:pPr>
            <w:r>
              <w:rPr>
                <w:rFonts w:ascii="Arial" w:eastAsia="Arial" w:hAnsi="Arial" w:cs="Arial"/>
                <w:b/>
                <w:bCs/>
                <w:sz w:val="14"/>
                <w:szCs w:val="14"/>
              </w:rPr>
              <w:t>13 482,72Kč</w:t>
            </w:r>
          </w:p>
        </w:tc>
      </w:tr>
      <w:tr w:rsidR="00074317" w14:paraId="32F49837" w14:textId="77777777">
        <w:trPr>
          <w:trHeight w:hRule="exact" w:val="226"/>
        </w:trPr>
        <w:tc>
          <w:tcPr>
            <w:tcW w:w="1411" w:type="dxa"/>
            <w:shd w:val="clear" w:color="auto" w:fill="FFFFFF"/>
          </w:tcPr>
          <w:p w14:paraId="2FDE7A94"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VAV</w:t>
            </w:r>
          </w:p>
        </w:tc>
        <w:tc>
          <w:tcPr>
            <w:tcW w:w="4531" w:type="dxa"/>
            <w:shd w:val="clear" w:color="auto" w:fill="FFFFFF"/>
          </w:tcPr>
          <w:p w14:paraId="05113DE3"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Uzamykatelná odkládací přihrádka na náhradní kolo</w:t>
            </w:r>
          </w:p>
        </w:tc>
        <w:tc>
          <w:tcPr>
            <w:tcW w:w="1368" w:type="dxa"/>
            <w:shd w:val="clear" w:color="auto" w:fill="FFFFFF"/>
          </w:tcPr>
          <w:p w14:paraId="017FD0D6"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tcPr>
          <w:p w14:paraId="1F7B4B08" w14:textId="77777777" w:rsidR="00074317" w:rsidRDefault="00BB0A46">
            <w:pPr>
              <w:pStyle w:val="Other10"/>
              <w:framePr w:w="10589" w:h="8275" w:wrap="none" w:vAnchor="page" w:hAnchor="page" w:x="757" w:y="5217"/>
              <w:spacing w:line="240" w:lineRule="auto"/>
              <w:ind w:firstLine="640"/>
              <w:jc w:val="both"/>
              <w:rPr>
                <w:sz w:val="13"/>
                <w:szCs w:val="13"/>
              </w:rPr>
            </w:pPr>
            <w:r>
              <w:rPr>
                <w:rFonts w:ascii="Arial" w:eastAsia="Arial" w:hAnsi="Arial" w:cs="Arial"/>
                <w:sz w:val="13"/>
                <w:szCs w:val="13"/>
              </w:rPr>
              <w:t>7 178,51Kč</w:t>
            </w:r>
          </w:p>
        </w:tc>
        <w:tc>
          <w:tcPr>
            <w:tcW w:w="1810" w:type="dxa"/>
            <w:shd w:val="clear" w:color="auto" w:fill="FFFFFF"/>
          </w:tcPr>
          <w:p w14:paraId="57FA289B" w14:textId="77777777" w:rsidR="00074317" w:rsidRDefault="00BB0A46">
            <w:pPr>
              <w:pStyle w:val="Other10"/>
              <w:framePr w:w="10589" w:h="8275" w:wrap="none" w:vAnchor="page" w:hAnchor="page" w:x="757" w:y="5217"/>
              <w:spacing w:line="240" w:lineRule="auto"/>
              <w:jc w:val="right"/>
              <w:rPr>
                <w:sz w:val="14"/>
                <w:szCs w:val="14"/>
              </w:rPr>
            </w:pPr>
            <w:r>
              <w:rPr>
                <w:rFonts w:ascii="Arial" w:eastAsia="Arial" w:hAnsi="Arial" w:cs="Arial"/>
                <w:b/>
                <w:bCs/>
                <w:sz w:val="14"/>
                <w:szCs w:val="14"/>
              </w:rPr>
              <w:t>8 686,00Kč</w:t>
            </w:r>
          </w:p>
        </w:tc>
      </w:tr>
      <w:tr w:rsidR="00074317" w14:paraId="36113181" w14:textId="77777777">
        <w:trPr>
          <w:trHeight w:hRule="exact" w:val="259"/>
        </w:trPr>
        <w:tc>
          <w:tcPr>
            <w:tcW w:w="1411" w:type="dxa"/>
            <w:shd w:val="clear" w:color="auto" w:fill="FFFFFF"/>
          </w:tcPr>
          <w:p w14:paraId="6C80464D" w14:textId="77777777" w:rsidR="00074317" w:rsidRDefault="00074317">
            <w:pPr>
              <w:framePr w:w="10589" w:h="8275" w:wrap="none" w:vAnchor="page" w:hAnchor="page" w:x="757" w:y="5217"/>
              <w:rPr>
                <w:sz w:val="10"/>
                <w:szCs w:val="10"/>
              </w:rPr>
            </w:pPr>
          </w:p>
        </w:tc>
        <w:tc>
          <w:tcPr>
            <w:tcW w:w="4531" w:type="dxa"/>
            <w:tcBorders>
              <w:top w:val="single" w:sz="4" w:space="0" w:color="auto"/>
            </w:tcBorders>
            <w:shd w:val="clear" w:color="auto" w:fill="FFFFFF"/>
            <w:vAlign w:val="bottom"/>
          </w:tcPr>
          <w:p w14:paraId="1015ED63"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i/>
                <w:iCs/>
                <w:sz w:val="14"/>
                <w:szCs w:val="14"/>
              </w:rPr>
              <w:t>Mezisoučet</w:t>
            </w:r>
          </w:p>
        </w:tc>
        <w:tc>
          <w:tcPr>
            <w:tcW w:w="1368" w:type="dxa"/>
            <w:tcBorders>
              <w:top w:val="single" w:sz="4" w:space="0" w:color="auto"/>
            </w:tcBorders>
            <w:shd w:val="clear" w:color="auto" w:fill="FFFFFF"/>
          </w:tcPr>
          <w:p w14:paraId="3440BAB8" w14:textId="77777777" w:rsidR="00074317" w:rsidRDefault="00074317">
            <w:pPr>
              <w:framePr w:w="10589" w:h="8275" w:wrap="none" w:vAnchor="page" w:hAnchor="page" w:x="757" w:y="5217"/>
              <w:rPr>
                <w:sz w:val="10"/>
                <w:szCs w:val="10"/>
              </w:rPr>
            </w:pPr>
          </w:p>
        </w:tc>
        <w:tc>
          <w:tcPr>
            <w:tcW w:w="1469" w:type="dxa"/>
            <w:tcBorders>
              <w:top w:val="single" w:sz="4" w:space="0" w:color="auto"/>
            </w:tcBorders>
            <w:shd w:val="clear" w:color="auto" w:fill="FFFFFF"/>
            <w:vAlign w:val="bottom"/>
          </w:tcPr>
          <w:p w14:paraId="3247F0D2" w14:textId="77777777" w:rsidR="00074317" w:rsidRDefault="00BB0A46">
            <w:pPr>
              <w:pStyle w:val="Other10"/>
              <w:framePr w:w="10589" w:h="8275" w:wrap="none" w:vAnchor="page" w:hAnchor="page" w:x="757" w:y="5217"/>
              <w:spacing w:line="240" w:lineRule="auto"/>
              <w:ind w:firstLine="360"/>
              <w:jc w:val="both"/>
              <w:rPr>
                <w:sz w:val="18"/>
                <w:szCs w:val="18"/>
              </w:rPr>
            </w:pPr>
            <w:r>
              <w:rPr>
                <w:sz w:val="18"/>
                <w:szCs w:val="18"/>
              </w:rPr>
              <w:t>44 256,54Kč</w:t>
            </w:r>
          </w:p>
        </w:tc>
        <w:tc>
          <w:tcPr>
            <w:tcW w:w="1810" w:type="dxa"/>
            <w:tcBorders>
              <w:top w:val="single" w:sz="4" w:space="0" w:color="auto"/>
            </w:tcBorders>
            <w:shd w:val="clear" w:color="auto" w:fill="FFFFFF"/>
            <w:vAlign w:val="bottom"/>
          </w:tcPr>
          <w:p w14:paraId="0CEE892D" w14:textId="77777777" w:rsidR="00074317" w:rsidRDefault="00BB0A46">
            <w:pPr>
              <w:pStyle w:val="Other10"/>
              <w:framePr w:w="10589" w:h="8275" w:wrap="none" w:vAnchor="page" w:hAnchor="page" w:x="757" w:y="5217"/>
              <w:spacing w:line="240" w:lineRule="auto"/>
              <w:jc w:val="right"/>
              <w:rPr>
                <w:sz w:val="17"/>
                <w:szCs w:val="17"/>
              </w:rPr>
            </w:pPr>
            <w:r>
              <w:rPr>
                <w:rFonts w:ascii="Arial" w:eastAsia="Arial" w:hAnsi="Arial" w:cs="Arial"/>
                <w:b/>
                <w:bCs/>
                <w:sz w:val="17"/>
                <w:szCs w:val="17"/>
              </w:rPr>
              <w:t>53 550,42Kč</w:t>
            </w:r>
          </w:p>
        </w:tc>
      </w:tr>
      <w:tr w:rsidR="00074317" w14:paraId="5B30FD3D" w14:textId="77777777">
        <w:trPr>
          <w:trHeight w:hRule="exact" w:val="259"/>
        </w:trPr>
        <w:tc>
          <w:tcPr>
            <w:tcW w:w="1411" w:type="dxa"/>
            <w:shd w:val="clear" w:color="auto" w:fill="FFFFFF"/>
          </w:tcPr>
          <w:p w14:paraId="4CA4F782" w14:textId="77777777" w:rsidR="00074317" w:rsidRDefault="00074317">
            <w:pPr>
              <w:framePr w:w="10589" w:h="8275" w:wrap="none" w:vAnchor="page" w:hAnchor="page" w:x="757" w:y="5217"/>
              <w:rPr>
                <w:sz w:val="10"/>
                <w:szCs w:val="10"/>
              </w:rPr>
            </w:pPr>
          </w:p>
        </w:tc>
        <w:tc>
          <w:tcPr>
            <w:tcW w:w="4531" w:type="dxa"/>
            <w:shd w:val="clear" w:color="auto" w:fill="FFFFFF"/>
            <w:vAlign w:val="bottom"/>
          </w:tcPr>
          <w:p w14:paraId="6FB8014D"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i/>
                <w:iCs/>
                <w:sz w:val="14"/>
                <w:szCs w:val="14"/>
              </w:rPr>
              <w:t>Model + barva + nadstandardní výbava</w:t>
            </w:r>
          </w:p>
        </w:tc>
        <w:tc>
          <w:tcPr>
            <w:tcW w:w="1368" w:type="dxa"/>
            <w:shd w:val="clear" w:color="auto" w:fill="FFFFFF"/>
          </w:tcPr>
          <w:p w14:paraId="0116E754" w14:textId="77777777" w:rsidR="00074317" w:rsidRDefault="00074317">
            <w:pPr>
              <w:framePr w:w="10589" w:h="8275" w:wrap="none" w:vAnchor="page" w:hAnchor="page" w:x="757" w:y="5217"/>
              <w:rPr>
                <w:sz w:val="10"/>
                <w:szCs w:val="10"/>
              </w:rPr>
            </w:pPr>
          </w:p>
        </w:tc>
        <w:tc>
          <w:tcPr>
            <w:tcW w:w="1469" w:type="dxa"/>
            <w:shd w:val="clear" w:color="auto" w:fill="FFFFFF"/>
            <w:vAlign w:val="bottom"/>
          </w:tcPr>
          <w:p w14:paraId="66B53AD5" w14:textId="77777777" w:rsidR="00074317" w:rsidRDefault="00BB0A46">
            <w:pPr>
              <w:pStyle w:val="Other10"/>
              <w:framePr w:w="10589" w:h="8275" w:wrap="none" w:vAnchor="page" w:hAnchor="page" w:x="757" w:y="5217"/>
              <w:spacing w:line="240" w:lineRule="auto"/>
              <w:jc w:val="both"/>
              <w:rPr>
                <w:sz w:val="18"/>
                <w:szCs w:val="18"/>
              </w:rPr>
            </w:pPr>
            <w:r>
              <w:rPr>
                <w:sz w:val="18"/>
                <w:szCs w:val="18"/>
              </w:rPr>
              <w:t>1 861 480,90Kč</w:t>
            </w:r>
          </w:p>
        </w:tc>
        <w:tc>
          <w:tcPr>
            <w:tcW w:w="1810" w:type="dxa"/>
            <w:shd w:val="clear" w:color="auto" w:fill="FFFFFF"/>
            <w:vAlign w:val="bottom"/>
          </w:tcPr>
          <w:p w14:paraId="519EFBDC" w14:textId="77777777" w:rsidR="00074317" w:rsidRDefault="00BB0A46">
            <w:pPr>
              <w:pStyle w:val="Other10"/>
              <w:framePr w:w="10589" w:h="8275" w:wrap="none" w:vAnchor="page" w:hAnchor="page" w:x="757" w:y="5217"/>
              <w:spacing w:line="240" w:lineRule="auto"/>
              <w:jc w:val="right"/>
              <w:rPr>
                <w:sz w:val="17"/>
                <w:szCs w:val="17"/>
              </w:rPr>
            </w:pPr>
            <w:r>
              <w:rPr>
                <w:rFonts w:ascii="Arial" w:eastAsia="Arial" w:hAnsi="Arial" w:cs="Arial"/>
                <w:b/>
                <w:bCs/>
                <w:sz w:val="17"/>
                <w:szCs w:val="17"/>
              </w:rPr>
              <w:t>2 252 391,90Kč</w:t>
            </w:r>
          </w:p>
        </w:tc>
      </w:tr>
      <w:tr w:rsidR="00074317" w14:paraId="416C9A0A" w14:textId="77777777">
        <w:trPr>
          <w:trHeight w:hRule="exact" w:val="422"/>
        </w:trPr>
        <w:tc>
          <w:tcPr>
            <w:tcW w:w="1411" w:type="dxa"/>
            <w:shd w:val="clear" w:color="auto" w:fill="FFFFFF"/>
            <w:vAlign w:val="bottom"/>
          </w:tcPr>
          <w:p w14:paraId="016FF098" w14:textId="77777777" w:rsidR="00074317" w:rsidRDefault="00BB0A46">
            <w:pPr>
              <w:pStyle w:val="Other10"/>
              <w:framePr w:w="10589" w:h="8275" w:wrap="none" w:vAnchor="page" w:hAnchor="page" w:x="757" w:y="5217"/>
              <w:spacing w:line="240" w:lineRule="auto"/>
              <w:ind w:firstLine="140"/>
              <w:rPr>
                <w:sz w:val="14"/>
                <w:szCs w:val="14"/>
              </w:rPr>
            </w:pPr>
            <w:r>
              <w:rPr>
                <w:rFonts w:ascii="Arial" w:eastAsia="Arial" w:hAnsi="Arial" w:cs="Arial"/>
                <w:b/>
                <w:bCs/>
                <w:i/>
                <w:iCs/>
                <w:sz w:val="14"/>
                <w:szCs w:val="14"/>
              </w:rPr>
              <w:t>Doplňky prodejce:</w:t>
            </w:r>
          </w:p>
          <w:p w14:paraId="3E6DAC1E"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WBQ</w:t>
            </w:r>
          </w:p>
        </w:tc>
        <w:tc>
          <w:tcPr>
            <w:tcW w:w="4531" w:type="dxa"/>
            <w:shd w:val="clear" w:color="auto" w:fill="FFFFFF"/>
            <w:vAlign w:val="bottom"/>
          </w:tcPr>
          <w:p w14:paraId="1070DDE2"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17" kola z lehkých slitin</w:t>
            </w:r>
          </w:p>
        </w:tc>
        <w:tc>
          <w:tcPr>
            <w:tcW w:w="1368" w:type="dxa"/>
            <w:shd w:val="clear" w:color="auto" w:fill="FFFFFF"/>
            <w:vAlign w:val="bottom"/>
          </w:tcPr>
          <w:p w14:paraId="54FCE404"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bottom"/>
          </w:tcPr>
          <w:p w14:paraId="04C46125" w14:textId="77777777" w:rsidR="00074317" w:rsidRDefault="00BB0A46">
            <w:pPr>
              <w:pStyle w:val="Other10"/>
              <w:framePr w:w="10589" w:h="8275" w:wrap="none" w:vAnchor="page" w:hAnchor="page" w:x="757" w:y="5217"/>
              <w:spacing w:line="240" w:lineRule="auto"/>
              <w:ind w:firstLine="560"/>
              <w:jc w:val="both"/>
              <w:rPr>
                <w:sz w:val="13"/>
                <w:szCs w:val="13"/>
              </w:rPr>
            </w:pPr>
            <w:r>
              <w:rPr>
                <w:rFonts w:ascii="Arial" w:eastAsia="Arial" w:hAnsi="Arial" w:cs="Arial"/>
                <w:sz w:val="13"/>
                <w:szCs w:val="13"/>
              </w:rPr>
              <w:t>16 928,69Kč</w:t>
            </w:r>
          </w:p>
        </w:tc>
        <w:tc>
          <w:tcPr>
            <w:tcW w:w="1810" w:type="dxa"/>
            <w:shd w:val="clear" w:color="auto" w:fill="FFFFFF"/>
            <w:vAlign w:val="bottom"/>
          </w:tcPr>
          <w:p w14:paraId="7CCF8D4C" w14:textId="77777777" w:rsidR="00074317" w:rsidRDefault="00BB0A46">
            <w:pPr>
              <w:pStyle w:val="Other10"/>
              <w:framePr w:w="10589" w:h="8275" w:wrap="none" w:vAnchor="page" w:hAnchor="page" w:x="757" w:y="5217"/>
              <w:spacing w:line="240" w:lineRule="auto"/>
              <w:ind w:firstLine="860"/>
              <w:jc w:val="both"/>
              <w:rPr>
                <w:sz w:val="14"/>
                <w:szCs w:val="14"/>
              </w:rPr>
            </w:pPr>
            <w:r>
              <w:rPr>
                <w:rFonts w:ascii="Arial" w:eastAsia="Arial" w:hAnsi="Arial" w:cs="Arial"/>
                <w:b/>
                <w:bCs/>
                <w:sz w:val="14"/>
                <w:szCs w:val="14"/>
              </w:rPr>
              <w:t>20 483,71Kč</w:t>
            </w:r>
          </w:p>
        </w:tc>
      </w:tr>
      <w:tr w:rsidR="00074317" w14:paraId="57BF315B" w14:textId="77777777">
        <w:trPr>
          <w:trHeight w:hRule="exact" w:val="211"/>
        </w:trPr>
        <w:tc>
          <w:tcPr>
            <w:tcW w:w="1411" w:type="dxa"/>
            <w:shd w:val="clear" w:color="auto" w:fill="FFFFFF"/>
            <w:vAlign w:val="bottom"/>
          </w:tcPr>
          <w:p w14:paraId="7E5E4E2A"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VAA</w:t>
            </w:r>
          </w:p>
        </w:tc>
        <w:tc>
          <w:tcPr>
            <w:tcW w:w="4531" w:type="dxa"/>
            <w:shd w:val="clear" w:color="auto" w:fill="FFFFFF"/>
            <w:vAlign w:val="bottom"/>
          </w:tcPr>
          <w:p w14:paraId="02E9ADFA"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Střešní nosič</w:t>
            </w:r>
          </w:p>
        </w:tc>
        <w:tc>
          <w:tcPr>
            <w:tcW w:w="1368" w:type="dxa"/>
            <w:shd w:val="clear" w:color="auto" w:fill="FFFFFF"/>
            <w:vAlign w:val="bottom"/>
          </w:tcPr>
          <w:p w14:paraId="59C40817"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bottom"/>
          </w:tcPr>
          <w:p w14:paraId="50774402" w14:textId="77777777" w:rsidR="00074317" w:rsidRDefault="00BB0A46">
            <w:pPr>
              <w:pStyle w:val="Other10"/>
              <w:framePr w:w="10589" w:h="8275" w:wrap="none" w:vAnchor="page" w:hAnchor="page" w:x="757" w:y="5217"/>
              <w:spacing w:line="240" w:lineRule="auto"/>
              <w:ind w:firstLine="560"/>
              <w:jc w:val="both"/>
              <w:rPr>
                <w:sz w:val="13"/>
                <w:szCs w:val="13"/>
              </w:rPr>
            </w:pPr>
            <w:r>
              <w:rPr>
                <w:rFonts w:ascii="Arial" w:eastAsia="Arial" w:hAnsi="Arial" w:cs="Arial"/>
                <w:sz w:val="13"/>
                <w:szCs w:val="13"/>
              </w:rPr>
              <w:t>34 425,00Kč</w:t>
            </w:r>
          </w:p>
        </w:tc>
        <w:tc>
          <w:tcPr>
            <w:tcW w:w="1810" w:type="dxa"/>
            <w:shd w:val="clear" w:color="auto" w:fill="FFFFFF"/>
            <w:vAlign w:val="bottom"/>
          </w:tcPr>
          <w:p w14:paraId="0A78CF8E" w14:textId="77777777" w:rsidR="00074317" w:rsidRDefault="00BB0A46">
            <w:pPr>
              <w:pStyle w:val="Other10"/>
              <w:framePr w:w="10589" w:h="8275" w:wrap="none" w:vAnchor="page" w:hAnchor="page" w:x="757" w:y="5217"/>
              <w:spacing w:line="240" w:lineRule="auto"/>
              <w:ind w:firstLine="860"/>
              <w:jc w:val="both"/>
              <w:rPr>
                <w:sz w:val="14"/>
                <w:szCs w:val="14"/>
              </w:rPr>
            </w:pPr>
            <w:r>
              <w:rPr>
                <w:rFonts w:ascii="Arial" w:eastAsia="Arial" w:hAnsi="Arial" w:cs="Arial"/>
                <w:b/>
                <w:bCs/>
                <w:sz w:val="14"/>
                <w:szCs w:val="14"/>
              </w:rPr>
              <w:t>41 654,25Kč</w:t>
            </w:r>
          </w:p>
        </w:tc>
      </w:tr>
      <w:tr w:rsidR="00074317" w14:paraId="6C3F06E6" w14:textId="77777777">
        <w:trPr>
          <w:trHeight w:hRule="exact" w:val="221"/>
        </w:trPr>
        <w:tc>
          <w:tcPr>
            <w:tcW w:w="1411" w:type="dxa"/>
            <w:shd w:val="clear" w:color="auto" w:fill="FFFFFF"/>
            <w:vAlign w:val="bottom"/>
          </w:tcPr>
          <w:p w14:paraId="5CD567CB"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VEJ</w:t>
            </w:r>
          </w:p>
        </w:tc>
        <w:tc>
          <w:tcPr>
            <w:tcW w:w="4531" w:type="dxa"/>
            <w:shd w:val="clear" w:color="auto" w:fill="FFFFFF"/>
            <w:vAlign w:val="bottom"/>
          </w:tcPr>
          <w:p w14:paraId="01FBBAA1"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Podlahové koberce gumové</w:t>
            </w:r>
          </w:p>
        </w:tc>
        <w:tc>
          <w:tcPr>
            <w:tcW w:w="1368" w:type="dxa"/>
            <w:shd w:val="clear" w:color="auto" w:fill="FFFFFF"/>
            <w:vAlign w:val="bottom"/>
          </w:tcPr>
          <w:p w14:paraId="31336AD6"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bottom"/>
          </w:tcPr>
          <w:p w14:paraId="1C965E00" w14:textId="77777777" w:rsidR="00074317" w:rsidRDefault="00BB0A46">
            <w:pPr>
              <w:pStyle w:val="Other10"/>
              <w:framePr w:w="10589" w:h="8275" w:wrap="none" w:vAnchor="page" w:hAnchor="page" w:x="757" w:y="5217"/>
              <w:spacing w:line="240" w:lineRule="auto"/>
              <w:ind w:firstLine="640"/>
              <w:jc w:val="both"/>
              <w:rPr>
                <w:sz w:val="13"/>
                <w:szCs w:val="13"/>
              </w:rPr>
            </w:pPr>
            <w:r>
              <w:rPr>
                <w:rFonts w:ascii="Arial" w:eastAsia="Arial" w:hAnsi="Arial" w:cs="Arial"/>
                <w:sz w:val="13"/>
                <w:szCs w:val="13"/>
              </w:rPr>
              <w:t>4 091,22Kč</w:t>
            </w:r>
          </w:p>
        </w:tc>
        <w:tc>
          <w:tcPr>
            <w:tcW w:w="1810" w:type="dxa"/>
            <w:shd w:val="clear" w:color="auto" w:fill="FFFFFF"/>
            <w:vAlign w:val="bottom"/>
          </w:tcPr>
          <w:p w14:paraId="4FA0F0B4" w14:textId="77777777" w:rsidR="00074317" w:rsidRDefault="00BB0A46">
            <w:pPr>
              <w:pStyle w:val="Other10"/>
              <w:framePr w:w="10589" w:h="8275" w:wrap="none" w:vAnchor="page" w:hAnchor="page" w:x="757" w:y="5217"/>
              <w:spacing w:line="240" w:lineRule="auto"/>
              <w:jc w:val="right"/>
              <w:rPr>
                <w:sz w:val="14"/>
                <w:szCs w:val="14"/>
              </w:rPr>
            </w:pPr>
            <w:r>
              <w:rPr>
                <w:rFonts w:ascii="Arial" w:eastAsia="Arial" w:hAnsi="Arial" w:cs="Arial"/>
                <w:b/>
                <w:bCs/>
                <w:sz w:val="14"/>
                <w:szCs w:val="14"/>
              </w:rPr>
              <w:t>4 950,38Kč</w:t>
            </w:r>
          </w:p>
        </w:tc>
      </w:tr>
      <w:tr w:rsidR="00074317" w14:paraId="37DAE7F2" w14:textId="77777777">
        <w:trPr>
          <w:trHeight w:hRule="exact" w:val="211"/>
        </w:trPr>
        <w:tc>
          <w:tcPr>
            <w:tcW w:w="1411" w:type="dxa"/>
            <w:shd w:val="clear" w:color="auto" w:fill="FFFFFF"/>
          </w:tcPr>
          <w:p w14:paraId="48F899C5"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FOX</w:t>
            </w:r>
          </w:p>
        </w:tc>
        <w:tc>
          <w:tcPr>
            <w:tcW w:w="4531" w:type="dxa"/>
            <w:shd w:val="clear" w:color="auto" w:fill="FFFFFF"/>
          </w:tcPr>
          <w:p w14:paraId="042FE9EB"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FOX tlumič řízení</w:t>
            </w:r>
          </w:p>
        </w:tc>
        <w:tc>
          <w:tcPr>
            <w:tcW w:w="1368" w:type="dxa"/>
            <w:shd w:val="clear" w:color="auto" w:fill="FFFFFF"/>
          </w:tcPr>
          <w:p w14:paraId="3D2D9D8F"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tcPr>
          <w:p w14:paraId="1A0251D7" w14:textId="77777777" w:rsidR="00074317" w:rsidRDefault="00BB0A46">
            <w:pPr>
              <w:pStyle w:val="Other10"/>
              <w:framePr w:w="10589" w:h="8275" w:wrap="none" w:vAnchor="page" w:hAnchor="page" w:x="757" w:y="5217"/>
              <w:spacing w:line="240" w:lineRule="auto"/>
              <w:ind w:firstLine="560"/>
              <w:jc w:val="both"/>
              <w:rPr>
                <w:sz w:val="13"/>
                <w:szCs w:val="13"/>
              </w:rPr>
            </w:pPr>
            <w:r>
              <w:rPr>
                <w:rFonts w:ascii="Arial" w:eastAsia="Arial" w:hAnsi="Arial" w:cs="Arial"/>
                <w:sz w:val="13"/>
                <w:szCs w:val="13"/>
              </w:rPr>
              <w:t>18 742,50Kč</w:t>
            </w:r>
          </w:p>
        </w:tc>
        <w:tc>
          <w:tcPr>
            <w:tcW w:w="1810" w:type="dxa"/>
            <w:shd w:val="clear" w:color="auto" w:fill="FFFFFF"/>
          </w:tcPr>
          <w:p w14:paraId="660A653E" w14:textId="77777777" w:rsidR="00074317" w:rsidRDefault="00BB0A46">
            <w:pPr>
              <w:pStyle w:val="Other10"/>
              <w:framePr w:w="10589" w:h="8275" w:wrap="none" w:vAnchor="page" w:hAnchor="page" w:x="757" w:y="5217"/>
              <w:spacing w:line="240" w:lineRule="auto"/>
              <w:ind w:firstLine="860"/>
              <w:jc w:val="both"/>
              <w:rPr>
                <w:sz w:val="14"/>
                <w:szCs w:val="14"/>
              </w:rPr>
            </w:pPr>
            <w:r>
              <w:rPr>
                <w:rFonts w:ascii="Arial" w:eastAsia="Arial" w:hAnsi="Arial" w:cs="Arial"/>
                <w:b/>
                <w:bCs/>
                <w:sz w:val="14"/>
                <w:szCs w:val="14"/>
              </w:rPr>
              <w:t>22 678,43Kč</w:t>
            </w:r>
          </w:p>
        </w:tc>
      </w:tr>
      <w:tr w:rsidR="00074317" w14:paraId="1EF894A3" w14:textId="77777777">
        <w:trPr>
          <w:trHeight w:hRule="exact" w:val="221"/>
        </w:trPr>
        <w:tc>
          <w:tcPr>
            <w:tcW w:w="1411" w:type="dxa"/>
            <w:shd w:val="clear" w:color="auto" w:fill="FFFFFF"/>
            <w:vAlign w:val="bottom"/>
          </w:tcPr>
          <w:p w14:paraId="64010262" w14:textId="77777777" w:rsidR="00074317" w:rsidRDefault="00BB0A46">
            <w:pPr>
              <w:pStyle w:val="Other10"/>
              <w:framePr w:w="10589" w:h="8275" w:wrap="none" w:vAnchor="page" w:hAnchor="page" w:x="757" w:y="5217"/>
              <w:spacing w:line="240" w:lineRule="auto"/>
              <w:ind w:firstLine="140"/>
              <w:rPr>
                <w:sz w:val="13"/>
                <w:szCs w:val="13"/>
              </w:rPr>
            </w:pPr>
            <w:proofErr w:type="gramStart"/>
            <w:r>
              <w:rPr>
                <w:rFonts w:ascii="Arial" w:eastAsia="Arial" w:hAnsi="Arial" w:cs="Arial"/>
                <w:sz w:val="13"/>
                <w:szCs w:val="13"/>
              </w:rPr>
              <w:t>16-lOOlOK</w:t>
            </w:r>
            <w:proofErr w:type="gramEnd"/>
            <w:r>
              <w:rPr>
                <w:rFonts w:ascii="Arial" w:eastAsia="Arial" w:hAnsi="Arial" w:cs="Arial"/>
                <w:sz w:val="13"/>
                <w:szCs w:val="13"/>
              </w:rPr>
              <w:t>-ZEONl</w:t>
            </w:r>
          </w:p>
        </w:tc>
        <w:tc>
          <w:tcPr>
            <w:tcW w:w="4531" w:type="dxa"/>
            <w:shd w:val="clear" w:color="auto" w:fill="FFFFFF"/>
            <w:vAlign w:val="bottom"/>
          </w:tcPr>
          <w:p w14:paraId="15C550C8"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 xml:space="preserve">Montážní sada navijáku WARN ZEON 10-S </w:t>
            </w:r>
            <w:proofErr w:type="spellStart"/>
            <w:r>
              <w:rPr>
                <w:rFonts w:ascii="Arial" w:eastAsia="Arial" w:hAnsi="Arial" w:cs="Arial"/>
                <w:b/>
                <w:bCs/>
                <w:sz w:val="14"/>
                <w:szCs w:val="14"/>
              </w:rPr>
              <w:t>Grenadier</w:t>
            </w:r>
            <w:proofErr w:type="spellEnd"/>
            <w:r>
              <w:rPr>
                <w:rFonts w:ascii="Arial" w:eastAsia="Arial" w:hAnsi="Arial" w:cs="Arial"/>
                <w:b/>
                <w:bCs/>
                <w:sz w:val="14"/>
                <w:szCs w:val="14"/>
              </w:rPr>
              <w:t>/</w:t>
            </w:r>
            <w:proofErr w:type="spellStart"/>
            <w:r>
              <w:rPr>
                <w:rFonts w:ascii="Arial" w:eastAsia="Arial" w:hAnsi="Arial" w:cs="Arial"/>
                <w:b/>
                <w:bCs/>
                <w:sz w:val="14"/>
                <w:szCs w:val="14"/>
              </w:rPr>
              <w:t>Qu</w:t>
            </w:r>
            <w:proofErr w:type="spellEnd"/>
          </w:p>
        </w:tc>
        <w:tc>
          <w:tcPr>
            <w:tcW w:w="1368" w:type="dxa"/>
            <w:shd w:val="clear" w:color="auto" w:fill="FFFFFF"/>
            <w:vAlign w:val="bottom"/>
          </w:tcPr>
          <w:p w14:paraId="4DB8C0B4"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bottom"/>
          </w:tcPr>
          <w:p w14:paraId="43C58E22" w14:textId="77777777" w:rsidR="00074317" w:rsidRDefault="00BB0A46">
            <w:pPr>
              <w:pStyle w:val="Other10"/>
              <w:framePr w:w="10589" w:h="8275" w:wrap="none" w:vAnchor="page" w:hAnchor="page" w:x="757" w:y="5217"/>
              <w:spacing w:line="240" w:lineRule="auto"/>
              <w:ind w:firstLine="560"/>
              <w:jc w:val="both"/>
              <w:rPr>
                <w:sz w:val="13"/>
                <w:szCs w:val="13"/>
              </w:rPr>
            </w:pPr>
            <w:r>
              <w:rPr>
                <w:rFonts w:ascii="Arial" w:eastAsia="Arial" w:hAnsi="Arial" w:cs="Arial"/>
                <w:sz w:val="13"/>
                <w:szCs w:val="13"/>
              </w:rPr>
              <w:t>78 132,00Kč</w:t>
            </w:r>
          </w:p>
        </w:tc>
        <w:tc>
          <w:tcPr>
            <w:tcW w:w="1810" w:type="dxa"/>
            <w:shd w:val="clear" w:color="auto" w:fill="FFFFFF"/>
            <w:vAlign w:val="bottom"/>
          </w:tcPr>
          <w:p w14:paraId="0CEA98E7" w14:textId="77777777" w:rsidR="00074317" w:rsidRDefault="00BB0A46">
            <w:pPr>
              <w:pStyle w:val="Other10"/>
              <w:framePr w:w="10589" w:h="8275" w:wrap="none" w:vAnchor="page" w:hAnchor="page" w:x="757" w:y="5217"/>
              <w:spacing w:line="240" w:lineRule="auto"/>
              <w:ind w:firstLine="860"/>
              <w:jc w:val="both"/>
              <w:rPr>
                <w:sz w:val="14"/>
                <w:szCs w:val="14"/>
              </w:rPr>
            </w:pPr>
            <w:r>
              <w:rPr>
                <w:rFonts w:ascii="Arial" w:eastAsia="Arial" w:hAnsi="Arial" w:cs="Arial"/>
                <w:b/>
                <w:bCs/>
                <w:sz w:val="14"/>
                <w:szCs w:val="14"/>
              </w:rPr>
              <w:t>94 539,72Kč</w:t>
            </w:r>
          </w:p>
        </w:tc>
      </w:tr>
      <w:tr w:rsidR="00074317" w14:paraId="1D5C1A48" w14:textId="77777777">
        <w:trPr>
          <w:trHeight w:hRule="exact" w:val="216"/>
        </w:trPr>
        <w:tc>
          <w:tcPr>
            <w:tcW w:w="1411" w:type="dxa"/>
            <w:shd w:val="clear" w:color="auto" w:fill="FFFFFF"/>
          </w:tcPr>
          <w:p w14:paraId="416AE5F7"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VCY</w:t>
            </w:r>
          </w:p>
        </w:tc>
        <w:tc>
          <w:tcPr>
            <w:tcW w:w="4531" w:type="dxa"/>
            <w:shd w:val="clear" w:color="auto" w:fill="FFFFFF"/>
          </w:tcPr>
          <w:p w14:paraId="3D0509C6"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 xml:space="preserve">Zátěžové potahy </w:t>
            </w:r>
            <w:proofErr w:type="gramStart"/>
            <w:r>
              <w:rPr>
                <w:rFonts w:ascii="Arial" w:eastAsia="Arial" w:hAnsi="Arial" w:cs="Arial"/>
                <w:b/>
                <w:bCs/>
                <w:sz w:val="14"/>
                <w:szCs w:val="14"/>
              </w:rPr>
              <w:t>sedadel - vpředu</w:t>
            </w:r>
            <w:proofErr w:type="gramEnd"/>
          </w:p>
        </w:tc>
        <w:tc>
          <w:tcPr>
            <w:tcW w:w="1368" w:type="dxa"/>
            <w:shd w:val="clear" w:color="auto" w:fill="FFFFFF"/>
          </w:tcPr>
          <w:p w14:paraId="0554D0FE"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tcPr>
          <w:p w14:paraId="21E24E82" w14:textId="77777777" w:rsidR="00074317" w:rsidRDefault="00BB0A46">
            <w:pPr>
              <w:pStyle w:val="Other10"/>
              <w:framePr w:w="10589" w:h="8275" w:wrap="none" w:vAnchor="page" w:hAnchor="page" w:x="757" w:y="5217"/>
              <w:spacing w:line="240" w:lineRule="auto"/>
              <w:ind w:firstLine="640"/>
              <w:jc w:val="both"/>
              <w:rPr>
                <w:sz w:val="13"/>
                <w:szCs w:val="13"/>
              </w:rPr>
            </w:pPr>
            <w:r>
              <w:rPr>
                <w:rFonts w:ascii="Arial" w:eastAsia="Arial" w:hAnsi="Arial" w:cs="Arial"/>
                <w:sz w:val="13"/>
                <w:szCs w:val="13"/>
              </w:rPr>
              <w:t>7 457,48Kč</w:t>
            </w:r>
          </w:p>
        </w:tc>
        <w:tc>
          <w:tcPr>
            <w:tcW w:w="1810" w:type="dxa"/>
            <w:shd w:val="clear" w:color="auto" w:fill="FFFFFF"/>
          </w:tcPr>
          <w:p w14:paraId="01EA877B" w14:textId="77777777" w:rsidR="00074317" w:rsidRDefault="00BB0A46">
            <w:pPr>
              <w:pStyle w:val="Other10"/>
              <w:framePr w:w="10589" w:h="8275" w:wrap="none" w:vAnchor="page" w:hAnchor="page" w:x="757" w:y="5217"/>
              <w:spacing w:line="240" w:lineRule="auto"/>
              <w:jc w:val="right"/>
              <w:rPr>
                <w:sz w:val="14"/>
                <w:szCs w:val="14"/>
              </w:rPr>
            </w:pPr>
            <w:r>
              <w:rPr>
                <w:rFonts w:ascii="Arial" w:eastAsia="Arial" w:hAnsi="Arial" w:cs="Arial"/>
                <w:b/>
                <w:bCs/>
                <w:sz w:val="14"/>
                <w:szCs w:val="14"/>
              </w:rPr>
              <w:t>9 023,55Kč</w:t>
            </w:r>
          </w:p>
        </w:tc>
      </w:tr>
      <w:tr w:rsidR="00074317" w14:paraId="5B46E0AE" w14:textId="77777777">
        <w:trPr>
          <w:trHeight w:hRule="exact" w:val="211"/>
        </w:trPr>
        <w:tc>
          <w:tcPr>
            <w:tcW w:w="1411" w:type="dxa"/>
            <w:shd w:val="clear" w:color="auto" w:fill="FFFFFF"/>
            <w:vAlign w:val="bottom"/>
          </w:tcPr>
          <w:p w14:paraId="7168F028"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VGW</w:t>
            </w:r>
          </w:p>
        </w:tc>
        <w:tc>
          <w:tcPr>
            <w:tcW w:w="4531" w:type="dxa"/>
            <w:shd w:val="clear" w:color="auto" w:fill="FFFFFF"/>
            <w:vAlign w:val="bottom"/>
          </w:tcPr>
          <w:p w14:paraId="61D2219F"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 xml:space="preserve">Zátěžové potahy </w:t>
            </w:r>
            <w:proofErr w:type="gramStart"/>
            <w:r>
              <w:rPr>
                <w:rFonts w:ascii="Arial" w:eastAsia="Arial" w:hAnsi="Arial" w:cs="Arial"/>
                <w:b/>
                <w:bCs/>
                <w:sz w:val="14"/>
                <w:szCs w:val="14"/>
              </w:rPr>
              <w:t>sedadel - vzadu</w:t>
            </w:r>
            <w:proofErr w:type="gramEnd"/>
          </w:p>
        </w:tc>
        <w:tc>
          <w:tcPr>
            <w:tcW w:w="1368" w:type="dxa"/>
            <w:shd w:val="clear" w:color="auto" w:fill="FFFFFF"/>
            <w:vAlign w:val="bottom"/>
          </w:tcPr>
          <w:p w14:paraId="5560AA9A"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bottom"/>
          </w:tcPr>
          <w:p w14:paraId="787DA79D" w14:textId="77777777" w:rsidR="00074317" w:rsidRDefault="00BB0A46">
            <w:pPr>
              <w:pStyle w:val="Other10"/>
              <w:framePr w:w="10589" w:h="8275" w:wrap="none" w:vAnchor="page" w:hAnchor="page" w:x="757" w:y="5217"/>
              <w:spacing w:line="240" w:lineRule="auto"/>
              <w:ind w:firstLine="640"/>
              <w:jc w:val="both"/>
              <w:rPr>
                <w:sz w:val="13"/>
                <w:szCs w:val="13"/>
              </w:rPr>
            </w:pPr>
            <w:r>
              <w:rPr>
                <w:rFonts w:ascii="Arial" w:eastAsia="Arial" w:hAnsi="Arial" w:cs="Arial"/>
                <w:sz w:val="13"/>
                <w:szCs w:val="13"/>
              </w:rPr>
              <w:t>7 457,48Kč</w:t>
            </w:r>
          </w:p>
        </w:tc>
        <w:tc>
          <w:tcPr>
            <w:tcW w:w="1810" w:type="dxa"/>
            <w:shd w:val="clear" w:color="auto" w:fill="FFFFFF"/>
            <w:vAlign w:val="bottom"/>
          </w:tcPr>
          <w:p w14:paraId="079431CB" w14:textId="77777777" w:rsidR="00074317" w:rsidRDefault="00BB0A46">
            <w:pPr>
              <w:pStyle w:val="Other10"/>
              <w:framePr w:w="10589" w:h="8275" w:wrap="none" w:vAnchor="page" w:hAnchor="page" w:x="757" w:y="5217"/>
              <w:spacing w:line="240" w:lineRule="auto"/>
              <w:jc w:val="right"/>
              <w:rPr>
                <w:sz w:val="14"/>
                <w:szCs w:val="14"/>
              </w:rPr>
            </w:pPr>
            <w:r>
              <w:rPr>
                <w:rFonts w:ascii="Arial" w:eastAsia="Arial" w:hAnsi="Arial" w:cs="Arial"/>
                <w:b/>
                <w:bCs/>
                <w:sz w:val="14"/>
                <w:szCs w:val="14"/>
              </w:rPr>
              <w:t>9 023,55Kč</w:t>
            </w:r>
          </w:p>
        </w:tc>
      </w:tr>
      <w:tr w:rsidR="00074317" w14:paraId="50CFD206" w14:textId="77777777">
        <w:trPr>
          <w:trHeight w:hRule="exact" w:val="221"/>
        </w:trPr>
        <w:tc>
          <w:tcPr>
            <w:tcW w:w="1411" w:type="dxa"/>
            <w:shd w:val="clear" w:color="auto" w:fill="FFFFFF"/>
          </w:tcPr>
          <w:p w14:paraId="49266C4B"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GRA-OA31-044680</w:t>
            </w:r>
          </w:p>
        </w:tc>
        <w:tc>
          <w:tcPr>
            <w:tcW w:w="4531" w:type="dxa"/>
            <w:shd w:val="clear" w:color="auto" w:fill="FFFFFF"/>
          </w:tcPr>
          <w:p w14:paraId="62156777"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 xml:space="preserve">Šuplíkový systém do zavazadlového </w:t>
            </w:r>
            <w:proofErr w:type="gramStart"/>
            <w:r>
              <w:rPr>
                <w:rFonts w:ascii="Arial" w:eastAsia="Arial" w:hAnsi="Arial" w:cs="Arial"/>
                <w:b/>
                <w:bCs/>
                <w:sz w:val="14"/>
                <w:szCs w:val="14"/>
              </w:rPr>
              <w:t>prostoru - INEOS</w:t>
            </w:r>
            <w:proofErr w:type="gramEnd"/>
          </w:p>
        </w:tc>
        <w:tc>
          <w:tcPr>
            <w:tcW w:w="1368" w:type="dxa"/>
            <w:shd w:val="clear" w:color="auto" w:fill="FFFFFF"/>
          </w:tcPr>
          <w:p w14:paraId="6A2F217C"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tcPr>
          <w:p w14:paraId="2D248969" w14:textId="77777777" w:rsidR="00074317" w:rsidRDefault="00BB0A46">
            <w:pPr>
              <w:pStyle w:val="Other10"/>
              <w:framePr w:w="10589" w:h="8275" w:wrap="none" w:vAnchor="page" w:hAnchor="page" w:x="757" w:y="5217"/>
              <w:spacing w:line="240" w:lineRule="auto"/>
              <w:ind w:firstLine="560"/>
              <w:jc w:val="both"/>
              <w:rPr>
                <w:sz w:val="13"/>
                <w:szCs w:val="13"/>
              </w:rPr>
            </w:pPr>
            <w:r>
              <w:rPr>
                <w:rFonts w:ascii="Arial" w:eastAsia="Arial" w:hAnsi="Arial" w:cs="Arial"/>
                <w:sz w:val="13"/>
                <w:szCs w:val="13"/>
              </w:rPr>
              <w:t>44 115,00Kč</w:t>
            </w:r>
          </w:p>
        </w:tc>
        <w:tc>
          <w:tcPr>
            <w:tcW w:w="1810" w:type="dxa"/>
            <w:shd w:val="clear" w:color="auto" w:fill="FFFFFF"/>
          </w:tcPr>
          <w:p w14:paraId="6DB8422E" w14:textId="77777777" w:rsidR="00074317" w:rsidRDefault="00BB0A46">
            <w:pPr>
              <w:pStyle w:val="Other10"/>
              <w:framePr w:w="10589" w:h="8275" w:wrap="none" w:vAnchor="page" w:hAnchor="page" w:x="757" w:y="5217"/>
              <w:spacing w:line="240" w:lineRule="auto"/>
              <w:ind w:firstLine="860"/>
              <w:jc w:val="both"/>
              <w:rPr>
                <w:sz w:val="14"/>
                <w:szCs w:val="14"/>
              </w:rPr>
            </w:pPr>
            <w:r>
              <w:rPr>
                <w:rFonts w:ascii="Arial" w:eastAsia="Arial" w:hAnsi="Arial" w:cs="Arial"/>
                <w:b/>
                <w:bCs/>
                <w:sz w:val="14"/>
                <w:szCs w:val="14"/>
              </w:rPr>
              <w:t>53 379,15Kč</w:t>
            </w:r>
          </w:p>
        </w:tc>
      </w:tr>
      <w:tr w:rsidR="00074317" w14:paraId="53451570" w14:textId="77777777">
        <w:trPr>
          <w:trHeight w:hRule="exact" w:val="216"/>
        </w:trPr>
        <w:tc>
          <w:tcPr>
            <w:tcW w:w="1411" w:type="dxa"/>
            <w:shd w:val="clear" w:color="auto" w:fill="FFFFFF"/>
            <w:vAlign w:val="bottom"/>
          </w:tcPr>
          <w:p w14:paraId="4FB91EFF"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KOM</w:t>
            </w:r>
          </w:p>
        </w:tc>
        <w:tc>
          <w:tcPr>
            <w:tcW w:w="4531" w:type="dxa"/>
            <w:shd w:val="clear" w:color="auto" w:fill="FFFFFF"/>
            <w:vAlign w:val="bottom"/>
          </w:tcPr>
          <w:p w14:paraId="0BE70F48"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 xml:space="preserve">Kompresor CKMA12 </w:t>
            </w:r>
            <w:proofErr w:type="gramStart"/>
            <w:r>
              <w:rPr>
                <w:rFonts w:ascii="Arial" w:eastAsia="Arial" w:hAnsi="Arial" w:cs="Arial"/>
                <w:b/>
                <w:bCs/>
                <w:sz w:val="14"/>
                <w:szCs w:val="14"/>
              </w:rPr>
              <w:t>12V</w:t>
            </w:r>
            <w:proofErr w:type="gramEnd"/>
            <w:r>
              <w:rPr>
                <w:rFonts w:ascii="Arial" w:eastAsia="Arial" w:hAnsi="Arial" w:cs="Arial"/>
                <w:b/>
                <w:bCs/>
                <w:sz w:val="14"/>
                <w:szCs w:val="14"/>
              </w:rPr>
              <w:t>. hadice, příslušenství</w:t>
            </w:r>
          </w:p>
        </w:tc>
        <w:tc>
          <w:tcPr>
            <w:tcW w:w="1368" w:type="dxa"/>
            <w:shd w:val="clear" w:color="auto" w:fill="FFFFFF"/>
            <w:vAlign w:val="bottom"/>
          </w:tcPr>
          <w:p w14:paraId="3A41ED30"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bottom"/>
          </w:tcPr>
          <w:p w14:paraId="0E350E7A" w14:textId="77777777" w:rsidR="00074317" w:rsidRDefault="00BB0A46">
            <w:pPr>
              <w:pStyle w:val="Other10"/>
              <w:framePr w:w="10589" w:h="8275" w:wrap="none" w:vAnchor="page" w:hAnchor="page" w:x="757" w:y="5217"/>
              <w:spacing w:line="240" w:lineRule="auto"/>
              <w:ind w:firstLine="560"/>
              <w:jc w:val="both"/>
              <w:rPr>
                <w:sz w:val="13"/>
                <w:szCs w:val="13"/>
              </w:rPr>
            </w:pPr>
            <w:r>
              <w:rPr>
                <w:rFonts w:ascii="Arial" w:eastAsia="Arial" w:hAnsi="Arial" w:cs="Arial"/>
                <w:sz w:val="13"/>
                <w:szCs w:val="13"/>
              </w:rPr>
              <w:t>12 265,50Kč</w:t>
            </w:r>
          </w:p>
        </w:tc>
        <w:tc>
          <w:tcPr>
            <w:tcW w:w="1810" w:type="dxa"/>
            <w:shd w:val="clear" w:color="auto" w:fill="FFFFFF"/>
            <w:vAlign w:val="bottom"/>
          </w:tcPr>
          <w:p w14:paraId="24790F1A" w14:textId="77777777" w:rsidR="00074317" w:rsidRDefault="00BB0A46">
            <w:pPr>
              <w:pStyle w:val="Other10"/>
              <w:framePr w:w="10589" w:h="8275" w:wrap="none" w:vAnchor="page" w:hAnchor="page" w:x="757" w:y="5217"/>
              <w:spacing w:line="240" w:lineRule="auto"/>
              <w:ind w:firstLine="860"/>
              <w:jc w:val="both"/>
              <w:rPr>
                <w:sz w:val="14"/>
                <w:szCs w:val="14"/>
              </w:rPr>
            </w:pPr>
            <w:r>
              <w:rPr>
                <w:rFonts w:ascii="Arial" w:eastAsia="Arial" w:hAnsi="Arial" w:cs="Arial"/>
                <w:b/>
                <w:bCs/>
                <w:sz w:val="14"/>
                <w:szCs w:val="14"/>
              </w:rPr>
              <w:t>14 841,26Kč</w:t>
            </w:r>
          </w:p>
        </w:tc>
      </w:tr>
      <w:tr w:rsidR="00074317" w14:paraId="382E05A7" w14:textId="77777777">
        <w:trPr>
          <w:trHeight w:hRule="exact" w:val="216"/>
        </w:trPr>
        <w:tc>
          <w:tcPr>
            <w:tcW w:w="1411" w:type="dxa"/>
            <w:shd w:val="clear" w:color="auto" w:fill="FFFFFF"/>
            <w:vAlign w:val="bottom"/>
          </w:tcPr>
          <w:p w14:paraId="1C543DFC" w14:textId="77777777" w:rsidR="00074317" w:rsidRDefault="00BB0A46">
            <w:pPr>
              <w:pStyle w:val="Other10"/>
              <w:framePr w:w="10589" w:h="8275" w:wrap="none" w:vAnchor="page" w:hAnchor="page" w:x="757" w:y="5217"/>
              <w:spacing w:line="240" w:lineRule="auto"/>
              <w:ind w:firstLine="140"/>
              <w:rPr>
                <w:sz w:val="13"/>
                <w:szCs w:val="13"/>
              </w:rPr>
            </w:pPr>
            <w:r>
              <w:rPr>
                <w:rFonts w:ascii="Arial" w:eastAsia="Arial" w:hAnsi="Arial" w:cs="Arial"/>
                <w:sz w:val="13"/>
                <w:szCs w:val="13"/>
              </w:rPr>
              <w:t>VFO</w:t>
            </w:r>
          </w:p>
        </w:tc>
        <w:tc>
          <w:tcPr>
            <w:tcW w:w="4531" w:type="dxa"/>
            <w:shd w:val="clear" w:color="auto" w:fill="FFFFFF"/>
            <w:vAlign w:val="bottom"/>
          </w:tcPr>
          <w:p w14:paraId="66DAAD48"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 xml:space="preserve">Oddělovací přepážka </w:t>
            </w:r>
            <w:proofErr w:type="gramStart"/>
            <w:r>
              <w:rPr>
                <w:rFonts w:ascii="Arial" w:eastAsia="Arial" w:hAnsi="Arial" w:cs="Arial"/>
                <w:b/>
                <w:bCs/>
                <w:sz w:val="14"/>
                <w:szCs w:val="14"/>
              </w:rPr>
              <w:t>nákladu - Poloviční</w:t>
            </w:r>
            <w:proofErr w:type="gramEnd"/>
            <w:r>
              <w:rPr>
                <w:rFonts w:ascii="Arial" w:eastAsia="Arial" w:hAnsi="Arial" w:cs="Arial"/>
                <w:b/>
                <w:bCs/>
                <w:sz w:val="14"/>
                <w:szCs w:val="14"/>
              </w:rPr>
              <w:t xml:space="preserve"> výška</w:t>
            </w:r>
          </w:p>
        </w:tc>
        <w:tc>
          <w:tcPr>
            <w:tcW w:w="1368" w:type="dxa"/>
            <w:shd w:val="clear" w:color="auto" w:fill="FFFFFF"/>
            <w:vAlign w:val="bottom"/>
          </w:tcPr>
          <w:p w14:paraId="6E36A0F5"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bottom"/>
          </w:tcPr>
          <w:p w14:paraId="40C9D63C" w14:textId="77777777" w:rsidR="00074317" w:rsidRDefault="00BB0A46">
            <w:pPr>
              <w:pStyle w:val="Other10"/>
              <w:framePr w:w="10589" w:h="8275" w:wrap="none" w:vAnchor="page" w:hAnchor="page" w:x="757" w:y="5217"/>
              <w:spacing w:line="240" w:lineRule="auto"/>
              <w:ind w:firstLine="640"/>
              <w:jc w:val="both"/>
              <w:rPr>
                <w:sz w:val="13"/>
                <w:szCs w:val="13"/>
              </w:rPr>
            </w:pPr>
            <w:r>
              <w:rPr>
                <w:rFonts w:ascii="Arial" w:eastAsia="Arial" w:hAnsi="Arial" w:cs="Arial"/>
                <w:sz w:val="13"/>
                <w:szCs w:val="13"/>
              </w:rPr>
              <w:t>8 042,45Kč</w:t>
            </w:r>
          </w:p>
        </w:tc>
        <w:tc>
          <w:tcPr>
            <w:tcW w:w="1810" w:type="dxa"/>
            <w:shd w:val="clear" w:color="auto" w:fill="FFFFFF"/>
            <w:vAlign w:val="bottom"/>
          </w:tcPr>
          <w:p w14:paraId="1A2C7FC2" w14:textId="77777777" w:rsidR="00074317" w:rsidRDefault="00BB0A46">
            <w:pPr>
              <w:pStyle w:val="Other10"/>
              <w:framePr w:w="10589" w:h="8275" w:wrap="none" w:vAnchor="page" w:hAnchor="page" w:x="757" w:y="5217"/>
              <w:spacing w:line="240" w:lineRule="auto"/>
              <w:jc w:val="right"/>
              <w:rPr>
                <w:sz w:val="14"/>
                <w:szCs w:val="14"/>
              </w:rPr>
            </w:pPr>
            <w:r>
              <w:rPr>
                <w:rFonts w:ascii="Arial" w:eastAsia="Arial" w:hAnsi="Arial" w:cs="Arial"/>
                <w:b/>
                <w:bCs/>
                <w:sz w:val="14"/>
                <w:szCs w:val="14"/>
              </w:rPr>
              <w:t>9 731,36Kč</w:t>
            </w:r>
          </w:p>
        </w:tc>
      </w:tr>
      <w:tr w:rsidR="00074317" w14:paraId="1064833C" w14:textId="77777777">
        <w:trPr>
          <w:trHeight w:hRule="exact" w:val="278"/>
        </w:trPr>
        <w:tc>
          <w:tcPr>
            <w:tcW w:w="1411" w:type="dxa"/>
            <w:shd w:val="clear" w:color="auto" w:fill="FFFFFF"/>
          </w:tcPr>
          <w:p w14:paraId="589B98C8" w14:textId="77777777" w:rsidR="00074317" w:rsidRDefault="00074317">
            <w:pPr>
              <w:framePr w:w="10589" w:h="8275" w:wrap="none" w:vAnchor="page" w:hAnchor="page" w:x="757" w:y="5217"/>
              <w:rPr>
                <w:sz w:val="10"/>
                <w:szCs w:val="10"/>
              </w:rPr>
            </w:pPr>
          </w:p>
        </w:tc>
        <w:tc>
          <w:tcPr>
            <w:tcW w:w="4531" w:type="dxa"/>
            <w:tcBorders>
              <w:top w:val="single" w:sz="4" w:space="0" w:color="auto"/>
            </w:tcBorders>
            <w:shd w:val="clear" w:color="auto" w:fill="FFFFFF"/>
            <w:vAlign w:val="bottom"/>
          </w:tcPr>
          <w:p w14:paraId="64410493"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i/>
                <w:iCs/>
                <w:sz w:val="14"/>
                <w:szCs w:val="14"/>
              </w:rPr>
              <w:t>Mezisoučet</w:t>
            </w:r>
          </w:p>
        </w:tc>
        <w:tc>
          <w:tcPr>
            <w:tcW w:w="1368" w:type="dxa"/>
            <w:tcBorders>
              <w:top w:val="single" w:sz="4" w:space="0" w:color="auto"/>
            </w:tcBorders>
            <w:shd w:val="clear" w:color="auto" w:fill="FFFFFF"/>
          </w:tcPr>
          <w:p w14:paraId="2D596607" w14:textId="77777777" w:rsidR="00074317" w:rsidRDefault="00074317">
            <w:pPr>
              <w:framePr w:w="10589" w:h="8275" w:wrap="none" w:vAnchor="page" w:hAnchor="page" w:x="757" w:y="5217"/>
              <w:rPr>
                <w:sz w:val="10"/>
                <w:szCs w:val="10"/>
              </w:rPr>
            </w:pPr>
          </w:p>
        </w:tc>
        <w:tc>
          <w:tcPr>
            <w:tcW w:w="1469" w:type="dxa"/>
            <w:tcBorders>
              <w:top w:val="single" w:sz="4" w:space="0" w:color="auto"/>
            </w:tcBorders>
            <w:shd w:val="clear" w:color="auto" w:fill="FFFFFF"/>
            <w:vAlign w:val="bottom"/>
          </w:tcPr>
          <w:p w14:paraId="59ABE03A" w14:textId="77777777" w:rsidR="00074317" w:rsidRDefault="00BB0A46">
            <w:pPr>
              <w:pStyle w:val="Other10"/>
              <w:framePr w:w="10589" w:h="8275" w:wrap="none" w:vAnchor="page" w:hAnchor="page" w:x="757" w:y="5217"/>
              <w:spacing w:line="240" w:lineRule="auto"/>
              <w:ind w:firstLine="280"/>
              <w:jc w:val="both"/>
              <w:rPr>
                <w:sz w:val="18"/>
                <w:szCs w:val="18"/>
              </w:rPr>
            </w:pPr>
            <w:r>
              <w:rPr>
                <w:sz w:val="18"/>
                <w:szCs w:val="18"/>
              </w:rPr>
              <w:t>231 657,32Kč</w:t>
            </w:r>
          </w:p>
        </w:tc>
        <w:tc>
          <w:tcPr>
            <w:tcW w:w="1810" w:type="dxa"/>
            <w:tcBorders>
              <w:top w:val="single" w:sz="4" w:space="0" w:color="auto"/>
            </w:tcBorders>
            <w:shd w:val="clear" w:color="auto" w:fill="FFFFFF"/>
            <w:vAlign w:val="bottom"/>
          </w:tcPr>
          <w:p w14:paraId="31C5E810" w14:textId="77777777" w:rsidR="00074317" w:rsidRDefault="00BB0A46">
            <w:pPr>
              <w:pStyle w:val="Other10"/>
              <w:framePr w:w="10589" w:h="8275" w:wrap="none" w:vAnchor="page" w:hAnchor="page" w:x="757" w:y="5217"/>
              <w:spacing w:line="240" w:lineRule="auto"/>
              <w:jc w:val="right"/>
              <w:rPr>
                <w:sz w:val="17"/>
                <w:szCs w:val="17"/>
              </w:rPr>
            </w:pPr>
            <w:r>
              <w:rPr>
                <w:rFonts w:ascii="Arial" w:eastAsia="Arial" w:hAnsi="Arial" w:cs="Arial"/>
                <w:b/>
                <w:bCs/>
                <w:sz w:val="17"/>
                <w:szCs w:val="17"/>
              </w:rPr>
              <w:t>280 305,36Kč</w:t>
            </w:r>
          </w:p>
        </w:tc>
      </w:tr>
      <w:tr w:rsidR="00074317" w14:paraId="18B5B8BD" w14:textId="77777777">
        <w:trPr>
          <w:trHeight w:hRule="exact" w:val="456"/>
        </w:trPr>
        <w:tc>
          <w:tcPr>
            <w:tcW w:w="1411" w:type="dxa"/>
            <w:shd w:val="clear" w:color="auto" w:fill="FFFFFF"/>
          </w:tcPr>
          <w:p w14:paraId="7B0B4AF7" w14:textId="77777777" w:rsidR="00074317" w:rsidRDefault="00BB0A46">
            <w:pPr>
              <w:pStyle w:val="Other10"/>
              <w:framePr w:w="10589" w:h="8275" w:wrap="none" w:vAnchor="page" w:hAnchor="page" w:x="757" w:y="5217"/>
              <w:spacing w:line="240" w:lineRule="auto"/>
              <w:ind w:firstLine="140"/>
              <w:rPr>
                <w:sz w:val="14"/>
                <w:szCs w:val="14"/>
              </w:rPr>
            </w:pPr>
            <w:r>
              <w:rPr>
                <w:rFonts w:ascii="Arial" w:eastAsia="Arial" w:hAnsi="Arial" w:cs="Arial"/>
                <w:b/>
                <w:bCs/>
                <w:i/>
                <w:iCs/>
                <w:sz w:val="14"/>
                <w:szCs w:val="14"/>
              </w:rPr>
              <w:t>Externí výbavy:</w:t>
            </w:r>
          </w:p>
        </w:tc>
        <w:tc>
          <w:tcPr>
            <w:tcW w:w="4531" w:type="dxa"/>
            <w:shd w:val="clear" w:color="auto" w:fill="FFFFFF"/>
            <w:vAlign w:val="bottom"/>
          </w:tcPr>
          <w:p w14:paraId="7B47F271"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Montáž příslušenství</w:t>
            </w:r>
          </w:p>
        </w:tc>
        <w:tc>
          <w:tcPr>
            <w:tcW w:w="1368" w:type="dxa"/>
            <w:shd w:val="clear" w:color="auto" w:fill="FFFFFF"/>
            <w:vAlign w:val="bottom"/>
          </w:tcPr>
          <w:p w14:paraId="122CDE0D"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bottom"/>
          </w:tcPr>
          <w:p w14:paraId="5E4F5C15" w14:textId="77777777" w:rsidR="00074317" w:rsidRDefault="00BB0A46">
            <w:pPr>
              <w:pStyle w:val="Other10"/>
              <w:framePr w:w="10589" w:h="8275" w:wrap="none" w:vAnchor="page" w:hAnchor="page" w:x="757" w:y="5217"/>
              <w:spacing w:line="240" w:lineRule="auto"/>
              <w:ind w:firstLine="560"/>
              <w:jc w:val="both"/>
              <w:rPr>
                <w:sz w:val="13"/>
                <w:szCs w:val="13"/>
              </w:rPr>
            </w:pPr>
            <w:r>
              <w:rPr>
                <w:rFonts w:ascii="Arial" w:eastAsia="Arial" w:hAnsi="Arial" w:cs="Arial"/>
                <w:sz w:val="13"/>
                <w:szCs w:val="13"/>
              </w:rPr>
              <w:t>40 000,00Kč</w:t>
            </w:r>
          </w:p>
        </w:tc>
        <w:tc>
          <w:tcPr>
            <w:tcW w:w="1810" w:type="dxa"/>
            <w:shd w:val="clear" w:color="auto" w:fill="FFFFFF"/>
            <w:vAlign w:val="bottom"/>
          </w:tcPr>
          <w:p w14:paraId="258C76C9" w14:textId="77777777" w:rsidR="00074317" w:rsidRDefault="00BB0A46">
            <w:pPr>
              <w:pStyle w:val="Other10"/>
              <w:framePr w:w="10589" w:h="8275" w:wrap="none" w:vAnchor="page" w:hAnchor="page" w:x="757" w:y="5217"/>
              <w:spacing w:line="240" w:lineRule="auto"/>
              <w:ind w:firstLine="860"/>
              <w:jc w:val="both"/>
              <w:rPr>
                <w:sz w:val="14"/>
                <w:szCs w:val="14"/>
              </w:rPr>
            </w:pPr>
            <w:r>
              <w:rPr>
                <w:rFonts w:ascii="Arial" w:eastAsia="Arial" w:hAnsi="Arial" w:cs="Arial"/>
                <w:b/>
                <w:bCs/>
                <w:sz w:val="14"/>
                <w:szCs w:val="14"/>
              </w:rPr>
              <w:t>48 400,00Kč</w:t>
            </w:r>
          </w:p>
        </w:tc>
      </w:tr>
      <w:tr w:rsidR="00074317" w14:paraId="5A6AD991" w14:textId="77777777">
        <w:trPr>
          <w:trHeight w:hRule="exact" w:val="758"/>
        </w:trPr>
        <w:tc>
          <w:tcPr>
            <w:tcW w:w="1411" w:type="dxa"/>
            <w:shd w:val="clear" w:color="auto" w:fill="FFFFFF"/>
          </w:tcPr>
          <w:p w14:paraId="0E7CFB96" w14:textId="77777777" w:rsidR="00074317" w:rsidRDefault="00BB0A46">
            <w:pPr>
              <w:pStyle w:val="Other10"/>
              <w:framePr w:w="10589" w:h="8275" w:wrap="none" w:vAnchor="page" w:hAnchor="page" w:x="757" w:y="5217"/>
              <w:spacing w:line="240" w:lineRule="auto"/>
              <w:ind w:firstLine="140"/>
              <w:rPr>
                <w:sz w:val="14"/>
                <w:szCs w:val="14"/>
              </w:rPr>
            </w:pPr>
            <w:r>
              <w:rPr>
                <w:rFonts w:ascii="Arial" w:eastAsia="Arial" w:hAnsi="Arial" w:cs="Arial"/>
                <w:b/>
                <w:bCs/>
                <w:i/>
                <w:iCs/>
                <w:sz w:val="14"/>
                <w:szCs w:val="14"/>
              </w:rPr>
              <w:t>Slevy:</w:t>
            </w:r>
          </w:p>
        </w:tc>
        <w:tc>
          <w:tcPr>
            <w:tcW w:w="4531" w:type="dxa"/>
            <w:shd w:val="clear" w:color="auto" w:fill="FFFFFF"/>
            <w:vAlign w:val="center"/>
          </w:tcPr>
          <w:p w14:paraId="6BCC638F" w14:textId="77777777" w:rsidR="00074317" w:rsidRDefault="00BB0A46">
            <w:pPr>
              <w:pStyle w:val="Other10"/>
              <w:framePr w:w="10589" w:h="8275" w:wrap="none" w:vAnchor="page" w:hAnchor="page" w:x="757" w:y="5217"/>
              <w:spacing w:line="240" w:lineRule="auto"/>
              <w:rPr>
                <w:sz w:val="14"/>
                <w:szCs w:val="14"/>
              </w:rPr>
            </w:pPr>
            <w:r>
              <w:rPr>
                <w:rFonts w:ascii="Arial" w:eastAsia="Arial" w:hAnsi="Arial" w:cs="Arial"/>
                <w:b/>
                <w:bCs/>
                <w:sz w:val="14"/>
                <w:szCs w:val="14"/>
              </w:rPr>
              <w:t>Sleva na vůz</w:t>
            </w:r>
          </w:p>
        </w:tc>
        <w:tc>
          <w:tcPr>
            <w:tcW w:w="1368" w:type="dxa"/>
            <w:shd w:val="clear" w:color="auto" w:fill="FFFFFF"/>
            <w:vAlign w:val="center"/>
          </w:tcPr>
          <w:p w14:paraId="1B145C63" w14:textId="77777777" w:rsidR="00074317" w:rsidRDefault="00BB0A46">
            <w:pPr>
              <w:pStyle w:val="Other10"/>
              <w:framePr w:w="10589" w:h="8275" w:wrap="none" w:vAnchor="page" w:hAnchor="page" w:x="757" w:y="5217"/>
              <w:spacing w:line="240" w:lineRule="auto"/>
              <w:ind w:firstLine="680"/>
              <w:rPr>
                <w:sz w:val="13"/>
                <w:szCs w:val="13"/>
              </w:rPr>
            </w:pPr>
            <w:r>
              <w:rPr>
                <w:rFonts w:ascii="Arial" w:eastAsia="Arial" w:hAnsi="Arial" w:cs="Arial"/>
                <w:sz w:val="13"/>
                <w:szCs w:val="13"/>
              </w:rPr>
              <w:t>21,00 %</w:t>
            </w:r>
          </w:p>
        </w:tc>
        <w:tc>
          <w:tcPr>
            <w:tcW w:w="1469" w:type="dxa"/>
            <w:shd w:val="clear" w:color="auto" w:fill="FFFFFF"/>
            <w:vAlign w:val="center"/>
          </w:tcPr>
          <w:p w14:paraId="77290A1E" w14:textId="77777777" w:rsidR="00074317" w:rsidRDefault="00BB0A46">
            <w:pPr>
              <w:pStyle w:val="Other10"/>
              <w:framePr w:w="10589" w:h="8275" w:wrap="none" w:vAnchor="page" w:hAnchor="page" w:x="757" w:y="5217"/>
              <w:spacing w:line="240" w:lineRule="auto"/>
              <w:jc w:val="right"/>
              <w:rPr>
                <w:sz w:val="13"/>
                <w:szCs w:val="13"/>
              </w:rPr>
            </w:pPr>
            <w:r>
              <w:rPr>
                <w:rFonts w:ascii="Arial" w:eastAsia="Arial" w:hAnsi="Arial" w:cs="Arial"/>
                <w:sz w:val="13"/>
                <w:szCs w:val="13"/>
              </w:rPr>
              <w:t>-35 000,00Kč</w:t>
            </w:r>
          </w:p>
        </w:tc>
        <w:tc>
          <w:tcPr>
            <w:tcW w:w="1810" w:type="dxa"/>
            <w:shd w:val="clear" w:color="auto" w:fill="FFFFFF"/>
            <w:vAlign w:val="center"/>
          </w:tcPr>
          <w:p w14:paraId="7C761E06" w14:textId="77777777" w:rsidR="00074317" w:rsidRDefault="00BB0A46">
            <w:pPr>
              <w:pStyle w:val="Other10"/>
              <w:framePr w:w="10589" w:h="8275" w:wrap="none" w:vAnchor="page" w:hAnchor="page" w:x="757" w:y="5217"/>
              <w:spacing w:line="240" w:lineRule="auto"/>
              <w:jc w:val="right"/>
              <w:rPr>
                <w:sz w:val="14"/>
                <w:szCs w:val="14"/>
              </w:rPr>
            </w:pPr>
            <w:r>
              <w:rPr>
                <w:rFonts w:ascii="Arial" w:eastAsia="Arial" w:hAnsi="Arial" w:cs="Arial"/>
                <w:b/>
                <w:bCs/>
                <w:sz w:val="14"/>
                <w:szCs w:val="14"/>
              </w:rPr>
              <w:t>-42 350,00Kč</w:t>
            </w:r>
          </w:p>
        </w:tc>
      </w:tr>
      <w:tr w:rsidR="00074317" w14:paraId="73E4FBE7" w14:textId="77777777">
        <w:trPr>
          <w:trHeight w:hRule="exact" w:val="274"/>
        </w:trPr>
        <w:tc>
          <w:tcPr>
            <w:tcW w:w="1411" w:type="dxa"/>
            <w:shd w:val="clear" w:color="auto" w:fill="FFFFFF"/>
          </w:tcPr>
          <w:p w14:paraId="50298696" w14:textId="77777777" w:rsidR="00074317" w:rsidRDefault="00074317">
            <w:pPr>
              <w:framePr w:w="10589" w:h="8275" w:wrap="none" w:vAnchor="page" w:hAnchor="page" w:x="757" w:y="5217"/>
              <w:rPr>
                <w:sz w:val="10"/>
                <w:szCs w:val="10"/>
              </w:rPr>
            </w:pPr>
          </w:p>
        </w:tc>
        <w:tc>
          <w:tcPr>
            <w:tcW w:w="4531" w:type="dxa"/>
            <w:tcBorders>
              <w:top w:val="single" w:sz="4" w:space="0" w:color="auto"/>
            </w:tcBorders>
            <w:shd w:val="clear" w:color="auto" w:fill="FFFFFF"/>
            <w:vAlign w:val="bottom"/>
          </w:tcPr>
          <w:p w14:paraId="641D0C72" w14:textId="77777777" w:rsidR="00074317" w:rsidRDefault="00BB0A46">
            <w:pPr>
              <w:pStyle w:val="Other10"/>
              <w:framePr w:w="10589" w:h="8275" w:wrap="none" w:vAnchor="page" w:hAnchor="page" w:x="757" w:y="5217"/>
              <w:spacing w:line="240" w:lineRule="auto"/>
              <w:rPr>
                <w:sz w:val="17"/>
                <w:szCs w:val="17"/>
              </w:rPr>
            </w:pPr>
            <w:r>
              <w:rPr>
                <w:rFonts w:ascii="Arial" w:eastAsia="Arial" w:hAnsi="Arial" w:cs="Arial"/>
                <w:sz w:val="17"/>
                <w:szCs w:val="17"/>
              </w:rPr>
              <w:t>Cena vozu celkem</w:t>
            </w:r>
          </w:p>
        </w:tc>
        <w:tc>
          <w:tcPr>
            <w:tcW w:w="1368" w:type="dxa"/>
            <w:tcBorders>
              <w:top w:val="single" w:sz="4" w:space="0" w:color="auto"/>
            </w:tcBorders>
            <w:shd w:val="clear" w:color="auto" w:fill="FFFFFF"/>
          </w:tcPr>
          <w:p w14:paraId="49735717" w14:textId="77777777" w:rsidR="00074317" w:rsidRDefault="00074317">
            <w:pPr>
              <w:framePr w:w="10589" w:h="8275" w:wrap="none" w:vAnchor="page" w:hAnchor="page" w:x="757" w:y="5217"/>
              <w:rPr>
                <w:sz w:val="10"/>
                <w:szCs w:val="10"/>
              </w:rPr>
            </w:pPr>
          </w:p>
        </w:tc>
        <w:tc>
          <w:tcPr>
            <w:tcW w:w="1469" w:type="dxa"/>
            <w:tcBorders>
              <w:top w:val="single" w:sz="4" w:space="0" w:color="auto"/>
            </w:tcBorders>
            <w:shd w:val="clear" w:color="auto" w:fill="FFFFFF"/>
            <w:vAlign w:val="bottom"/>
          </w:tcPr>
          <w:p w14:paraId="68E0F9D9" w14:textId="77777777" w:rsidR="00074317" w:rsidRDefault="00BB0A46">
            <w:pPr>
              <w:pStyle w:val="Other10"/>
              <w:framePr w:w="10589" w:h="8275" w:wrap="none" w:vAnchor="page" w:hAnchor="page" w:x="757" w:y="5217"/>
              <w:spacing w:line="240" w:lineRule="auto"/>
              <w:jc w:val="right"/>
              <w:rPr>
                <w:sz w:val="17"/>
                <w:szCs w:val="17"/>
              </w:rPr>
            </w:pPr>
            <w:r>
              <w:rPr>
                <w:rFonts w:ascii="Arial" w:eastAsia="Arial" w:hAnsi="Arial" w:cs="Arial"/>
                <w:sz w:val="17"/>
                <w:szCs w:val="17"/>
              </w:rPr>
              <w:t>2 133 138,22Kč</w:t>
            </w:r>
          </w:p>
        </w:tc>
        <w:tc>
          <w:tcPr>
            <w:tcW w:w="1810" w:type="dxa"/>
            <w:tcBorders>
              <w:top w:val="single" w:sz="4" w:space="0" w:color="auto"/>
            </w:tcBorders>
            <w:shd w:val="clear" w:color="auto" w:fill="FFFFFF"/>
            <w:vAlign w:val="bottom"/>
          </w:tcPr>
          <w:p w14:paraId="19DDFAA3" w14:textId="77777777" w:rsidR="00074317" w:rsidRDefault="00BB0A46">
            <w:pPr>
              <w:pStyle w:val="Other10"/>
              <w:framePr w:w="10589" w:h="8275" w:wrap="none" w:vAnchor="page" w:hAnchor="page" w:x="757" w:y="5217"/>
              <w:spacing w:line="240" w:lineRule="auto"/>
              <w:jc w:val="right"/>
              <w:rPr>
                <w:sz w:val="17"/>
                <w:szCs w:val="17"/>
              </w:rPr>
            </w:pPr>
            <w:r>
              <w:rPr>
                <w:rFonts w:ascii="Arial" w:eastAsia="Arial" w:hAnsi="Arial" w:cs="Arial"/>
                <w:sz w:val="17"/>
                <w:szCs w:val="17"/>
              </w:rPr>
              <w:t>2 581 097,26Kč</w:t>
            </w:r>
          </w:p>
        </w:tc>
      </w:tr>
      <w:tr w:rsidR="00074317" w14:paraId="4DECB5E6" w14:textId="77777777">
        <w:trPr>
          <w:trHeight w:hRule="exact" w:val="264"/>
        </w:trPr>
        <w:tc>
          <w:tcPr>
            <w:tcW w:w="1411" w:type="dxa"/>
            <w:shd w:val="clear" w:color="auto" w:fill="FFFFFF"/>
          </w:tcPr>
          <w:p w14:paraId="32A0D211" w14:textId="77777777" w:rsidR="00074317" w:rsidRDefault="00074317">
            <w:pPr>
              <w:framePr w:w="10589" w:h="8275" w:wrap="none" w:vAnchor="page" w:hAnchor="page" w:x="757" w:y="5217"/>
              <w:rPr>
                <w:sz w:val="10"/>
                <w:szCs w:val="10"/>
              </w:rPr>
            </w:pPr>
          </w:p>
        </w:tc>
        <w:tc>
          <w:tcPr>
            <w:tcW w:w="4531" w:type="dxa"/>
            <w:shd w:val="clear" w:color="auto" w:fill="FFFFFF"/>
          </w:tcPr>
          <w:p w14:paraId="5EA7A779" w14:textId="77777777" w:rsidR="00074317" w:rsidRDefault="00BB0A46">
            <w:pPr>
              <w:pStyle w:val="Other10"/>
              <w:framePr w:w="10589" w:h="8275" w:wrap="none" w:vAnchor="page" w:hAnchor="page" w:x="757" w:y="5217"/>
              <w:spacing w:line="240" w:lineRule="auto"/>
              <w:rPr>
                <w:sz w:val="17"/>
                <w:szCs w:val="17"/>
              </w:rPr>
            </w:pPr>
            <w:r>
              <w:rPr>
                <w:rFonts w:ascii="Arial" w:eastAsia="Arial" w:hAnsi="Arial" w:cs="Arial"/>
                <w:sz w:val="17"/>
                <w:szCs w:val="17"/>
              </w:rPr>
              <w:t>Poskytnutá sleva</w:t>
            </w:r>
          </w:p>
        </w:tc>
        <w:tc>
          <w:tcPr>
            <w:tcW w:w="1368" w:type="dxa"/>
            <w:shd w:val="clear" w:color="auto" w:fill="FFFFFF"/>
          </w:tcPr>
          <w:p w14:paraId="60D0A9DE" w14:textId="77777777" w:rsidR="00074317" w:rsidRDefault="00074317">
            <w:pPr>
              <w:framePr w:w="10589" w:h="8275" w:wrap="none" w:vAnchor="page" w:hAnchor="page" w:x="757" w:y="5217"/>
              <w:rPr>
                <w:sz w:val="10"/>
                <w:szCs w:val="10"/>
              </w:rPr>
            </w:pPr>
          </w:p>
        </w:tc>
        <w:tc>
          <w:tcPr>
            <w:tcW w:w="1469" w:type="dxa"/>
            <w:shd w:val="clear" w:color="auto" w:fill="FFFFFF"/>
          </w:tcPr>
          <w:p w14:paraId="40118C7B" w14:textId="77777777" w:rsidR="00074317" w:rsidRDefault="00BB0A46">
            <w:pPr>
              <w:pStyle w:val="Other10"/>
              <w:framePr w:w="10589" w:h="8275" w:wrap="none" w:vAnchor="page" w:hAnchor="page" w:x="757" w:y="5217"/>
              <w:spacing w:line="240" w:lineRule="auto"/>
              <w:jc w:val="right"/>
              <w:rPr>
                <w:sz w:val="17"/>
                <w:szCs w:val="17"/>
              </w:rPr>
            </w:pPr>
            <w:r>
              <w:rPr>
                <w:rFonts w:ascii="Arial" w:eastAsia="Arial" w:hAnsi="Arial" w:cs="Arial"/>
                <w:sz w:val="17"/>
                <w:szCs w:val="17"/>
              </w:rPr>
              <w:t>-35 000,00Kč</w:t>
            </w:r>
          </w:p>
        </w:tc>
        <w:tc>
          <w:tcPr>
            <w:tcW w:w="1810" w:type="dxa"/>
            <w:shd w:val="clear" w:color="auto" w:fill="FFFFFF"/>
          </w:tcPr>
          <w:p w14:paraId="7C47148F" w14:textId="77777777" w:rsidR="00074317" w:rsidRDefault="00BB0A46">
            <w:pPr>
              <w:pStyle w:val="Other10"/>
              <w:framePr w:w="10589" w:h="8275" w:wrap="none" w:vAnchor="page" w:hAnchor="page" w:x="757" w:y="5217"/>
              <w:spacing w:line="240" w:lineRule="auto"/>
              <w:jc w:val="right"/>
              <w:rPr>
                <w:sz w:val="17"/>
                <w:szCs w:val="17"/>
              </w:rPr>
            </w:pPr>
            <w:r>
              <w:rPr>
                <w:rFonts w:ascii="Arial" w:eastAsia="Arial" w:hAnsi="Arial" w:cs="Arial"/>
                <w:sz w:val="17"/>
                <w:szCs w:val="17"/>
              </w:rPr>
              <w:t>-42 350,00Kč</w:t>
            </w:r>
          </w:p>
        </w:tc>
      </w:tr>
      <w:tr w:rsidR="00074317" w14:paraId="7C704FAB" w14:textId="77777777">
        <w:trPr>
          <w:trHeight w:hRule="exact" w:val="278"/>
        </w:trPr>
        <w:tc>
          <w:tcPr>
            <w:tcW w:w="1411" w:type="dxa"/>
            <w:shd w:val="clear" w:color="auto" w:fill="FFFFFF"/>
          </w:tcPr>
          <w:p w14:paraId="0D0B0D74" w14:textId="77777777" w:rsidR="00074317" w:rsidRDefault="00074317">
            <w:pPr>
              <w:framePr w:w="10589" w:h="8275" w:wrap="none" w:vAnchor="page" w:hAnchor="page" w:x="757" w:y="5217"/>
              <w:rPr>
                <w:sz w:val="10"/>
                <w:szCs w:val="10"/>
              </w:rPr>
            </w:pPr>
          </w:p>
        </w:tc>
        <w:tc>
          <w:tcPr>
            <w:tcW w:w="4531" w:type="dxa"/>
            <w:shd w:val="clear" w:color="auto" w:fill="FFFFFF"/>
            <w:vAlign w:val="bottom"/>
          </w:tcPr>
          <w:p w14:paraId="7C0FC6E5" w14:textId="77777777" w:rsidR="00074317" w:rsidRDefault="00BB0A46">
            <w:pPr>
              <w:pStyle w:val="Other10"/>
              <w:framePr w:w="10589" w:h="8275" w:wrap="none" w:vAnchor="page" w:hAnchor="page" w:x="757" w:y="5217"/>
              <w:spacing w:line="240" w:lineRule="auto"/>
              <w:rPr>
                <w:sz w:val="20"/>
                <w:szCs w:val="20"/>
              </w:rPr>
            </w:pPr>
            <w:r>
              <w:rPr>
                <w:rFonts w:ascii="Arial" w:eastAsia="Arial" w:hAnsi="Arial" w:cs="Arial"/>
                <w:b/>
                <w:bCs/>
                <w:sz w:val="20"/>
                <w:szCs w:val="20"/>
              </w:rPr>
              <w:t>Cena vozu po slevě</w:t>
            </w:r>
          </w:p>
        </w:tc>
        <w:tc>
          <w:tcPr>
            <w:tcW w:w="2837" w:type="dxa"/>
            <w:gridSpan w:val="2"/>
            <w:shd w:val="clear" w:color="auto" w:fill="FFFFFF"/>
            <w:vAlign w:val="bottom"/>
          </w:tcPr>
          <w:p w14:paraId="044E4265" w14:textId="77777777" w:rsidR="00074317" w:rsidRDefault="00BB0A46">
            <w:pPr>
              <w:pStyle w:val="Other10"/>
              <w:framePr w:w="10589" w:h="8275" w:wrap="none" w:vAnchor="page" w:hAnchor="page" w:x="757" w:y="5217"/>
              <w:spacing w:line="240" w:lineRule="auto"/>
              <w:jc w:val="right"/>
              <w:rPr>
                <w:sz w:val="20"/>
                <w:szCs w:val="20"/>
              </w:rPr>
            </w:pPr>
            <w:r>
              <w:rPr>
                <w:rFonts w:ascii="Arial" w:eastAsia="Arial" w:hAnsi="Arial" w:cs="Arial"/>
                <w:b/>
                <w:bCs/>
                <w:sz w:val="20"/>
                <w:szCs w:val="20"/>
              </w:rPr>
              <w:t>2 098 138,22Kč</w:t>
            </w:r>
          </w:p>
        </w:tc>
        <w:tc>
          <w:tcPr>
            <w:tcW w:w="1810" w:type="dxa"/>
            <w:shd w:val="clear" w:color="auto" w:fill="FFFFFF"/>
            <w:vAlign w:val="bottom"/>
          </w:tcPr>
          <w:p w14:paraId="4955D244" w14:textId="77777777" w:rsidR="00074317" w:rsidRDefault="00BB0A46">
            <w:pPr>
              <w:pStyle w:val="Other10"/>
              <w:framePr w:w="10589" w:h="8275" w:wrap="none" w:vAnchor="page" w:hAnchor="page" w:x="757" w:y="5217"/>
              <w:spacing w:line="240" w:lineRule="auto"/>
              <w:jc w:val="right"/>
              <w:rPr>
                <w:sz w:val="20"/>
                <w:szCs w:val="20"/>
              </w:rPr>
            </w:pPr>
            <w:r>
              <w:rPr>
                <w:rFonts w:ascii="Arial" w:eastAsia="Arial" w:hAnsi="Arial" w:cs="Arial"/>
                <w:b/>
                <w:bCs/>
                <w:sz w:val="20"/>
                <w:szCs w:val="20"/>
              </w:rPr>
              <w:t>2 538 747,25Kč</w:t>
            </w:r>
          </w:p>
        </w:tc>
      </w:tr>
    </w:tbl>
    <w:p w14:paraId="7BAD5292" w14:textId="77777777" w:rsidR="00074317" w:rsidRDefault="00BB0A46">
      <w:pPr>
        <w:pStyle w:val="Bodytext10"/>
        <w:framePr w:w="10589" w:h="1901" w:hRule="exact" w:wrap="none" w:vAnchor="page" w:hAnchor="page" w:x="757" w:y="13675"/>
        <w:spacing w:after="180" w:line="240" w:lineRule="auto"/>
        <w:ind w:left="140" w:firstLine="20"/>
      </w:pPr>
      <w:r>
        <w:t>Prodávající se touto smlouvou zavazuje odevzdat kupujícímu výše specifikované motorové vozidlo (dále jen "vozidlo") a umožnit kupujícímu k vozidlu nabýt vlastnické právo. Kupující se touto smlouvou zavazuje vozidlo převzít a zaplatit kupní cenu.</w:t>
      </w:r>
    </w:p>
    <w:p w14:paraId="4345AA31" w14:textId="77777777" w:rsidR="00074317" w:rsidRDefault="00BB0A46">
      <w:pPr>
        <w:pStyle w:val="Bodytext10"/>
        <w:framePr w:w="10589" w:h="1901" w:hRule="exact" w:wrap="none" w:vAnchor="page" w:hAnchor="page" w:x="757" w:y="13675"/>
        <w:spacing w:after="180" w:line="240" w:lineRule="auto"/>
        <w:ind w:left="140" w:firstLine="20"/>
      </w:pPr>
      <w:r>
        <w:t>Výše uvedenou kupní cenu je kupující povinen zaplatit v souladu s všeobecnými obchodními podmínkami prodávajícího, které byly kupujícímu předány před uzavřením této smlouvy.</w:t>
      </w:r>
    </w:p>
    <w:p w14:paraId="629EFD14" w14:textId="77777777" w:rsidR="00074317" w:rsidRDefault="00BB0A46">
      <w:pPr>
        <w:pStyle w:val="Bodytext10"/>
        <w:framePr w:w="10589" w:h="1901" w:hRule="exact" w:wrap="none" w:vAnchor="page" w:hAnchor="page" w:x="757" w:y="13675"/>
        <w:spacing w:line="240" w:lineRule="auto"/>
        <w:ind w:left="140" w:firstLine="20"/>
      </w:pPr>
      <w:r>
        <w:t>Práva a povinnosti touto smlouvou výslovně neupravená se řídí všeobecnými obchodními podmínkami prodávající (VOP), které jsou přílohou této smlouvy.</w:t>
      </w:r>
    </w:p>
    <w:p w14:paraId="085FDBF5" w14:textId="77777777" w:rsidR="00074317" w:rsidRDefault="00BB0A46">
      <w:pPr>
        <w:pStyle w:val="Bodytext10"/>
        <w:framePr w:w="10589" w:h="1901" w:hRule="exact" w:wrap="none" w:vAnchor="page" w:hAnchor="page" w:x="757" w:y="13675"/>
        <w:spacing w:line="240" w:lineRule="auto"/>
        <w:ind w:left="140" w:firstLine="20"/>
      </w:pPr>
      <w:r>
        <w:t xml:space="preserve">Podpisem této smlouvy kupující potvrzuje převzetí jednoho vyhotovení VOP. Kupující dále potvrzuje, že VOP přečetl, že s nimi souhlasí, a že ve smyslu § 1753 občanského zákoníku nepovažuje za překvapivá ujednání čl. II. odst. 2, 8 obsahující ujednání o výši kupní ceny a sankční ujednání a čl. III. </w:t>
      </w:r>
      <w:proofErr w:type="spellStart"/>
      <w:proofErr w:type="gramStart"/>
      <w:r>
        <w:t>odst.l</w:t>
      </w:r>
      <w:proofErr w:type="spellEnd"/>
      <w:proofErr w:type="gramEnd"/>
      <w:r>
        <w:t>,</w:t>
      </w:r>
    </w:p>
    <w:p w14:paraId="60860ADD" w14:textId="77777777" w:rsidR="00074317" w:rsidRDefault="00BB0A46">
      <w:pPr>
        <w:pStyle w:val="Headerorfooter10"/>
        <w:framePr w:wrap="none" w:vAnchor="page" w:hAnchor="page" w:x="4832" w:y="15729"/>
        <w:rPr>
          <w:sz w:val="16"/>
          <w:szCs w:val="16"/>
        </w:rPr>
      </w:pPr>
      <w:r>
        <w:t xml:space="preserve">Zpracováno programem firmy </w:t>
      </w:r>
      <w:r>
        <w:rPr>
          <w:b/>
          <w:bCs/>
          <w:sz w:val="16"/>
          <w:szCs w:val="16"/>
        </w:rPr>
        <w:t>TEAS ® Zlín</w:t>
      </w:r>
    </w:p>
    <w:p w14:paraId="115B975B" w14:textId="77777777" w:rsidR="00074317" w:rsidRDefault="00074317">
      <w:pPr>
        <w:spacing w:line="1" w:lineRule="exact"/>
        <w:sectPr w:rsidR="00074317">
          <w:pgSz w:w="11900" w:h="16840"/>
          <w:pgMar w:top="384" w:right="360" w:bottom="360" w:left="360" w:header="0" w:footer="3" w:gutter="0"/>
          <w:cols w:space="720"/>
          <w:noEndnote/>
          <w:docGrid w:linePitch="360"/>
        </w:sectPr>
      </w:pPr>
    </w:p>
    <w:p w14:paraId="01CA3416" w14:textId="77777777" w:rsidR="00074317" w:rsidRDefault="00074317">
      <w:pPr>
        <w:spacing w:line="1" w:lineRule="exact"/>
      </w:pPr>
    </w:p>
    <w:p w14:paraId="453CE20B" w14:textId="77777777" w:rsidR="00074317" w:rsidRDefault="00BB0A46">
      <w:pPr>
        <w:pStyle w:val="Heading110"/>
        <w:framePr w:w="10795" w:h="2059" w:hRule="exact" w:wrap="none" w:vAnchor="page" w:hAnchor="page" w:x="666" w:y="633"/>
        <w:tabs>
          <w:tab w:val="left" w:leader="underscore" w:pos="6083"/>
        </w:tabs>
      </w:pPr>
      <w:bookmarkStart w:id="3" w:name="bookmark3"/>
      <w:bookmarkStart w:id="4" w:name="bookmark4"/>
      <w:bookmarkStart w:id="5" w:name="bookmark5"/>
      <w:r>
        <w:tab/>
      </w:r>
      <w:proofErr w:type="spellStart"/>
      <w:r>
        <w:t>Kujjní_smlouva</w:t>
      </w:r>
      <w:proofErr w:type="spellEnd"/>
      <w:r>
        <w:t xml:space="preserve"> OGR159</w:t>
      </w:r>
      <w:bookmarkEnd w:id="3"/>
      <w:bookmarkEnd w:id="4"/>
      <w:bookmarkEnd w:id="5"/>
    </w:p>
    <w:p w14:paraId="4BB8A6BA" w14:textId="77777777" w:rsidR="00074317" w:rsidRDefault="00BB0A46">
      <w:pPr>
        <w:pStyle w:val="Bodytext20"/>
        <w:framePr w:w="10795" w:h="2059" w:hRule="exact" w:wrap="none" w:vAnchor="page" w:hAnchor="page" w:x="666" w:y="633"/>
        <w:pBdr>
          <w:bottom w:val="single" w:sz="4" w:space="0" w:color="auto"/>
        </w:pBdr>
        <w:spacing w:after="80" w:line="240" w:lineRule="auto"/>
        <w:jc w:val="right"/>
        <w:rPr>
          <w:sz w:val="14"/>
          <w:szCs w:val="14"/>
        </w:rPr>
      </w:pPr>
      <w:r>
        <w:rPr>
          <w:b/>
          <w:bCs/>
          <w:sz w:val="14"/>
          <w:szCs w:val="14"/>
        </w:rPr>
        <w:t>Strana 2/2</w:t>
      </w:r>
    </w:p>
    <w:p w14:paraId="05E0F92D" w14:textId="697C1CBB" w:rsidR="00074317" w:rsidRDefault="00BB0A46">
      <w:pPr>
        <w:pStyle w:val="Bodytext10"/>
        <w:framePr w:w="10795" w:h="2059" w:hRule="exact" w:wrap="none" w:vAnchor="page" w:hAnchor="page" w:x="666" w:y="633"/>
        <w:numPr>
          <w:ilvl w:val="0"/>
          <w:numId w:val="1"/>
        </w:numPr>
        <w:tabs>
          <w:tab w:val="left" w:pos="504"/>
        </w:tabs>
        <w:spacing w:line="240" w:lineRule="auto"/>
        <w:ind w:left="220"/>
      </w:pPr>
      <w:bookmarkStart w:id="6" w:name="bookmark6"/>
      <w:bookmarkEnd w:id="6"/>
      <w:r>
        <w:t xml:space="preserve">6 obsahující ujednání o dodání vozidla a sankční </w:t>
      </w:r>
      <w:proofErr w:type="spellStart"/>
      <w:proofErr w:type="gramStart"/>
      <w:r>
        <w:t>ujednání,čl</w:t>
      </w:r>
      <w:proofErr w:type="spellEnd"/>
      <w:r>
        <w:t>.</w:t>
      </w:r>
      <w:proofErr w:type="gramEnd"/>
      <w:r>
        <w:t xml:space="preserve"> III. odst. 5 obsahující ujednání o výhradě vlastnického práva, čl. VI. odst. 4, </w:t>
      </w:r>
      <w:proofErr w:type="gramStart"/>
      <w:r>
        <w:t>5a</w:t>
      </w:r>
      <w:proofErr w:type="gramEnd"/>
      <w:r>
        <w:t xml:space="preserve"> l</w:t>
      </w:r>
      <w:r w:rsidR="009661D4">
        <w:t>0</w:t>
      </w:r>
      <w:r>
        <w:t xml:space="preserve">obsahující ujednání o notifikaci vad a právech z vad, čl. VII. odst. 1, 4 a 5 obsahující ujednání o záručních podmínkách. </w:t>
      </w:r>
      <w:proofErr w:type="spellStart"/>
      <w:r>
        <w:t>Prodávajícíje</w:t>
      </w:r>
      <w:proofErr w:type="spellEnd"/>
      <w:r>
        <w:t xml:space="preserve"> ve smyslu </w:t>
      </w:r>
      <w:proofErr w:type="spellStart"/>
      <w:r>
        <w:t>ust</w:t>
      </w:r>
      <w:proofErr w:type="spellEnd"/>
      <w:r>
        <w:t>. čl.</w:t>
      </w:r>
    </w:p>
    <w:p w14:paraId="22C3F164" w14:textId="77777777" w:rsidR="00074317" w:rsidRDefault="00BB0A46">
      <w:pPr>
        <w:pStyle w:val="Bodytext10"/>
        <w:framePr w:w="10795" w:h="2059" w:hRule="exact" w:wrap="none" w:vAnchor="page" w:hAnchor="page" w:x="666" w:y="633"/>
        <w:spacing w:line="240" w:lineRule="auto"/>
        <w:ind w:left="220"/>
      </w:pPr>
      <w:r>
        <w:t xml:space="preserve">4 odst. 7 nařízení Evropského parlamentu a Rady (EU) 2016/679 (dále jen jako "GDPR") správcem osobních údajů. </w:t>
      </w:r>
      <w:proofErr w:type="spellStart"/>
      <w:r>
        <w:t>Prodávajícízpracovává</w:t>
      </w:r>
      <w:proofErr w:type="spellEnd"/>
      <w:r>
        <w:t xml:space="preserve"> osobní údaje subjektů údajů v souladu s GDPR a se Zásadami zpracování osobních údajů, které jsou uveřejněny na webové stránce </w:t>
      </w:r>
      <w:hyperlink r:id="rId10" w:history="1">
        <w:r>
          <w:t>www.dajbych4x4.cz</w:t>
        </w:r>
      </w:hyperlink>
      <w:r>
        <w:t xml:space="preserve"> .Zásady zpracování osobních údajů prodávajícího obsahují mimo jiné poučení subjektu údajů o jeho právech. Subjekt údajů je za účelem získání dalších informací o rozsahu a způsobu zpracování jeho osobních údajů oprávněn obrátit se na prodávajícího e-mailem na adresu </w:t>
      </w:r>
      <w:hyperlink r:id="rId11" w:history="1">
        <w:r>
          <w:t>gdpr@dajbych4x4.cz</w:t>
        </w:r>
      </w:hyperlink>
      <w:r>
        <w:t xml:space="preserve"> . Uzavřením této smlouvy kupující potvrzuje, že byl seznámen se Zásadami zpracování osobních údajů Prodávající.</w:t>
      </w:r>
    </w:p>
    <w:p w14:paraId="52104C17" w14:textId="77777777" w:rsidR="00074317" w:rsidRDefault="00BB0A46">
      <w:pPr>
        <w:pStyle w:val="Bodytext10"/>
        <w:framePr w:w="10795" w:h="413" w:hRule="exact" w:wrap="none" w:vAnchor="page" w:hAnchor="page" w:x="666" w:y="3023"/>
        <w:spacing w:line="240" w:lineRule="auto"/>
        <w:ind w:firstLine="220"/>
      </w:pPr>
      <w:r>
        <w:t>První část kupní ceny (</w:t>
      </w:r>
      <w:proofErr w:type="spellStart"/>
      <w:proofErr w:type="gramStart"/>
      <w:r>
        <w:t>tzv.záloha</w:t>
      </w:r>
      <w:proofErr w:type="spellEnd"/>
      <w:proofErr w:type="gramEnd"/>
      <w:r>
        <w:t>) činí:</w:t>
      </w:r>
    </w:p>
    <w:p w14:paraId="5643E220" w14:textId="77777777" w:rsidR="00074317" w:rsidRDefault="00BB0A46">
      <w:pPr>
        <w:pStyle w:val="Bodytext10"/>
        <w:framePr w:w="10795" w:h="413" w:hRule="exact" w:wrap="none" w:vAnchor="page" w:hAnchor="page" w:x="666" w:y="3023"/>
        <w:pBdr>
          <w:bottom w:val="single" w:sz="4" w:space="0" w:color="auto"/>
        </w:pBdr>
        <w:spacing w:line="240" w:lineRule="auto"/>
        <w:ind w:firstLine="220"/>
      </w:pPr>
      <w:r>
        <w:t>Jako podklad pro úhradu zálohy bude vystavena Zálohová faktura.</w:t>
      </w:r>
    </w:p>
    <w:p w14:paraId="0546C251" w14:textId="77777777" w:rsidR="00074317" w:rsidRDefault="00BB0A46">
      <w:pPr>
        <w:pStyle w:val="Bodytext40"/>
        <w:framePr w:wrap="none" w:vAnchor="page" w:hAnchor="page" w:x="10237" w:y="3844"/>
      </w:pPr>
      <w:r>
        <w:t>31.7.2025</w:t>
      </w:r>
    </w:p>
    <w:p w14:paraId="069944FE" w14:textId="77777777" w:rsidR="00074317" w:rsidRDefault="00BB0A46">
      <w:pPr>
        <w:pStyle w:val="Tablecaption10"/>
        <w:framePr w:wrap="none" w:vAnchor="page" w:hAnchor="page" w:x="920" w:y="3863"/>
        <w:rPr>
          <w:sz w:val="18"/>
          <w:szCs w:val="18"/>
        </w:rPr>
      </w:pPr>
      <w:r>
        <w:rPr>
          <w:b/>
          <w:bCs/>
          <w:i/>
          <w:iCs/>
          <w:sz w:val="18"/>
          <w:szCs w:val="18"/>
        </w:rPr>
        <w:t>Termín dodání</w:t>
      </w:r>
    </w:p>
    <w:tbl>
      <w:tblPr>
        <w:tblOverlap w:val="never"/>
        <w:tblW w:w="0" w:type="auto"/>
        <w:tblLayout w:type="fixed"/>
        <w:tblCellMar>
          <w:left w:w="10" w:type="dxa"/>
          <w:right w:w="10" w:type="dxa"/>
        </w:tblCellMar>
        <w:tblLook w:val="04A0" w:firstRow="1" w:lastRow="0" w:firstColumn="1" w:lastColumn="0" w:noHBand="0" w:noVBand="1"/>
      </w:tblPr>
      <w:tblGrid>
        <w:gridCol w:w="6374"/>
        <w:gridCol w:w="619"/>
        <w:gridCol w:w="3562"/>
      </w:tblGrid>
      <w:tr w:rsidR="00074317" w14:paraId="0CA74640" w14:textId="77777777" w:rsidTr="002B4DC5">
        <w:trPr>
          <w:trHeight w:hRule="exact" w:val="706"/>
        </w:trPr>
        <w:tc>
          <w:tcPr>
            <w:tcW w:w="6374" w:type="dxa"/>
            <w:tcBorders>
              <w:top w:val="single" w:sz="4" w:space="0" w:color="auto"/>
              <w:left w:val="single" w:sz="4" w:space="0" w:color="auto"/>
            </w:tcBorders>
            <w:shd w:val="clear" w:color="auto" w:fill="FFFFFF"/>
            <w:vAlign w:val="center"/>
          </w:tcPr>
          <w:p w14:paraId="40F87427" w14:textId="77777777" w:rsidR="00074317" w:rsidRDefault="00BB0A46">
            <w:pPr>
              <w:pStyle w:val="Other10"/>
              <w:framePr w:w="10555" w:h="1954" w:wrap="none" w:vAnchor="page" w:hAnchor="page" w:x="771" w:y="4175"/>
              <w:tabs>
                <w:tab w:val="left" w:pos="1428"/>
              </w:tabs>
              <w:spacing w:after="80" w:line="240" w:lineRule="auto"/>
              <w:ind w:firstLine="180"/>
              <w:rPr>
                <w:sz w:val="20"/>
                <w:szCs w:val="20"/>
              </w:rPr>
            </w:pPr>
            <w:r>
              <w:rPr>
                <w:rFonts w:ascii="Arial" w:eastAsia="Arial" w:hAnsi="Arial" w:cs="Arial"/>
                <w:i/>
                <w:iCs/>
                <w:sz w:val="14"/>
                <w:szCs w:val="14"/>
              </w:rPr>
              <w:t>Místo:</w:t>
            </w:r>
            <w:r>
              <w:rPr>
                <w:rFonts w:ascii="Arial" w:eastAsia="Arial" w:hAnsi="Arial" w:cs="Arial"/>
                <w:b/>
                <w:bCs/>
                <w:sz w:val="20"/>
                <w:szCs w:val="20"/>
              </w:rPr>
              <w:tab/>
              <w:t>Plzeň</w:t>
            </w:r>
          </w:p>
          <w:p w14:paraId="168CD8A2" w14:textId="77777777" w:rsidR="00074317" w:rsidRDefault="00BB0A46">
            <w:pPr>
              <w:pStyle w:val="Other10"/>
              <w:framePr w:w="10555" w:h="1954" w:wrap="none" w:vAnchor="page" w:hAnchor="page" w:x="771" w:y="4175"/>
              <w:spacing w:line="240" w:lineRule="auto"/>
              <w:ind w:firstLine="180"/>
              <w:rPr>
                <w:sz w:val="14"/>
                <w:szCs w:val="14"/>
              </w:rPr>
            </w:pPr>
            <w:r>
              <w:rPr>
                <w:rFonts w:ascii="Arial" w:eastAsia="Arial" w:hAnsi="Arial" w:cs="Arial"/>
                <w:i/>
                <w:iCs/>
                <w:sz w:val="14"/>
                <w:szCs w:val="14"/>
              </w:rPr>
              <w:t>Datum:</w:t>
            </w:r>
          </w:p>
        </w:tc>
        <w:tc>
          <w:tcPr>
            <w:tcW w:w="619" w:type="dxa"/>
            <w:tcBorders>
              <w:top w:val="single" w:sz="4" w:space="0" w:color="auto"/>
            </w:tcBorders>
            <w:shd w:val="clear" w:color="auto" w:fill="FFFFFF"/>
          </w:tcPr>
          <w:p w14:paraId="345F77DF" w14:textId="77777777" w:rsidR="00074317" w:rsidRDefault="00074317">
            <w:pPr>
              <w:framePr w:w="10555" w:h="1954" w:wrap="none" w:vAnchor="page" w:hAnchor="page" w:x="771" w:y="4175"/>
              <w:rPr>
                <w:sz w:val="10"/>
                <w:szCs w:val="10"/>
              </w:rPr>
            </w:pPr>
          </w:p>
        </w:tc>
        <w:tc>
          <w:tcPr>
            <w:tcW w:w="3562" w:type="dxa"/>
            <w:vMerge w:val="restart"/>
            <w:tcBorders>
              <w:top w:val="single" w:sz="4" w:space="0" w:color="auto"/>
              <w:right w:val="single" w:sz="4" w:space="0" w:color="auto"/>
            </w:tcBorders>
            <w:shd w:val="clear" w:color="auto" w:fill="FFFFFF"/>
            <w:vAlign w:val="bottom"/>
          </w:tcPr>
          <w:p w14:paraId="3D33F0BD" w14:textId="2843FE26" w:rsidR="00074317" w:rsidRDefault="00074317">
            <w:pPr>
              <w:pStyle w:val="Other10"/>
              <w:framePr w:w="10555" w:h="1954" w:wrap="none" w:vAnchor="page" w:hAnchor="page" w:x="771" w:y="4175"/>
              <w:spacing w:line="240" w:lineRule="auto"/>
              <w:ind w:left="380"/>
              <w:rPr>
                <w:sz w:val="26"/>
                <w:szCs w:val="26"/>
              </w:rPr>
            </w:pPr>
          </w:p>
        </w:tc>
      </w:tr>
      <w:tr w:rsidR="00074317" w14:paraId="3406A5BF" w14:textId="77777777" w:rsidTr="002B4DC5">
        <w:trPr>
          <w:trHeight w:hRule="exact" w:val="619"/>
        </w:trPr>
        <w:tc>
          <w:tcPr>
            <w:tcW w:w="6374" w:type="dxa"/>
            <w:vMerge w:val="restart"/>
            <w:tcBorders>
              <w:left w:val="single" w:sz="4" w:space="0" w:color="auto"/>
            </w:tcBorders>
            <w:shd w:val="clear" w:color="auto" w:fill="FFFFFF"/>
          </w:tcPr>
          <w:p w14:paraId="6A94769B" w14:textId="6206C5B8" w:rsidR="00074317" w:rsidRDefault="00074317">
            <w:pPr>
              <w:pStyle w:val="Other10"/>
              <w:framePr w:w="10555" w:h="1954" w:wrap="none" w:vAnchor="page" w:hAnchor="page" w:x="771" w:y="4175"/>
              <w:spacing w:line="180" w:lineRule="auto"/>
              <w:ind w:left="1400"/>
              <w:rPr>
                <w:sz w:val="13"/>
                <w:szCs w:val="13"/>
              </w:rPr>
            </w:pPr>
          </w:p>
        </w:tc>
        <w:tc>
          <w:tcPr>
            <w:tcW w:w="619" w:type="dxa"/>
            <w:shd w:val="clear" w:color="auto" w:fill="FFFFFF"/>
          </w:tcPr>
          <w:p w14:paraId="5C96F84A" w14:textId="77777777" w:rsidR="00074317" w:rsidRDefault="00074317">
            <w:pPr>
              <w:framePr w:w="10555" w:h="1954" w:wrap="none" w:vAnchor="page" w:hAnchor="page" w:x="771" w:y="4175"/>
              <w:rPr>
                <w:sz w:val="10"/>
                <w:szCs w:val="10"/>
              </w:rPr>
            </w:pPr>
          </w:p>
        </w:tc>
        <w:tc>
          <w:tcPr>
            <w:tcW w:w="3562" w:type="dxa"/>
            <w:vMerge/>
            <w:tcBorders>
              <w:right w:val="single" w:sz="4" w:space="0" w:color="auto"/>
            </w:tcBorders>
            <w:shd w:val="clear" w:color="auto" w:fill="FFFFFF"/>
            <w:vAlign w:val="bottom"/>
          </w:tcPr>
          <w:p w14:paraId="26C022E0" w14:textId="77777777" w:rsidR="00074317" w:rsidRDefault="00074317">
            <w:pPr>
              <w:framePr w:w="10555" w:h="1954" w:wrap="none" w:vAnchor="page" w:hAnchor="page" w:x="771" w:y="4175"/>
            </w:pPr>
          </w:p>
        </w:tc>
      </w:tr>
      <w:tr w:rsidR="00074317" w14:paraId="5DB5FA91" w14:textId="77777777" w:rsidTr="002B4DC5">
        <w:trPr>
          <w:trHeight w:hRule="exact" w:val="389"/>
        </w:trPr>
        <w:tc>
          <w:tcPr>
            <w:tcW w:w="6374" w:type="dxa"/>
            <w:vMerge/>
            <w:tcBorders>
              <w:left w:val="single" w:sz="4" w:space="0" w:color="auto"/>
            </w:tcBorders>
            <w:shd w:val="clear" w:color="auto" w:fill="FFFFFF"/>
          </w:tcPr>
          <w:p w14:paraId="7E1156F7" w14:textId="77777777" w:rsidR="00074317" w:rsidRDefault="00074317">
            <w:pPr>
              <w:framePr w:w="10555" w:h="1954" w:wrap="none" w:vAnchor="page" w:hAnchor="page" w:x="771" w:y="4175"/>
            </w:pPr>
          </w:p>
        </w:tc>
        <w:tc>
          <w:tcPr>
            <w:tcW w:w="619" w:type="dxa"/>
            <w:shd w:val="clear" w:color="auto" w:fill="FFFFFF"/>
          </w:tcPr>
          <w:p w14:paraId="7A4245FA" w14:textId="77777777" w:rsidR="00074317" w:rsidRDefault="00074317">
            <w:pPr>
              <w:framePr w:w="10555" w:h="1954" w:wrap="none" w:vAnchor="page" w:hAnchor="page" w:x="771" w:y="4175"/>
              <w:rPr>
                <w:sz w:val="10"/>
                <w:szCs w:val="10"/>
              </w:rPr>
            </w:pPr>
          </w:p>
        </w:tc>
        <w:tc>
          <w:tcPr>
            <w:tcW w:w="3562" w:type="dxa"/>
            <w:vMerge/>
            <w:tcBorders>
              <w:right w:val="single" w:sz="4" w:space="0" w:color="auto"/>
            </w:tcBorders>
            <w:shd w:val="clear" w:color="auto" w:fill="FFFFFF"/>
            <w:vAlign w:val="bottom"/>
          </w:tcPr>
          <w:p w14:paraId="5B837896" w14:textId="77777777" w:rsidR="00074317" w:rsidRDefault="00074317">
            <w:pPr>
              <w:framePr w:w="10555" w:h="1954" w:wrap="none" w:vAnchor="page" w:hAnchor="page" w:x="771" w:y="4175"/>
            </w:pPr>
          </w:p>
        </w:tc>
      </w:tr>
      <w:tr w:rsidR="00074317" w14:paraId="040FC7CA" w14:textId="77777777">
        <w:trPr>
          <w:trHeight w:hRule="exact" w:val="240"/>
        </w:trPr>
        <w:tc>
          <w:tcPr>
            <w:tcW w:w="6993" w:type="dxa"/>
            <w:gridSpan w:val="2"/>
            <w:tcBorders>
              <w:top w:val="single" w:sz="4" w:space="0" w:color="auto"/>
              <w:left w:val="single" w:sz="4" w:space="0" w:color="auto"/>
              <w:bottom w:val="single" w:sz="4" w:space="0" w:color="auto"/>
            </w:tcBorders>
            <w:shd w:val="clear" w:color="auto" w:fill="FFFFFF"/>
            <w:vAlign w:val="bottom"/>
          </w:tcPr>
          <w:p w14:paraId="295A71FB" w14:textId="32278B1D" w:rsidR="00074317" w:rsidRDefault="00BB0A46">
            <w:pPr>
              <w:pStyle w:val="Other10"/>
              <w:framePr w:w="10555" w:h="1954" w:wrap="none" w:vAnchor="page" w:hAnchor="page" w:x="771" w:y="4175"/>
              <w:spacing w:line="240" w:lineRule="auto"/>
              <w:ind w:left="1800"/>
              <w:rPr>
                <w:sz w:val="14"/>
                <w:szCs w:val="14"/>
              </w:rPr>
            </w:pPr>
            <w:r>
              <w:rPr>
                <w:rFonts w:ascii="Arial" w:eastAsia="Arial" w:hAnsi="Arial" w:cs="Arial"/>
                <w:i/>
                <w:iCs/>
                <w:sz w:val="14"/>
                <w:szCs w:val="14"/>
              </w:rPr>
              <w:t>Podpis prod</w:t>
            </w:r>
            <w:r w:rsidR="001E60C4">
              <w:rPr>
                <w:rFonts w:ascii="Arial" w:eastAsia="Arial" w:hAnsi="Arial" w:cs="Arial"/>
                <w:i/>
                <w:iCs/>
                <w:sz w:val="14"/>
                <w:szCs w:val="14"/>
              </w:rPr>
              <w:t>á</w:t>
            </w:r>
            <w:r>
              <w:rPr>
                <w:rFonts w:ascii="Arial" w:eastAsia="Arial" w:hAnsi="Arial" w:cs="Arial"/>
                <w:i/>
                <w:iCs/>
                <w:sz w:val="14"/>
                <w:szCs w:val="14"/>
              </w:rPr>
              <w:t>vajícího</w:t>
            </w:r>
          </w:p>
        </w:tc>
        <w:tc>
          <w:tcPr>
            <w:tcW w:w="3562" w:type="dxa"/>
            <w:tcBorders>
              <w:top w:val="single" w:sz="4" w:space="0" w:color="auto"/>
              <w:bottom w:val="single" w:sz="4" w:space="0" w:color="auto"/>
              <w:right w:val="single" w:sz="4" w:space="0" w:color="auto"/>
            </w:tcBorders>
            <w:shd w:val="clear" w:color="auto" w:fill="FFFFFF"/>
            <w:vAlign w:val="bottom"/>
          </w:tcPr>
          <w:p w14:paraId="0DD373D7" w14:textId="77777777" w:rsidR="00074317" w:rsidRDefault="00BB0A46">
            <w:pPr>
              <w:pStyle w:val="Other10"/>
              <w:framePr w:w="10555" w:h="1954" w:wrap="none" w:vAnchor="page" w:hAnchor="page" w:x="771" w:y="4175"/>
              <w:spacing w:line="240" w:lineRule="auto"/>
              <w:ind w:firstLine="560"/>
              <w:jc w:val="both"/>
              <w:rPr>
                <w:sz w:val="14"/>
                <w:szCs w:val="14"/>
              </w:rPr>
            </w:pPr>
            <w:r>
              <w:rPr>
                <w:rFonts w:ascii="Arial" w:eastAsia="Arial" w:hAnsi="Arial" w:cs="Arial"/>
                <w:i/>
                <w:iCs/>
                <w:sz w:val="14"/>
                <w:szCs w:val="14"/>
              </w:rPr>
              <w:t>Podpis kupujícího</w:t>
            </w:r>
          </w:p>
        </w:tc>
      </w:tr>
    </w:tbl>
    <w:p w14:paraId="6C704B33" w14:textId="77777777" w:rsidR="00074317" w:rsidRDefault="00BB0A46">
      <w:pPr>
        <w:pStyle w:val="Headerorfooter10"/>
        <w:framePr w:wrap="none" w:vAnchor="page" w:hAnchor="page" w:x="4837" w:y="15719"/>
        <w:rPr>
          <w:sz w:val="16"/>
          <w:szCs w:val="16"/>
        </w:rPr>
      </w:pPr>
      <w:r>
        <w:t xml:space="preserve">Zpracováno programem firmy </w:t>
      </w:r>
      <w:r>
        <w:rPr>
          <w:b/>
          <w:bCs/>
          <w:sz w:val="16"/>
          <w:szCs w:val="16"/>
        </w:rPr>
        <w:t>TEAS® Zlín</w:t>
      </w:r>
    </w:p>
    <w:p w14:paraId="2B01D3EC" w14:textId="77777777" w:rsidR="00074317" w:rsidRDefault="00074317">
      <w:pPr>
        <w:spacing w:line="1" w:lineRule="exact"/>
        <w:sectPr w:rsidR="00074317">
          <w:pgSz w:w="11900" w:h="16840"/>
          <w:pgMar w:top="360" w:right="360" w:bottom="360" w:left="360" w:header="0" w:footer="3" w:gutter="0"/>
          <w:cols w:space="720"/>
          <w:noEndnote/>
          <w:docGrid w:linePitch="360"/>
        </w:sectPr>
      </w:pPr>
    </w:p>
    <w:p w14:paraId="002BC9E6" w14:textId="77777777" w:rsidR="00074317" w:rsidRDefault="00074317">
      <w:pPr>
        <w:spacing w:line="1" w:lineRule="exact"/>
      </w:pPr>
    </w:p>
    <w:p w14:paraId="2AED22C5" w14:textId="77777777" w:rsidR="00074317" w:rsidRDefault="00BB0A46">
      <w:pPr>
        <w:pStyle w:val="Heading310"/>
        <w:framePr w:w="5280" w:h="14462" w:hRule="exact" w:wrap="none" w:vAnchor="page" w:hAnchor="page" w:x="681" w:y="909"/>
        <w:spacing w:after="0"/>
      </w:pPr>
      <w:bookmarkStart w:id="7" w:name="bookmark7"/>
      <w:bookmarkStart w:id="8" w:name="bookmark8"/>
      <w:bookmarkStart w:id="9" w:name="bookmark9"/>
      <w:r>
        <w:rPr>
          <w:u w:val="single"/>
        </w:rPr>
        <w:t xml:space="preserve">VŠEOBECNÉ OBCHODNÍ </w:t>
      </w:r>
      <w:proofErr w:type="gramStart"/>
      <w:r>
        <w:rPr>
          <w:u w:val="single"/>
        </w:rPr>
        <w:t>PODMÍNKY - PRODEJ</w:t>
      </w:r>
      <w:proofErr w:type="gramEnd"/>
      <w:r>
        <w:rPr>
          <w:u w:val="single"/>
        </w:rPr>
        <w:t xml:space="preserve"> VOZIDEL</w:t>
      </w:r>
      <w:bookmarkEnd w:id="7"/>
      <w:bookmarkEnd w:id="8"/>
      <w:bookmarkEnd w:id="9"/>
    </w:p>
    <w:p w14:paraId="665BAB78" w14:textId="77777777" w:rsidR="00074317" w:rsidRDefault="00BB0A46">
      <w:pPr>
        <w:pStyle w:val="Bodytext10"/>
        <w:framePr w:w="5280" w:h="14462" w:hRule="exact" w:wrap="none" w:vAnchor="page" w:hAnchor="page" w:x="681" w:y="909"/>
        <w:spacing w:after="340"/>
        <w:jc w:val="center"/>
      </w:pPr>
      <w:r>
        <w:rPr>
          <w:i/>
          <w:iCs/>
        </w:rPr>
        <w:t xml:space="preserve">Ve smyslu </w:t>
      </w:r>
      <w:proofErr w:type="spellStart"/>
      <w:r>
        <w:rPr>
          <w:i/>
          <w:iCs/>
        </w:rPr>
        <w:t>ust</w:t>
      </w:r>
      <w:proofErr w:type="spellEnd"/>
      <w:r>
        <w:rPr>
          <w:i/>
          <w:iCs/>
        </w:rPr>
        <w:t>. § 1751 zák. č. 89/2012 Sb., občanský zákoník</w:t>
      </w:r>
    </w:p>
    <w:p w14:paraId="65CE02E4" w14:textId="77777777" w:rsidR="00074317" w:rsidRDefault="00BB0A46">
      <w:pPr>
        <w:pStyle w:val="Heading310"/>
        <w:framePr w:w="5280" w:h="14462" w:hRule="exact" w:wrap="none" w:vAnchor="page" w:hAnchor="page" w:x="681" w:y="909"/>
        <w:spacing w:after="0"/>
      </w:pPr>
      <w:bookmarkStart w:id="10" w:name="bookmark12"/>
      <w:bookmarkStart w:id="11" w:name="bookmark13"/>
      <w:r>
        <w:t>I</w:t>
      </w:r>
      <w:bookmarkEnd w:id="10"/>
      <w:r>
        <w:t>.</w:t>
      </w:r>
      <w:bookmarkEnd w:id="11"/>
    </w:p>
    <w:p w14:paraId="2B51DF0A" w14:textId="77777777" w:rsidR="00074317" w:rsidRDefault="00BB0A46">
      <w:pPr>
        <w:pStyle w:val="Heading310"/>
        <w:framePr w:w="5280" w:h="14462" w:hRule="exact" w:wrap="none" w:vAnchor="page" w:hAnchor="page" w:x="681" w:y="909"/>
        <w:spacing w:after="260"/>
      </w:pPr>
      <w:bookmarkStart w:id="12" w:name="bookmark10"/>
      <w:bookmarkStart w:id="13" w:name="bookmark11"/>
      <w:bookmarkStart w:id="14" w:name="bookmark14"/>
      <w:r>
        <w:t>Úvodní ustanovení</w:t>
      </w:r>
      <w:bookmarkEnd w:id="12"/>
      <w:bookmarkEnd w:id="13"/>
      <w:bookmarkEnd w:id="14"/>
    </w:p>
    <w:p w14:paraId="7EE63FEC" w14:textId="77777777" w:rsidR="00074317" w:rsidRDefault="00BB0A46">
      <w:pPr>
        <w:pStyle w:val="Bodytext10"/>
        <w:framePr w:w="5280" w:h="14462" w:hRule="exact" w:wrap="none" w:vAnchor="page" w:hAnchor="page" w:x="681" w:y="909"/>
        <w:numPr>
          <w:ilvl w:val="0"/>
          <w:numId w:val="2"/>
        </w:numPr>
        <w:tabs>
          <w:tab w:val="left" w:pos="404"/>
        </w:tabs>
        <w:spacing w:after="40" w:line="262" w:lineRule="auto"/>
        <w:ind w:left="400" w:hanging="400"/>
        <w:jc w:val="both"/>
      </w:pPr>
      <w:bookmarkStart w:id="15" w:name="bookmark15"/>
      <w:bookmarkEnd w:id="15"/>
      <w:r>
        <w:t>Prodávající je obchodní společnost DAJBYCH plus s.r.o., IČO 11881151, se sídlem Plzeň, Na Výsluní 1025/33, PSČ 32600, zapsaná v obchodním rejstříku vedeném Krajským soudem v Plzni, v oddíle C, vložce 41273.</w:t>
      </w:r>
    </w:p>
    <w:p w14:paraId="622F30E6" w14:textId="77777777" w:rsidR="00074317" w:rsidRDefault="00BB0A46">
      <w:pPr>
        <w:pStyle w:val="Bodytext10"/>
        <w:framePr w:w="5280" w:h="14462" w:hRule="exact" w:wrap="none" w:vAnchor="page" w:hAnchor="page" w:x="681" w:y="909"/>
        <w:numPr>
          <w:ilvl w:val="0"/>
          <w:numId w:val="2"/>
        </w:numPr>
        <w:tabs>
          <w:tab w:val="left" w:pos="404"/>
        </w:tabs>
        <w:ind w:left="400" w:hanging="400"/>
        <w:jc w:val="both"/>
      </w:pPr>
      <w:bookmarkStart w:id="16" w:name="bookmark16"/>
      <w:bookmarkEnd w:id="16"/>
      <w:r>
        <w:t>Prodávající je autorizovaný prodejce vozidel tovární značky INEOS na území České republiky.</w:t>
      </w:r>
    </w:p>
    <w:p w14:paraId="4773E49C" w14:textId="77777777" w:rsidR="00074317" w:rsidRDefault="00BB0A46">
      <w:pPr>
        <w:pStyle w:val="Bodytext10"/>
        <w:framePr w:w="5280" w:h="14462" w:hRule="exact" w:wrap="none" w:vAnchor="page" w:hAnchor="page" w:x="681" w:y="909"/>
        <w:numPr>
          <w:ilvl w:val="0"/>
          <w:numId w:val="2"/>
        </w:numPr>
        <w:tabs>
          <w:tab w:val="left" w:pos="404"/>
        </w:tabs>
        <w:ind w:left="400" w:hanging="400"/>
        <w:jc w:val="both"/>
      </w:pPr>
      <w:bookmarkStart w:id="17" w:name="bookmark17"/>
      <w:bookmarkEnd w:id="17"/>
      <w:r>
        <w:t xml:space="preserve">Předmětem těchto všeobecných obchodních podmínek (dále jen </w:t>
      </w:r>
      <w:proofErr w:type="gramStart"/>
      <w:r>
        <w:rPr>
          <w:i/>
          <w:iCs/>
        </w:rPr>
        <w:t>„ VOP</w:t>
      </w:r>
      <w:proofErr w:type="gramEnd"/>
      <w:r>
        <w:rPr>
          <w:i/>
          <w:iCs/>
        </w:rPr>
        <w:t>“)</w:t>
      </w:r>
      <w:r>
        <w:t xml:space="preserve"> je úprava práv a povinností smluvních stran vzniklých na základě kupní smlouvy </w:t>
      </w:r>
      <w:r>
        <w:rPr>
          <w:i/>
          <w:iCs/>
        </w:rPr>
        <w:t>(objednávky)</w:t>
      </w:r>
      <w:r>
        <w:t xml:space="preserve"> jejímž předmětem je závazek prodávajícího odevzdat kupujícímu motorové vozidlo tovární značky INEOS (dále jen </w:t>
      </w:r>
      <w:r>
        <w:rPr>
          <w:i/>
          <w:iCs/>
        </w:rPr>
        <w:t>„vozidlo“)</w:t>
      </w:r>
      <w:r>
        <w:t xml:space="preserve"> a umožnit kupujícímu nabýt vlastnické právo k vozidlu a závazek kupujícího vozidlo převzít a zaplatit kupní cenu.</w:t>
      </w:r>
    </w:p>
    <w:p w14:paraId="44161495" w14:textId="77777777" w:rsidR="00074317" w:rsidRDefault="00BB0A46">
      <w:pPr>
        <w:pStyle w:val="Bodytext10"/>
        <w:framePr w:w="5280" w:h="14462" w:hRule="exact" w:wrap="none" w:vAnchor="page" w:hAnchor="page" w:x="681" w:y="909"/>
        <w:numPr>
          <w:ilvl w:val="0"/>
          <w:numId w:val="2"/>
        </w:numPr>
        <w:tabs>
          <w:tab w:val="left" w:pos="404"/>
        </w:tabs>
        <w:ind w:left="400" w:hanging="400"/>
        <w:jc w:val="both"/>
      </w:pPr>
      <w:bookmarkStart w:id="18" w:name="bookmark18"/>
      <w:bookmarkEnd w:id="18"/>
      <w:r>
        <w:t>Spotřebitelem se rozumí člověk, který mimo rámec své podnikatelské činnosti nebo mimo rámec samostatného výkonu svého povolání uzavírá smlouvu s prodávajícím, nebo s ním jinak jedná. Ostatní osoby se za spotřebitele nepovažují.</w:t>
      </w:r>
    </w:p>
    <w:p w14:paraId="1E205ECA" w14:textId="77777777" w:rsidR="00074317" w:rsidRDefault="00BB0A46">
      <w:pPr>
        <w:pStyle w:val="Bodytext10"/>
        <w:framePr w:w="5280" w:h="14462" w:hRule="exact" w:wrap="none" w:vAnchor="page" w:hAnchor="page" w:x="681" w:y="909"/>
        <w:numPr>
          <w:ilvl w:val="0"/>
          <w:numId w:val="2"/>
        </w:numPr>
        <w:tabs>
          <w:tab w:val="left" w:pos="404"/>
        </w:tabs>
        <w:spacing w:after="340"/>
        <w:ind w:left="400" w:hanging="400"/>
        <w:jc w:val="both"/>
      </w:pPr>
      <w:bookmarkStart w:id="19" w:name="bookmark19"/>
      <w:bookmarkEnd w:id="19"/>
      <w:r>
        <w:t>Tyto VOP upravují práva a povinnosti pro spotřebitele a pro ostatní subjekty. Některá ustanovení těchto VOP jsou však aplikovatelná pouze na vztahy se spotřebiteli. Některá ustanovení těchto VOP nejsou vůbec aplikovatelná ve vztazích se spotřebiteli. Ustanovení těchto VOP, která lze aplikovat pouze ve vztazích se spotřebiteli či ustanovení, která ve vztazích se spotřebiteli aplikovat nelze obsahují vždy příslušnou informaci o jejich aplikovatelnosti.</w:t>
      </w:r>
    </w:p>
    <w:p w14:paraId="5AE129DF" w14:textId="77777777" w:rsidR="00074317" w:rsidRDefault="00BB0A46">
      <w:pPr>
        <w:pStyle w:val="Bodytext10"/>
        <w:framePr w:w="5280" w:h="14462" w:hRule="exact" w:wrap="none" w:vAnchor="page" w:hAnchor="page" w:x="681" w:y="909"/>
        <w:jc w:val="center"/>
      </w:pPr>
      <w:bookmarkStart w:id="20" w:name="bookmark20"/>
      <w:r>
        <w:rPr>
          <w:b/>
          <w:bCs/>
        </w:rPr>
        <w:t>I</w:t>
      </w:r>
      <w:bookmarkEnd w:id="20"/>
      <w:r>
        <w:rPr>
          <w:b/>
          <w:bCs/>
        </w:rPr>
        <w:t>I.</w:t>
      </w:r>
    </w:p>
    <w:p w14:paraId="0B103C96" w14:textId="77777777" w:rsidR="00074317" w:rsidRDefault="00BB0A46">
      <w:pPr>
        <w:pStyle w:val="Bodytext10"/>
        <w:framePr w:w="5280" w:h="14462" w:hRule="exact" w:wrap="none" w:vAnchor="page" w:hAnchor="page" w:x="681" w:y="909"/>
        <w:spacing w:after="260"/>
        <w:jc w:val="center"/>
      </w:pPr>
      <w:r>
        <w:rPr>
          <w:b/>
          <w:bCs/>
        </w:rPr>
        <w:t>Kupní cena a platební podmínky</w:t>
      </w:r>
    </w:p>
    <w:p w14:paraId="08F1018A" w14:textId="77777777" w:rsidR="00074317" w:rsidRDefault="00BB0A46">
      <w:pPr>
        <w:pStyle w:val="Bodytext10"/>
        <w:framePr w:w="5280" w:h="14462" w:hRule="exact" w:wrap="none" w:vAnchor="page" w:hAnchor="page" w:x="681" w:y="909"/>
        <w:numPr>
          <w:ilvl w:val="0"/>
          <w:numId w:val="3"/>
        </w:numPr>
        <w:tabs>
          <w:tab w:val="left" w:pos="404"/>
        </w:tabs>
        <w:ind w:left="400" w:hanging="400"/>
        <w:jc w:val="both"/>
      </w:pPr>
      <w:bookmarkStart w:id="21" w:name="bookmark21"/>
      <w:bookmarkEnd w:id="21"/>
      <w:r>
        <w:t xml:space="preserve">Kupující je v souladu s </w:t>
      </w:r>
      <w:proofErr w:type="spellStart"/>
      <w:r>
        <w:t>ust</w:t>
      </w:r>
      <w:proofErr w:type="spellEnd"/>
      <w:r>
        <w:t xml:space="preserve">. § 2118 zák. č. 89/2012 Sb., občanský zákoník (dále jen </w:t>
      </w:r>
      <w:r>
        <w:rPr>
          <w:i/>
          <w:iCs/>
        </w:rPr>
        <w:t>„</w:t>
      </w:r>
      <w:proofErr w:type="spellStart"/>
      <w:r>
        <w:rPr>
          <w:i/>
          <w:iCs/>
        </w:rPr>
        <w:t>Obč.Z</w:t>
      </w:r>
      <w:proofErr w:type="spellEnd"/>
      <w:r>
        <w:rPr>
          <w:i/>
          <w:iCs/>
        </w:rPr>
        <w:t>.</w:t>
      </w:r>
      <w:r>
        <w:t>"), povinen zaplatit prodávajícímu kupní cenu, uvedenou v kupní smlouvě (objednávce) vozidla. Kupní cenou se pro účely právních vztahů mezi účastníky míní součet základní ceny vozidla, ceny vybavení, příslušenství a doplňků vozidla objednaných kupujícím, a případná daň z přidané hodnoty podle zák. č. 235/2004 Sb., o dani z přidané hodnoty, v platném a účinném znění, jakož i ostatních daní a poplatků stanovených platnými a účinnými právními předpisy ke dni vystavení daňového dokladu, které jsou spojeny s převodem vlastnického práva a uvedením vozidla do provozu.</w:t>
      </w:r>
    </w:p>
    <w:p w14:paraId="20D4C3B5" w14:textId="77777777" w:rsidR="00074317" w:rsidRDefault="00BB0A46">
      <w:pPr>
        <w:pStyle w:val="Bodytext10"/>
        <w:framePr w:w="5280" w:h="14462" w:hRule="exact" w:wrap="none" w:vAnchor="page" w:hAnchor="page" w:x="681" w:y="909"/>
        <w:numPr>
          <w:ilvl w:val="0"/>
          <w:numId w:val="3"/>
        </w:numPr>
        <w:tabs>
          <w:tab w:val="left" w:pos="404"/>
        </w:tabs>
        <w:ind w:left="400" w:hanging="400"/>
        <w:jc w:val="both"/>
      </w:pPr>
      <w:bookmarkStart w:id="22" w:name="bookmark22"/>
      <w:bookmarkEnd w:id="22"/>
      <w:r>
        <w:t xml:space="preserve">Kupní cena Vozidla byla vypočtena s ohledem na aktuální kurz stanovený ČNB jako kurz devizového trhu EUR/CZK ke dni podpisu smlouvy (dále jen „Výchozí kurz“). Pro případ, že se směnný kurz devizového trhu ČNB EUR/CZK platný ke dni zaslání výzvy k doplatku kupní ceny Prodávajícím Kupujícímu (dále jen „Aplikovatelný kurz“) zvýší v porovnání s Výchozím kurzem o více než 0,30 CZK/EUR, je Prodávající oprávněn překalkulovat, resp. zvýšit kupní cenu v CZK použitím Aplikovatelného kurzu a Kupující se v takovémto případě zavazuje uhradit kupní cenu takto Prodávajícím přepočtenou a se shora uvedeným postupem vyslovuje svůj souhlas. Pro případ, že se Aplikovatelný kurz sníží v porovnání s Výchozím kurzem o více než 0,30 CZK/EUR, je Kupující oprávněn zažádat o </w:t>
      </w:r>
      <w:proofErr w:type="spellStart"/>
      <w:r>
        <w:t>překalkulaci</w:t>
      </w:r>
      <w:proofErr w:type="spellEnd"/>
      <w:r>
        <w:t>, resp. snížení kupní ceny v CZK použitím Aplikovatelného kurzu a Prodávající se v takovémto případě zavazuje kupní cenu snížit a se shora uvedeným postupem vyslovuje svůj souhlas. Smluvní strany současně berou na vědomí a výslovně souhlasí s tím, že pro případ, že po uzavření objednávky dojde ke změně cenových nebo jiných podmínek, které stanoví výrobce vozidla (včetně změn modelového roku, změn cen a struktury výbavy, vydání nového ceníku či obecného zvýšení cen), je prodávající oprávněn jednostranně překalkulovat, resp. zvýšit kupní cenu oproti ceně indikované v objednávce a kupující se v takovémto případě zavazuje uhradit kupní cenu takto prodávajícím přepočtenou, přičemž kupující současně se shora uvedeným postupem vyslovuje svůj souhlas. V případě, že bude kupní cena</w:t>
      </w:r>
    </w:p>
    <w:p w14:paraId="1D64AF8D" w14:textId="77777777" w:rsidR="00074317" w:rsidRDefault="00BB0A46">
      <w:pPr>
        <w:pStyle w:val="Bodytext10"/>
        <w:framePr w:w="4872" w:h="14150" w:hRule="exact" w:wrap="none" w:vAnchor="page" w:hAnchor="page" w:x="6518" w:y="943"/>
        <w:ind w:left="400"/>
        <w:jc w:val="both"/>
      </w:pPr>
      <w:r>
        <w:t>navýšena o více než 5 % je kupující spotřebitel i podnikatel oprávněn od kupní smlouvy odstoupit</w:t>
      </w:r>
    </w:p>
    <w:p w14:paraId="3AAF81ED" w14:textId="77777777" w:rsidR="00074317" w:rsidRDefault="00BB0A46">
      <w:pPr>
        <w:pStyle w:val="Bodytext10"/>
        <w:framePr w:w="4872" w:h="14150" w:hRule="exact" w:wrap="none" w:vAnchor="page" w:hAnchor="page" w:x="6518" w:y="943"/>
        <w:jc w:val="both"/>
      </w:pPr>
      <w:r>
        <w:t xml:space="preserve">Kupující je povinen zaplatit kupní cenu za dodání vozidla způsobem sjednaným v kupní smlouvě. Kupní cena se hradí zpravidla ve dvou platbách. Splatnost a výše první části kupní ceny (tzv. záloha) bude ujednána v kupní smlouvě (dále též jako </w:t>
      </w:r>
      <w:r>
        <w:rPr>
          <w:i/>
          <w:iCs/>
        </w:rPr>
        <w:t>„záloha“</w:t>
      </w:r>
      <w:r>
        <w:t xml:space="preserve"> nebo </w:t>
      </w:r>
      <w:r>
        <w:rPr>
          <w:i/>
          <w:iCs/>
        </w:rPr>
        <w:t>„zálohová platba“).</w:t>
      </w:r>
      <w:r>
        <w:t xml:space="preserve"> Nebude-li splatnost první části kupní ceny a její výše ujednána v kupní smlouvě, platí, že kupující je povinen zaplatit první část kupní ceny ve výši 10 % z celkové kupní ceny ve lhůtě do 10 dnů od uzavření kupní smlouvy. Splatnost druhé části kupní ceny (doplatku) nastane uplynutím 10 dnů od doručení výzvy k doplacení kupní ceny ze strany prodávajícího k rukám kupujícího. Výzva k doplacení kupní ceny bude kupujícímu zaslána emailem anebo doporučeně. Výzva k doplacení kupní ceny nebude kupujícímu zaslána dříve, než bude vozidlo fyzicky dodáno výrobcem na adresu provozovny prodávajícího.</w:t>
      </w:r>
    </w:p>
    <w:p w14:paraId="7A18226F" w14:textId="77777777" w:rsidR="00074317" w:rsidRDefault="00BB0A46">
      <w:pPr>
        <w:pStyle w:val="Bodytext10"/>
        <w:framePr w:w="4872" w:h="14150" w:hRule="exact" w:wrap="none" w:vAnchor="page" w:hAnchor="page" w:x="6518" w:y="943"/>
        <w:jc w:val="both"/>
      </w:pPr>
      <w:r>
        <w:t xml:space="preserve">Prodávající uplatni právo na zaplacení kupní ceny vystavením daňového dokladu, anebo výzvou k zaplacení kupní ceny (např. vystavením a doručením zálohové faktury). Daňové doklady anebo výzva k zaplacení budou kupujícímu buď osobně předány, nebo zaslány prostřednictvím poskytovatele poštovních služeb na adresu uvedenou v kupní smlouvě </w:t>
      </w:r>
      <w:r>
        <w:rPr>
          <w:i/>
          <w:iCs/>
        </w:rPr>
        <w:t>(objednávce),</w:t>
      </w:r>
      <w:r>
        <w:t xml:space="preserve"> nebo odeslány na e-mail kupujícího.</w:t>
      </w:r>
    </w:p>
    <w:p w14:paraId="0AEDE527" w14:textId="77777777" w:rsidR="00074317" w:rsidRDefault="00BB0A46">
      <w:pPr>
        <w:pStyle w:val="Bodytext10"/>
        <w:framePr w:w="4872" w:h="14150" w:hRule="exact" w:wrap="none" w:vAnchor="page" w:hAnchor="page" w:x="6518" w:y="943"/>
        <w:jc w:val="both"/>
      </w:pPr>
      <w:r>
        <w:t xml:space="preserve">Povinnost k zaplacení kupní ceny se má v souladu s </w:t>
      </w:r>
      <w:proofErr w:type="spellStart"/>
      <w:r>
        <w:t>ust</w:t>
      </w:r>
      <w:proofErr w:type="spellEnd"/>
      <w:r>
        <w:t>. § 1957 odst.</w:t>
      </w:r>
    </w:p>
    <w:p w14:paraId="637CC123" w14:textId="77777777" w:rsidR="00074317" w:rsidRDefault="00BB0A46">
      <w:pPr>
        <w:pStyle w:val="Bodytext10"/>
        <w:framePr w:w="4872" w:h="14150" w:hRule="exact" w:wrap="none" w:vAnchor="page" w:hAnchor="page" w:x="6518" w:y="943"/>
        <w:jc w:val="both"/>
      </w:pPr>
      <w:r>
        <w:t xml:space="preserve">1 </w:t>
      </w:r>
      <w:proofErr w:type="spellStart"/>
      <w:r>
        <w:t>Obč.Z</w:t>
      </w:r>
      <w:proofErr w:type="spellEnd"/>
      <w:r>
        <w:t>. za splněnou připsáním celé částky kupní ceny na účet poskytovatele platebních služeb prodávajícího.</w:t>
      </w:r>
    </w:p>
    <w:p w14:paraId="440A4FDB" w14:textId="77777777" w:rsidR="00074317" w:rsidRDefault="00BB0A46">
      <w:pPr>
        <w:pStyle w:val="Bodytext10"/>
        <w:framePr w:w="4872" w:h="14150" w:hRule="exact" w:wrap="none" w:vAnchor="page" w:hAnchor="page" w:x="6518" w:y="943"/>
        <w:jc w:val="both"/>
      </w:pPr>
      <w:r>
        <w:t xml:space="preserve">Smluvní strany jsou srozuměny se skutečností, že prodávající je povinným subjektem k dani z přidané hodnoty a uvedená kupní cena v kupní smlouvě (objednávce) </w:t>
      </w:r>
      <w:proofErr w:type="spellStart"/>
      <w:r>
        <w:t>ust</w:t>
      </w:r>
      <w:proofErr w:type="spellEnd"/>
      <w:r>
        <w:t xml:space="preserve">. čl. II odst. 1., 2. těchto VOP bude vždy navýšena o příslušnou částku odpovídající dani z přidané hodnoty, dle příslušného platného a účinného daňového předpisu, není-li již kupní cena v objednávce explicitně uvedena s touto daní. Daňový doklad se má dle těchto VOP za doručený, resp. práva a povinnosti vyplývající účastníkům </w:t>
      </w:r>
      <w:proofErr w:type="spellStart"/>
      <w:r>
        <w:t>zjeho</w:t>
      </w:r>
      <w:proofErr w:type="spellEnd"/>
      <w:r>
        <w:t xml:space="preserve"> doručení vznikají, je-li doručen způsobem ujednaným smluvními stranami v těchto VOP pro vzájemné doručování, nebo je-li ze strany kupujícího osobně převzat, což kupující potvrdí podpisem na předmětném daňovém dokladu.</w:t>
      </w:r>
    </w:p>
    <w:p w14:paraId="5AA64CDD" w14:textId="77777777" w:rsidR="00074317" w:rsidRDefault="00BB0A46">
      <w:pPr>
        <w:pStyle w:val="Bodytext10"/>
        <w:framePr w:w="4872" w:h="14150" w:hRule="exact" w:wrap="none" w:vAnchor="page" w:hAnchor="page" w:x="6518" w:y="943"/>
        <w:spacing w:after="200"/>
        <w:jc w:val="both"/>
      </w:pPr>
      <w:r>
        <w:rPr>
          <w:b/>
          <w:bCs/>
        </w:rPr>
        <w:t xml:space="preserve">Dostane-li se kupující s úhradou kupní ceny dle </w:t>
      </w:r>
      <w:proofErr w:type="spellStart"/>
      <w:r>
        <w:rPr>
          <w:b/>
          <w:bCs/>
        </w:rPr>
        <w:t>ust</w:t>
      </w:r>
      <w:proofErr w:type="spellEnd"/>
      <w:r>
        <w:rPr>
          <w:b/>
          <w:bCs/>
        </w:rPr>
        <w:t xml:space="preserve">. čl. II. odst. 2 těchto VOP do prodlení, je povinen podle </w:t>
      </w:r>
      <w:proofErr w:type="spellStart"/>
      <w:r>
        <w:rPr>
          <w:b/>
          <w:bCs/>
        </w:rPr>
        <w:t>ust</w:t>
      </w:r>
      <w:proofErr w:type="spellEnd"/>
      <w:r>
        <w:rPr>
          <w:b/>
          <w:bCs/>
        </w:rPr>
        <w:t xml:space="preserve">. § 2048 </w:t>
      </w:r>
      <w:proofErr w:type="spellStart"/>
      <w:r>
        <w:rPr>
          <w:b/>
          <w:bCs/>
        </w:rPr>
        <w:t>Obč.Z</w:t>
      </w:r>
      <w:proofErr w:type="spellEnd"/>
      <w:r>
        <w:rPr>
          <w:b/>
          <w:bCs/>
        </w:rPr>
        <w:t>, zaplatit prodávající smluvní pokutu ve výši 0,05 % denně z dlužné částky.</w:t>
      </w:r>
    </w:p>
    <w:p w14:paraId="38DF9EFD" w14:textId="77777777" w:rsidR="00074317" w:rsidRDefault="00BB0A46">
      <w:pPr>
        <w:pStyle w:val="Bodytext10"/>
        <w:framePr w:w="4872" w:h="14150" w:hRule="exact" w:wrap="none" w:vAnchor="page" w:hAnchor="page" w:x="6518" w:y="943"/>
        <w:jc w:val="center"/>
      </w:pPr>
      <w:r>
        <w:rPr>
          <w:b/>
          <w:bCs/>
        </w:rPr>
        <w:t>III.</w:t>
      </w:r>
    </w:p>
    <w:p w14:paraId="75E32E8B" w14:textId="77777777" w:rsidR="00074317" w:rsidRDefault="00BB0A46">
      <w:pPr>
        <w:pStyle w:val="Bodytext10"/>
        <w:framePr w:w="4872" w:h="14150" w:hRule="exact" w:wrap="none" w:vAnchor="page" w:hAnchor="page" w:x="6518" w:y="943"/>
        <w:spacing w:after="200"/>
        <w:ind w:firstLine="620"/>
        <w:jc w:val="both"/>
      </w:pPr>
      <w:r>
        <w:rPr>
          <w:b/>
          <w:bCs/>
        </w:rPr>
        <w:t>Převod vlastnického práva, převzetí vozidla</w:t>
      </w:r>
    </w:p>
    <w:p w14:paraId="277D7426" w14:textId="77777777" w:rsidR="00074317" w:rsidRDefault="00BB0A46">
      <w:pPr>
        <w:pStyle w:val="Bodytext10"/>
        <w:framePr w:w="4872" w:h="14150" w:hRule="exact" w:wrap="none" w:vAnchor="page" w:hAnchor="page" w:x="6518" w:y="943"/>
        <w:jc w:val="both"/>
      </w:pPr>
      <w:r>
        <w:t xml:space="preserve">Prodávající je povinen odevzdat vozidlo kupujícímu ve lhůtě přiměřené s přihlédnutím k aktuální situaci na daném relevantním trhu a s přihlédnutím k aktuálním možnostem výrobce. Případná lhůta k odevzdání vozidla uvedená v kupní smlouvě </w:t>
      </w:r>
      <w:r>
        <w:rPr>
          <w:i/>
          <w:iCs/>
        </w:rPr>
        <w:t>(objednávce)</w:t>
      </w:r>
      <w:r>
        <w:t xml:space="preserve"> je konstituována pouze jako orientační. Kupující bere na vědomí, že odchylka v termínu dodání bývá běžně v rozmezí až 6 měsíců. Platí, že lhůta k dodání není přiměřenou dříve než dnem/měsícem uvedeným jako předpokládaným v kupní smlouvě </w:t>
      </w:r>
      <w:r>
        <w:rPr>
          <w:i/>
          <w:iCs/>
        </w:rPr>
        <w:t xml:space="preserve">(objednávce). </w:t>
      </w:r>
      <w:r>
        <w:t xml:space="preserve">Kupující podnikatel se v souladu s </w:t>
      </w:r>
      <w:proofErr w:type="spellStart"/>
      <w:r>
        <w:t>ust</w:t>
      </w:r>
      <w:proofErr w:type="spellEnd"/>
      <w:r>
        <w:t xml:space="preserve">. § 2898 </w:t>
      </w:r>
      <w:proofErr w:type="spellStart"/>
      <w:r>
        <w:t>Obč.Z</w:t>
      </w:r>
      <w:proofErr w:type="spellEnd"/>
      <w:r>
        <w:t>. vzdává svého práva na případnou náhradu škody způsobenou prodlením prodávajícího s dodáním vozidla. Pro případ prodlení prodávajícího s dodáním vozidla kupujícímu Spotřebiteli je prodávající povinen zaplatit kupujícímu jednorázovou smluvní pokutu ve výši 5 000,- Kč. Kupující dále bere na vědomí a souhlasí s tím, že skutečný termín dodání Vozidla, který se může od původního termínu dodání lišit, může mít rovněž vliv na jednotlivé položky výbavy vozidla či na jeho technické, funkční či estetické charakteristiky, a to zejména v důsledku změn ve výrobě či v důsledku přechodu na nový modelový rok, přičemž kupující s tímto souhlasí a bere tuto skutečnost výslovně na vědomí. Některé položky výbavy vozidla či některé jeho technické, funkční či estetické charakteristiky mohou být v důsledku shora uvedeného změněny, nemusejí být ke dni skutečného dodání vozidla dostupné či mohou být modifikovány anebo nahrazeny, s čímž kupující vyslovuje svůj souhlas a bere tuto skutečnost na vědomí.</w:t>
      </w:r>
    </w:p>
    <w:p w14:paraId="12DD8DC7" w14:textId="77777777" w:rsidR="00074317" w:rsidRDefault="00BB0A46">
      <w:pPr>
        <w:pStyle w:val="Headerorfooter10"/>
        <w:framePr w:wrap="none" w:vAnchor="page" w:hAnchor="page" w:x="11265" w:y="15501"/>
        <w:rPr>
          <w:sz w:val="18"/>
          <w:szCs w:val="18"/>
        </w:rPr>
      </w:pPr>
      <w:r>
        <w:rPr>
          <w:rFonts w:ascii="Times New Roman" w:eastAsia="Times New Roman" w:hAnsi="Times New Roman" w:cs="Times New Roman"/>
          <w:sz w:val="18"/>
          <w:szCs w:val="18"/>
        </w:rPr>
        <w:t>1</w:t>
      </w:r>
    </w:p>
    <w:p w14:paraId="5894D911" w14:textId="77777777" w:rsidR="00074317" w:rsidRDefault="00074317">
      <w:pPr>
        <w:spacing w:line="1" w:lineRule="exact"/>
        <w:sectPr w:rsidR="00074317">
          <w:pgSz w:w="11900" w:h="16840"/>
          <w:pgMar w:top="360" w:right="360" w:bottom="360" w:left="360" w:header="0" w:footer="3" w:gutter="0"/>
          <w:cols w:space="720"/>
          <w:noEndnote/>
          <w:docGrid w:linePitch="360"/>
        </w:sectPr>
      </w:pPr>
    </w:p>
    <w:p w14:paraId="61584FD8" w14:textId="77777777" w:rsidR="00074317" w:rsidRDefault="00074317">
      <w:pPr>
        <w:spacing w:line="1" w:lineRule="exact"/>
      </w:pPr>
    </w:p>
    <w:p w14:paraId="13FBF62D" w14:textId="77777777" w:rsidR="00074317" w:rsidRDefault="00BB0A46">
      <w:pPr>
        <w:pStyle w:val="Bodytext10"/>
        <w:framePr w:w="5270" w:h="14448" w:hRule="exact" w:wrap="none" w:vAnchor="page" w:hAnchor="page" w:x="681" w:y="943"/>
        <w:numPr>
          <w:ilvl w:val="0"/>
          <w:numId w:val="4"/>
        </w:numPr>
        <w:tabs>
          <w:tab w:val="left" w:pos="404"/>
        </w:tabs>
        <w:spacing w:after="200"/>
        <w:ind w:left="420" w:hanging="420"/>
        <w:jc w:val="both"/>
      </w:pPr>
      <w:bookmarkStart w:id="23" w:name="bookmark23"/>
      <w:bookmarkEnd w:id="23"/>
      <w:r>
        <w:t>Kupující je povinen převzít vozidlo v sídle Či provozně prodávajícího, a to po předchozí výzvě prodávajícího, která může být učiněna telefonicky, e-mailem či písemně prostřednictvím poskytovatele poštovních služeb. Prodávají má provozovnu na adrese Na Výsluní 33, 326 00 Plzeň.</w:t>
      </w:r>
    </w:p>
    <w:p w14:paraId="441FD49E" w14:textId="0F7FC821" w:rsidR="00074317" w:rsidRDefault="00BB0A46">
      <w:pPr>
        <w:pStyle w:val="Bodytext10"/>
        <w:framePr w:w="5270" w:h="14448" w:hRule="exact" w:wrap="none" w:vAnchor="page" w:hAnchor="page" w:x="681" w:y="943"/>
        <w:numPr>
          <w:ilvl w:val="0"/>
          <w:numId w:val="4"/>
        </w:numPr>
        <w:tabs>
          <w:tab w:val="left" w:pos="404"/>
        </w:tabs>
        <w:ind w:left="420" w:hanging="420"/>
        <w:jc w:val="both"/>
      </w:pPr>
      <w:bookmarkStart w:id="24" w:name="bookmark24"/>
      <w:bookmarkEnd w:id="24"/>
      <w:r>
        <w:t xml:space="preserve">Kupující je povinen </w:t>
      </w:r>
      <w:r w:rsidR="00A001A9">
        <w:t>převzít</w:t>
      </w:r>
      <w:r>
        <w:t xml:space="preserve"> vozidlo ve lhůtě do 10 dnů ode dne, kdy byl prodávajícím k převzetí vyzván. V právních vztazích mezi kupujícím a prodávajícím se neužije </w:t>
      </w:r>
      <w:proofErr w:type="spellStart"/>
      <w:r>
        <w:t>ust</w:t>
      </w:r>
      <w:proofErr w:type="spellEnd"/>
      <w:r>
        <w:t xml:space="preserve">. § 2050 </w:t>
      </w:r>
      <w:proofErr w:type="spellStart"/>
      <w:r>
        <w:t>Obč.Z</w:t>
      </w:r>
      <w:proofErr w:type="spellEnd"/>
      <w:r>
        <w:t xml:space="preserve">. a prodávající má bez ohledu na plnění smluvní pokuty dle tohoto ustanovení právo na plnou náhradu škody. </w:t>
      </w:r>
      <w:r>
        <w:rPr>
          <w:b/>
          <w:bCs/>
        </w:rPr>
        <w:t xml:space="preserve">Pro případ prodlení kupujícího s převzetím vozidla vzniká závazek prodávajícího vozidlo uskladnit a tomu odpovídající závazek kupujícího zaplatit podle </w:t>
      </w:r>
      <w:proofErr w:type="spellStart"/>
      <w:r>
        <w:rPr>
          <w:b/>
          <w:bCs/>
        </w:rPr>
        <w:t>ust</w:t>
      </w:r>
      <w:proofErr w:type="spellEnd"/>
      <w:r>
        <w:rPr>
          <w:b/>
          <w:bCs/>
        </w:rPr>
        <w:t xml:space="preserve"> § 2159 odst. 2 </w:t>
      </w:r>
      <w:proofErr w:type="spellStart"/>
      <w:r>
        <w:rPr>
          <w:b/>
          <w:bCs/>
        </w:rPr>
        <w:t>Obč.Z</w:t>
      </w:r>
      <w:proofErr w:type="spellEnd"/>
      <w:r>
        <w:rPr>
          <w:b/>
          <w:bCs/>
        </w:rPr>
        <w:t xml:space="preserve">. za uskladněni prodávajícímu úplatu ve výši 100,- Kč denně. </w:t>
      </w:r>
      <w:r>
        <w:t>Nebezpečí vzniku škody na vozidle v případě dle věty předchozí tíží kupujícího. V případě prodlení dle věty předchozí má prodávající též právo od kupní smlouvy odstoupit.</w:t>
      </w:r>
    </w:p>
    <w:p w14:paraId="142C9B0D" w14:textId="77777777" w:rsidR="00074317" w:rsidRDefault="00BB0A46">
      <w:pPr>
        <w:pStyle w:val="Bodytext10"/>
        <w:framePr w:w="5270" w:h="14448" w:hRule="exact" w:wrap="none" w:vAnchor="page" w:hAnchor="page" w:x="681" w:y="943"/>
        <w:numPr>
          <w:ilvl w:val="0"/>
          <w:numId w:val="4"/>
        </w:numPr>
        <w:tabs>
          <w:tab w:val="left" w:pos="404"/>
        </w:tabs>
        <w:ind w:left="420" w:hanging="420"/>
        <w:jc w:val="both"/>
      </w:pPr>
      <w:bookmarkStart w:id="25" w:name="bookmark25"/>
      <w:bookmarkEnd w:id="25"/>
      <w:r>
        <w:t xml:space="preserve">V případě, že vozidlo nebude možné z jakýchkoli důvodů kupujícímu odevzdat a převést na něho vlastnické právo k vozidlu, oznámí tuto skutečnost prodávající kupujícímu písemně prostřednictvím poskytovatele poštovních služeb nebo e-mailem na elektronickou adresu kupujícího, s tím, že neprojeví-li kupující ve lhůtě do 14 dnů ode dne doručení tohoto připíšu vůli k novaci uzavřené kupní smlouvy </w:t>
      </w:r>
      <w:r>
        <w:rPr>
          <w:i/>
          <w:iCs/>
        </w:rPr>
        <w:t>(objednávky)</w:t>
      </w:r>
      <w:r>
        <w:t xml:space="preserve"> co do předmětu plnění </w:t>
      </w:r>
      <w:r>
        <w:rPr>
          <w:i/>
          <w:iCs/>
        </w:rPr>
        <w:t>(tj. neprojeví-li vůli ke koupi jiného vozidla),</w:t>
      </w:r>
      <w:r>
        <w:t xml:space="preserve"> kupní smlouva </w:t>
      </w:r>
      <w:r>
        <w:rPr>
          <w:i/>
          <w:iCs/>
        </w:rPr>
        <w:t>(objednávka)</w:t>
      </w:r>
      <w:r>
        <w:t xml:space="preserve"> bez dalšího zaniká. Zanikne-li kupní smlouva z důvodů ve větě předchozí, jsou si smluvní strany povinny vrátit zpět vše, co bylo plněno dle kupní smlouvy, s tím, že kupující bere na vědomí a výslovně souhlasí s tím, že mu bude vrácena zpět eventuelně poskytnutá záloha dle </w:t>
      </w:r>
      <w:proofErr w:type="spellStart"/>
      <w:r>
        <w:t>ust</w:t>
      </w:r>
      <w:proofErr w:type="spellEnd"/>
      <w:r>
        <w:t>. čl. II těchto VOP bez jakéhokoli příslušenství.</w:t>
      </w:r>
    </w:p>
    <w:p w14:paraId="0E44F98C" w14:textId="77777777" w:rsidR="00074317" w:rsidRDefault="00BB0A46">
      <w:pPr>
        <w:pStyle w:val="Bodytext10"/>
        <w:framePr w:w="5270" w:h="14448" w:hRule="exact" w:wrap="none" w:vAnchor="page" w:hAnchor="page" w:x="681" w:y="943"/>
        <w:numPr>
          <w:ilvl w:val="0"/>
          <w:numId w:val="4"/>
        </w:numPr>
        <w:tabs>
          <w:tab w:val="left" w:pos="404"/>
        </w:tabs>
        <w:ind w:left="420" w:hanging="420"/>
        <w:jc w:val="both"/>
      </w:pPr>
      <w:bookmarkStart w:id="26" w:name="bookmark26"/>
      <w:bookmarkEnd w:id="26"/>
      <w:r>
        <w:t xml:space="preserve">Podle </w:t>
      </w:r>
      <w:proofErr w:type="spellStart"/>
      <w:r>
        <w:t>ust</w:t>
      </w:r>
      <w:proofErr w:type="spellEnd"/>
      <w:r>
        <w:t xml:space="preserve">. § 2132 </w:t>
      </w:r>
      <w:proofErr w:type="spellStart"/>
      <w:r>
        <w:t>Obč.Z</w:t>
      </w:r>
      <w:proofErr w:type="spellEnd"/>
      <w:r>
        <w:t xml:space="preserve">. platí, že vlastnické právo k vozidlu nabývá kupující až úplným zaplacením kupní ceny. Nebezpečí vzniku škody na vozidle přechází podle </w:t>
      </w:r>
      <w:proofErr w:type="spellStart"/>
      <w:r>
        <w:t>ust</w:t>
      </w:r>
      <w:proofErr w:type="spellEnd"/>
      <w:r>
        <w:t xml:space="preserve">. § 2121 </w:t>
      </w:r>
      <w:proofErr w:type="spellStart"/>
      <w:r>
        <w:t>Obč.Z</w:t>
      </w:r>
      <w:proofErr w:type="spellEnd"/>
      <w:r>
        <w:t>. na kupujícího okamžikem převzetí vozidla od prodávajícího, či okamžikem nepřevezme-li kupující vozidlo, ač mu s ním prodávající umožnil nakládat, tj. dostane-li se kupující do prodlení s převzetím vozidla.</w:t>
      </w:r>
    </w:p>
    <w:p w14:paraId="07262FB4" w14:textId="77777777" w:rsidR="00074317" w:rsidRDefault="00BB0A46">
      <w:pPr>
        <w:pStyle w:val="Bodytext10"/>
        <w:framePr w:w="5270" w:h="14448" w:hRule="exact" w:wrap="none" w:vAnchor="page" w:hAnchor="page" w:x="681" w:y="943"/>
        <w:numPr>
          <w:ilvl w:val="0"/>
          <w:numId w:val="4"/>
        </w:numPr>
        <w:tabs>
          <w:tab w:val="left" w:pos="404"/>
        </w:tabs>
        <w:ind w:left="420" w:hanging="420"/>
        <w:jc w:val="both"/>
      </w:pPr>
      <w:bookmarkStart w:id="27" w:name="bookmark27"/>
      <w:bookmarkEnd w:id="27"/>
      <w:r>
        <w:t>Pro případ, že kupující prodlévá s převzetím věci či s placením kupní ceny má prodávající mimo jiná práva dle těchto VOP též právo vozidlo po předchozím upozornění na účet kupujícího vhodným způsobem prodat.</w:t>
      </w:r>
    </w:p>
    <w:p w14:paraId="5F00B693" w14:textId="77777777" w:rsidR="00074317" w:rsidRDefault="00BB0A46">
      <w:pPr>
        <w:pStyle w:val="Bodytext10"/>
        <w:framePr w:w="5270" w:h="14448" w:hRule="exact" w:wrap="none" w:vAnchor="page" w:hAnchor="page" w:x="681" w:y="943"/>
        <w:numPr>
          <w:ilvl w:val="0"/>
          <w:numId w:val="4"/>
        </w:numPr>
        <w:tabs>
          <w:tab w:val="left" w:pos="404"/>
        </w:tabs>
        <w:ind w:left="420" w:hanging="420"/>
        <w:jc w:val="both"/>
      </w:pPr>
      <w:bookmarkStart w:id="28" w:name="bookmark28"/>
      <w:bookmarkEnd w:id="28"/>
      <w:r>
        <w:t xml:space="preserve">Kupující bere na vědomí, že výrobce vozidla může během dodací doby vozidlo konstrukčně měnit, a to např. odchýlit se od barevného odstínu zvolené </w:t>
      </w:r>
      <w:proofErr w:type="gramStart"/>
      <w:r>
        <w:t>barvy,</w:t>
      </w:r>
      <w:proofErr w:type="gramEnd"/>
      <w:r>
        <w:t xml:space="preserve"> atp.</w:t>
      </w:r>
    </w:p>
    <w:p w14:paraId="3969095B" w14:textId="77777777" w:rsidR="00074317" w:rsidRDefault="00BB0A46">
      <w:pPr>
        <w:pStyle w:val="Bodytext10"/>
        <w:framePr w:w="5270" w:h="14448" w:hRule="exact" w:wrap="none" w:vAnchor="page" w:hAnchor="page" w:x="681" w:y="943"/>
        <w:numPr>
          <w:ilvl w:val="0"/>
          <w:numId w:val="4"/>
        </w:numPr>
        <w:tabs>
          <w:tab w:val="left" w:pos="404"/>
        </w:tabs>
        <w:spacing w:after="200"/>
        <w:ind w:left="420" w:hanging="420"/>
        <w:jc w:val="both"/>
      </w:pPr>
      <w:bookmarkStart w:id="29" w:name="bookmark29"/>
      <w:bookmarkEnd w:id="29"/>
      <w:r>
        <w:t xml:space="preserve">Změnu osoby vlastníka a/anebo provozovatele v registru vozidel zajišťuje prodávající. Pro případ, že bude zápis či změnu v registru vozidel dle předchozí věty zajišťovat kupující, je kupující povinen příslušnou změnu zajistit ve lhůtě do 10 dnů ode dne převzetí vozidla a tuto skutečnost prodávajícímu doložit. Kupující je povinen doložit provedení příslušného zápisu či změny v registru vozidel zasláním kopie/skenu OSVĚDČENÍ O REGISTRACI VOZIDLA na e-mail prodávajícího </w:t>
      </w:r>
      <w:hyperlink r:id="rId12" w:history="1">
        <w:r>
          <w:t>grenadier@dajbych.cz</w:t>
        </w:r>
      </w:hyperlink>
      <w:r>
        <w:t>, a to ve lhůtě do 14 dnů ode dne převzetí vozidla. Pro případ prodlení kupujícího se zajištěním zápisu či změny osoby vlastníka a/anebo provozovatele v registru vozidel, anebo s doložením této skutečnosti prodávajícímu dle tohoto odstavce, je kupující povinen zaplatit prodávajícímu smluvní pokutu ve výši 500,- Kč denně.</w:t>
      </w:r>
    </w:p>
    <w:p w14:paraId="0D98CDBD" w14:textId="77777777" w:rsidR="00074317" w:rsidRDefault="00BB0A46">
      <w:pPr>
        <w:pStyle w:val="Heading310"/>
        <w:framePr w:w="5270" w:h="14448" w:hRule="exact" w:wrap="none" w:vAnchor="page" w:hAnchor="page" w:x="681" w:y="943"/>
        <w:numPr>
          <w:ilvl w:val="0"/>
          <w:numId w:val="5"/>
        </w:numPr>
        <w:spacing w:line="257" w:lineRule="auto"/>
      </w:pPr>
      <w:bookmarkStart w:id="30" w:name="bookmark32"/>
      <w:bookmarkStart w:id="31" w:name="bookmark30"/>
      <w:bookmarkStart w:id="32" w:name="bookmark31"/>
      <w:bookmarkStart w:id="33" w:name="bookmark33"/>
      <w:bookmarkEnd w:id="30"/>
      <w:r>
        <w:br/>
        <w:t>Odstoupení od kupní smlouvy</w:t>
      </w:r>
      <w:bookmarkEnd w:id="31"/>
      <w:bookmarkEnd w:id="32"/>
      <w:bookmarkEnd w:id="33"/>
    </w:p>
    <w:p w14:paraId="3A1991CB" w14:textId="77777777" w:rsidR="00074317" w:rsidRDefault="00BB0A46">
      <w:pPr>
        <w:pStyle w:val="Bodytext10"/>
        <w:framePr w:w="5270" w:h="14448" w:hRule="exact" w:wrap="none" w:vAnchor="page" w:hAnchor="page" w:x="681" w:y="943"/>
        <w:numPr>
          <w:ilvl w:val="0"/>
          <w:numId w:val="6"/>
        </w:numPr>
        <w:tabs>
          <w:tab w:val="left" w:pos="404"/>
        </w:tabs>
        <w:ind w:left="420" w:hanging="420"/>
        <w:jc w:val="both"/>
      </w:pPr>
      <w:bookmarkStart w:id="34" w:name="bookmark34"/>
      <w:bookmarkEnd w:id="34"/>
      <w:r>
        <w:t>Od kupní smlouvy lze odstoupit pouze z taxativně vymezených důvodů v zákoně, či z důvodů uvedených v těchto VOP.</w:t>
      </w:r>
    </w:p>
    <w:p w14:paraId="01FAF330" w14:textId="77777777" w:rsidR="00074317" w:rsidRDefault="00BB0A46">
      <w:pPr>
        <w:pStyle w:val="Bodytext10"/>
        <w:framePr w:w="5270" w:h="14448" w:hRule="exact" w:wrap="none" w:vAnchor="page" w:hAnchor="page" w:x="681" w:y="943"/>
        <w:numPr>
          <w:ilvl w:val="0"/>
          <w:numId w:val="6"/>
        </w:numPr>
        <w:tabs>
          <w:tab w:val="left" w:pos="404"/>
        </w:tabs>
        <w:ind w:left="420" w:hanging="420"/>
        <w:jc w:val="both"/>
      </w:pPr>
      <w:bookmarkStart w:id="35" w:name="bookmark35"/>
      <w:bookmarkEnd w:id="35"/>
      <w:r>
        <w:t xml:space="preserve">Dostane-li se kupující do prodlení s úhradou kupní ceny dle </w:t>
      </w:r>
      <w:proofErr w:type="spellStart"/>
      <w:r>
        <w:t>ust</w:t>
      </w:r>
      <w:proofErr w:type="spellEnd"/>
      <w:r>
        <w:t xml:space="preserve">. čl. II. těchto VOP, je prodávající oprávněn po uplynutí dodatečné přiměřené lhůty od kupní smlouvy </w:t>
      </w:r>
      <w:r>
        <w:rPr>
          <w:i/>
          <w:iCs/>
        </w:rPr>
        <w:t>(objednávky)</w:t>
      </w:r>
      <w:r>
        <w:t xml:space="preserve"> odstoupit. Platí, že přiměřenou lhůtou je lhůta 10 dnů. </w:t>
      </w:r>
      <w:r>
        <w:rPr>
          <w:b/>
          <w:bCs/>
        </w:rPr>
        <w:t>Pro případ nastanou-</w:t>
      </w:r>
      <w:proofErr w:type="spellStart"/>
      <w:r>
        <w:rPr>
          <w:b/>
          <w:bCs/>
        </w:rPr>
        <w:t>Ii</w:t>
      </w:r>
      <w:proofErr w:type="spellEnd"/>
      <w:r>
        <w:rPr>
          <w:b/>
          <w:bCs/>
        </w:rPr>
        <w:t xml:space="preserve"> skutkové důvody pro odstoupení prodávajícího od kupní smlouvy dle věty předchozí, jež budou spočívat v porušení povinností z kupní smlouvy a těchto podmínek kupujícím a prodávající z takových důvodů skutečně od smlouvy odstoupí, zavazuje se kupující zaplatit prodávajícímu smluvní pokutu ve</w:t>
      </w:r>
    </w:p>
    <w:p w14:paraId="13503522" w14:textId="77777777" w:rsidR="00074317" w:rsidRDefault="00BB0A46">
      <w:pPr>
        <w:pStyle w:val="Bodytext10"/>
        <w:framePr w:w="5251" w:h="14419" w:hRule="exact" w:wrap="none" w:vAnchor="page" w:hAnchor="page" w:x="6139" w:y="933"/>
        <w:spacing w:after="200"/>
        <w:ind w:left="420" w:firstLine="20"/>
        <w:jc w:val="both"/>
      </w:pPr>
      <w:r>
        <w:rPr>
          <w:b/>
          <w:bCs/>
        </w:rPr>
        <w:t xml:space="preserve">výši celé zálohové platby (nejvýše však ve výši 30 % z kupní ceny). </w:t>
      </w:r>
      <w:r>
        <w:t xml:space="preserve">Ve smyslu </w:t>
      </w:r>
      <w:proofErr w:type="spellStart"/>
      <w:r>
        <w:t>ust</w:t>
      </w:r>
      <w:proofErr w:type="spellEnd"/>
      <w:r>
        <w:t xml:space="preserve">. § 2005 odst. 2. </w:t>
      </w:r>
      <w:proofErr w:type="spellStart"/>
      <w:r>
        <w:t>Obč.Z</w:t>
      </w:r>
      <w:proofErr w:type="spellEnd"/>
      <w:r>
        <w:t>. platí, že odstoupení od smlouvy se nedotýká nároku na zaplacení smluvní pokuty. Zaplacení smluvní pokuty dle tohoto ustanovení se nedotýká případného práva na plnou náhradu případné škody.</w:t>
      </w:r>
    </w:p>
    <w:p w14:paraId="071311C7" w14:textId="77777777" w:rsidR="00074317" w:rsidRDefault="00BB0A46">
      <w:pPr>
        <w:pStyle w:val="Heading310"/>
        <w:framePr w:w="5251" w:h="14419" w:hRule="exact" w:wrap="none" w:vAnchor="page" w:hAnchor="page" w:x="6139" w:y="933"/>
        <w:spacing w:after="0"/>
      </w:pPr>
      <w:bookmarkStart w:id="36" w:name="bookmark38"/>
      <w:bookmarkStart w:id="37" w:name="bookmark39"/>
      <w:r>
        <w:t>V</w:t>
      </w:r>
      <w:bookmarkEnd w:id="36"/>
      <w:r>
        <w:t>.</w:t>
      </w:r>
      <w:bookmarkEnd w:id="37"/>
    </w:p>
    <w:p w14:paraId="019DC129" w14:textId="77777777" w:rsidR="00074317" w:rsidRDefault="00BB0A46">
      <w:pPr>
        <w:pStyle w:val="Heading310"/>
        <w:framePr w:w="5251" w:h="14419" w:hRule="exact" w:wrap="none" w:vAnchor="page" w:hAnchor="page" w:x="6139" w:y="933"/>
        <w:ind w:firstLine="200"/>
        <w:jc w:val="both"/>
      </w:pPr>
      <w:bookmarkStart w:id="38" w:name="bookmark36"/>
      <w:bookmarkStart w:id="39" w:name="bookmark37"/>
      <w:bookmarkStart w:id="40" w:name="bookmark40"/>
      <w:r>
        <w:t>Odpovědnost za vady, notifikace vad ve spotřebitelských vztazích</w:t>
      </w:r>
      <w:bookmarkEnd w:id="38"/>
      <w:bookmarkEnd w:id="39"/>
      <w:bookmarkEnd w:id="40"/>
    </w:p>
    <w:p w14:paraId="1C07E869" w14:textId="77777777" w:rsidR="00074317" w:rsidRDefault="00BB0A46">
      <w:pPr>
        <w:pStyle w:val="Bodytext10"/>
        <w:framePr w:w="5251" w:h="14419" w:hRule="exact" w:wrap="none" w:vAnchor="page" w:hAnchor="page" w:x="6139" w:y="933"/>
        <w:numPr>
          <w:ilvl w:val="0"/>
          <w:numId w:val="7"/>
        </w:numPr>
        <w:tabs>
          <w:tab w:val="left" w:pos="400"/>
        </w:tabs>
        <w:ind w:left="400" w:hanging="400"/>
        <w:jc w:val="both"/>
      </w:pPr>
      <w:bookmarkStart w:id="41" w:name="bookmark41"/>
      <w:bookmarkEnd w:id="41"/>
      <w:r>
        <w:t xml:space="preserve">Prodávající odpovídá </w:t>
      </w:r>
      <w:proofErr w:type="spellStart"/>
      <w:r>
        <w:t>kupujícmu</w:t>
      </w:r>
      <w:proofErr w:type="spellEnd"/>
      <w:r>
        <w:t xml:space="preserve"> za to, že vozidlo při převzetí nemá vady.</w:t>
      </w:r>
    </w:p>
    <w:p w14:paraId="766BC58E" w14:textId="77777777" w:rsidR="00074317" w:rsidRDefault="00BB0A46">
      <w:pPr>
        <w:pStyle w:val="Bodytext10"/>
        <w:framePr w:w="5251" w:h="14419" w:hRule="exact" w:wrap="none" w:vAnchor="page" w:hAnchor="page" w:x="6139" w:y="933"/>
        <w:numPr>
          <w:ilvl w:val="0"/>
          <w:numId w:val="7"/>
        </w:numPr>
        <w:tabs>
          <w:tab w:val="left" w:pos="400"/>
        </w:tabs>
        <w:ind w:left="400" w:hanging="400"/>
        <w:jc w:val="both"/>
      </w:pPr>
      <w:bookmarkStart w:id="42" w:name="bookmark42"/>
      <w:bookmarkEnd w:id="42"/>
      <w:r>
        <w:t xml:space="preserve">V právních vztazích založených kupní smlouvou </w:t>
      </w:r>
      <w:r>
        <w:rPr>
          <w:i/>
          <w:iCs/>
        </w:rPr>
        <w:t>(objednávkou)</w:t>
      </w:r>
      <w:r>
        <w:t xml:space="preserve"> platí ustanovení §2165anásl. </w:t>
      </w:r>
      <w:proofErr w:type="spellStart"/>
      <w:r>
        <w:t>Obč.Z</w:t>
      </w:r>
      <w:proofErr w:type="spellEnd"/>
      <w:r>
        <w:t>. ve spojení s příslušnými ustanoveními zákona 634/1992 Sb., o ochraně spotřebitele.</w:t>
      </w:r>
    </w:p>
    <w:p w14:paraId="1F86D3E2" w14:textId="77777777" w:rsidR="00074317" w:rsidRDefault="00BB0A46">
      <w:pPr>
        <w:pStyle w:val="Bodytext10"/>
        <w:framePr w:w="5251" w:h="14419" w:hRule="exact" w:wrap="none" w:vAnchor="page" w:hAnchor="page" w:x="6139" w:y="933"/>
        <w:numPr>
          <w:ilvl w:val="0"/>
          <w:numId w:val="7"/>
        </w:numPr>
        <w:tabs>
          <w:tab w:val="left" w:pos="400"/>
        </w:tabs>
        <w:ind w:left="400" w:hanging="400"/>
        <w:jc w:val="both"/>
      </w:pPr>
      <w:bookmarkStart w:id="43" w:name="bookmark43"/>
      <w:bookmarkEnd w:id="43"/>
      <w:r>
        <w:t>Za vadu se považuje též plnění jiné věci. Za vadu se považují i vady v dokladech nutných pro užívání vozidla.</w:t>
      </w:r>
    </w:p>
    <w:p w14:paraId="127B4791" w14:textId="77777777" w:rsidR="00074317" w:rsidRDefault="00BB0A46">
      <w:pPr>
        <w:pStyle w:val="Bodytext10"/>
        <w:framePr w:w="5251" w:h="14419" w:hRule="exact" w:wrap="none" w:vAnchor="page" w:hAnchor="page" w:x="6139" w:y="933"/>
        <w:numPr>
          <w:ilvl w:val="0"/>
          <w:numId w:val="7"/>
        </w:numPr>
        <w:tabs>
          <w:tab w:val="left" w:pos="400"/>
        </w:tabs>
        <w:ind w:left="400" w:hanging="400"/>
        <w:jc w:val="both"/>
      </w:pPr>
      <w:bookmarkStart w:id="44" w:name="bookmark44"/>
      <w:bookmarkEnd w:id="44"/>
      <w:r>
        <w:rPr>
          <w:b/>
          <w:bCs/>
        </w:rPr>
        <w:t>Kupující je oprávněn uplatnit právo z vady, která se vyskytne v době dvaceti čtyř měsíců od převzetí. U vozidel, která nejsou prodávaná jako nová vozidla (např. referenční vozidla, anebo předváděcí vozidla), je kupující oprávněn uplatnit práva z vad ve lhůtě do jednoho roku od převzetí vozidla.</w:t>
      </w:r>
    </w:p>
    <w:p w14:paraId="1E753D93" w14:textId="77777777" w:rsidR="00074317" w:rsidRDefault="00BB0A46">
      <w:pPr>
        <w:pStyle w:val="Bodytext10"/>
        <w:framePr w:w="5251" w:h="14419" w:hRule="exact" w:wrap="none" w:vAnchor="page" w:hAnchor="page" w:x="6139" w:y="933"/>
        <w:numPr>
          <w:ilvl w:val="0"/>
          <w:numId w:val="7"/>
        </w:numPr>
        <w:tabs>
          <w:tab w:val="left" w:pos="400"/>
        </w:tabs>
        <w:ind w:left="400" w:hanging="400"/>
        <w:jc w:val="both"/>
      </w:pPr>
      <w:bookmarkStart w:id="45" w:name="bookmark45"/>
      <w:bookmarkEnd w:id="45"/>
      <w:r>
        <w:t xml:space="preserve">Prodávající neodpovídá za vady vyskytnuté na vozidle, pokud byly způsobeny užíváním věci v rozporu s návodem k použití věci, návodem k údržbě věci </w:t>
      </w:r>
      <w:r>
        <w:rPr>
          <w:i/>
          <w:iCs/>
        </w:rPr>
        <w:t>(servisní manuál),</w:t>
      </w:r>
      <w:r>
        <w:t xml:space="preserve"> v rozporu s obvyklým bdělým užíváním věcí takového druhu či úmyslným i nedbalostním zásahem do integrity věci či zásahem majícím vliv na integritu věci, a to ať již způsobeným kupujícím či dalším vlastníkem věci. Smluvní strany dále ujednávají, že případná odpovědnost za vady prodávajícího zaniká, pokud kupující předal vozidlo do opravy či k učinění jakýchkoli faktických úkonů majících vliv na údržbu či servis vozidla třetímu subjektu, který není autorizovaným </w:t>
      </w:r>
      <w:proofErr w:type="spellStart"/>
      <w:r>
        <w:t>opravcem</w:t>
      </w:r>
      <w:proofErr w:type="spellEnd"/>
      <w:r>
        <w:t xml:space="preserve"> vozidel INEOS.</w:t>
      </w:r>
    </w:p>
    <w:p w14:paraId="12C7F736" w14:textId="77777777" w:rsidR="00074317" w:rsidRDefault="00BB0A46">
      <w:pPr>
        <w:pStyle w:val="Bodytext10"/>
        <w:framePr w:w="5251" w:h="14419" w:hRule="exact" w:wrap="none" w:vAnchor="page" w:hAnchor="page" w:x="6139" w:y="933"/>
        <w:numPr>
          <w:ilvl w:val="0"/>
          <w:numId w:val="7"/>
        </w:numPr>
        <w:tabs>
          <w:tab w:val="left" w:pos="400"/>
        </w:tabs>
        <w:ind w:left="400" w:hanging="400"/>
        <w:jc w:val="both"/>
      </w:pPr>
      <w:bookmarkStart w:id="46" w:name="bookmark46"/>
      <w:bookmarkEnd w:id="46"/>
      <w:r>
        <w:t xml:space="preserve">Kupující je povinen bezpodmínečně dodržovat servisní intervaly vozidla. Servisní intervaly vozidla jsou uvedené v Uživatelském manuálu, který je součástí dodávky vozidla. Kupující bere na vědomí, že nedodržení servisního intervalu způsobí zánik práva kupujícího z vady vozidla za situace, pokud bude servisní </w:t>
      </w:r>
      <w:proofErr w:type="gramStart"/>
      <w:r>
        <w:t>prohlídka</w:t>
      </w:r>
      <w:proofErr w:type="gramEnd"/>
      <w:r>
        <w:t xml:space="preserve"> jakkoliv souviset s vyskytnutou vadou vozidla.</w:t>
      </w:r>
    </w:p>
    <w:p w14:paraId="1C639F0C" w14:textId="77777777" w:rsidR="00074317" w:rsidRDefault="00BB0A46">
      <w:pPr>
        <w:pStyle w:val="Bodytext10"/>
        <w:framePr w:w="5251" w:h="14419" w:hRule="exact" w:wrap="none" w:vAnchor="page" w:hAnchor="page" w:x="6139" w:y="933"/>
        <w:numPr>
          <w:ilvl w:val="0"/>
          <w:numId w:val="7"/>
        </w:numPr>
        <w:tabs>
          <w:tab w:val="left" w:pos="400"/>
        </w:tabs>
        <w:ind w:left="400" w:hanging="400"/>
        <w:jc w:val="both"/>
      </w:pPr>
      <w:bookmarkStart w:id="47" w:name="bookmark47"/>
      <w:bookmarkEnd w:id="47"/>
      <w:r>
        <w:t>Kupující je za účelem úspěšného uplatnění případných práv ze záruky povinen přistavit vozidlo do autorizovaného servisu INEOS za účelem posouzení vady.</w:t>
      </w:r>
    </w:p>
    <w:p w14:paraId="34D94D53" w14:textId="77777777" w:rsidR="00074317" w:rsidRDefault="00BB0A46">
      <w:pPr>
        <w:pStyle w:val="Bodytext10"/>
        <w:framePr w:w="5251" w:h="14419" w:hRule="exact" w:wrap="none" w:vAnchor="page" w:hAnchor="page" w:x="6139" w:y="933"/>
        <w:numPr>
          <w:ilvl w:val="0"/>
          <w:numId w:val="7"/>
        </w:numPr>
        <w:tabs>
          <w:tab w:val="left" w:pos="400"/>
        </w:tabs>
        <w:ind w:left="400" w:hanging="400"/>
        <w:jc w:val="both"/>
      </w:pPr>
      <w:bookmarkStart w:id="48" w:name="bookmark48"/>
      <w:bookmarkEnd w:id="48"/>
      <w:r>
        <w:t xml:space="preserve">Má-li věc vadu, může kupující požadovat její odstranění. Podle své volby může požadovat dodání nové věci bez vady nebo opravu věci, ledaže je zvolený způsob odstranění vady nemožný nebo ve srovnání s druhým nepřiměřeně nákladný; to se posoudí zejména s ohledem na význam vady, hodnotu, kterou by věc měla bez vady, a to, zda může být druhými způsobem vada odstraněna bez značných obtíží pro kupujícího. Prodávající může odmítnout vadu odstranit, je-li to nemožné nebo nepřiměřeně nákladné zejména s ohledem na význam vady a hodnotu, kterou by věc měla bez vady. Kupující může požadovat přiměřenou slevu nebo odstoupit od smlouvy, pokud prodávající vadu odmítl odstranit nebo ji neodstranil v souladu s § 2170 odst. 1 a 2 </w:t>
      </w:r>
      <w:proofErr w:type="spellStart"/>
      <w:r>
        <w:t>Obč.Z</w:t>
      </w:r>
      <w:proofErr w:type="spellEnd"/>
      <w:r>
        <w:t>. nebo se vada projeví opakovaně, neboje vada podstatným porušením smlouvy, nebo je z prohlášení prodávajícího nebo z okolností zjevné, že vada nebude odstraněna v přiměřené době nebo bez značných obtíží pro kupujícího. Kupující nemůže odstoupit od smlouvy, je-li vada věci nevýznamná; má se za to, že vada není nevýznamná.</w:t>
      </w:r>
    </w:p>
    <w:p w14:paraId="0F784B50" w14:textId="77777777" w:rsidR="00074317" w:rsidRDefault="00BB0A46">
      <w:pPr>
        <w:pStyle w:val="Bodytext10"/>
        <w:framePr w:w="5251" w:h="14419" w:hRule="exact" w:wrap="none" w:vAnchor="page" w:hAnchor="page" w:x="6139" w:y="933"/>
        <w:numPr>
          <w:ilvl w:val="0"/>
          <w:numId w:val="7"/>
        </w:numPr>
        <w:tabs>
          <w:tab w:val="left" w:pos="400"/>
        </w:tabs>
        <w:ind w:left="400" w:hanging="400"/>
        <w:jc w:val="both"/>
      </w:pPr>
      <w:bookmarkStart w:id="49" w:name="bookmark49"/>
      <w:bookmarkEnd w:id="49"/>
      <w:r>
        <w:t xml:space="preserve">Práva z vadného plnění, jakož i ostatní práva plynoucí z porušení kupní smlouvy (objednávky) je kupující oprávněn uplatnit o </w:t>
      </w:r>
      <w:proofErr w:type="gramStart"/>
      <w:r>
        <w:t>prodávajícího - obchodní</w:t>
      </w:r>
      <w:proofErr w:type="gramEnd"/>
      <w:r>
        <w:t xml:space="preserve"> společnosti DAJBYCH plus s.r.o., IČO 11881151, se sídlem Plzeň, Na Výsluní 1025/33, PSČ 32600, zapsaná v obchodním rejstříku vedeném Krajským soudem v Plzni, v oddíle C, vložce 41273.</w:t>
      </w:r>
    </w:p>
    <w:p w14:paraId="14EDED98" w14:textId="77777777" w:rsidR="00074317" w:rsidRDefault="00BB0A46">
      <w:pPr>
        <w:pStyle w:val="Bodytext10"/>
        <w:framePr w:w="5251" w:h="14419" w:hRule="exact" w:wrap="none" w:vAnchor="page" w:hAnchor="page" w:x="6139" w:y="933"/>
        <w:numPr>
          <w:ilvl w:val="0"/>
          <w:numId w:val="7"/>
        </w:numPr>
        <w:tabs>
          <w:tab w:val="left" w:pos="400"/>
        </w:tabs>
        <w:spacing w:after="200"/>
        <w:ind w:left="400" w:hanging="400"/>
        <w:jc w:val="both"/>
      </w:pPr>
      <w:bookmarkStart w:id="50" w:name="bookmark50"/>
      <w:bookmarkEnd w:id="50"/>
      <w:r>
        <w:t>Ustanovení čl. V. těchto VOP platí výhradně v právních vztazích se spotřebiteli.</w:t>
      </w:r>
    </w:p>
    <w:p w14:paraId="06C0962C" w14:textId="77777777" w:rsidR="00074317" w:rsidRDefault="00BB0A46">
      <w:pPr>
        <w:pStyle w:val="Bodytext10"/>
        <w:framePr w:w="5251" w:h="14419" w:hRule="exact" w:wrap="none" w:vAnchor="page" w:hAnchor="page" w:x="6139" w:y="933"/>
        <w:jc w:val="center"/>
      </w:pPr>
      <w:bookmarkStart w:id="51" w:name="bookmark51"/>
      <w:r>
        <w:rPr>
          <w:b/>
          <w:bCs/>
        </w:rPr>
        <w:t>V</w:t>
      </w:r>
      <w:bookmarkEnd w:id="51"/>
      <w:r>
        <w:rPr>
          <w:b/>
          <w:bCs/>
        </w:rPr>
        <w:t>I.</w:t>
      </w:r>
    </w:p>
    <w:p w14:paraId="254DC112" w14:textId="77777777" w:rsidR="00074317" w:rsidRDefault="00BB0A46">
      <w:pPr>
        <w:pStyle w:val="Bodytext10"/>
        <w:framePr w:w="5251" w:h="14419" w:hRule="exact" w:wrap="none" w:vAnchor="page" w:hAnchor="page" w:x="6139" w:y="933"/>
        <w:spacing w:after="280"/>
        <w:jc w:val="center"/>
      </w:pPr>
      <w:r>
        <w:rPr>
          <w:b/>
          <w:bCs/>
        </w:rPr>
        <w:t>Odpovědnost za vady, notifikace vad</w:t>
      </w:r>
    </w:p>
    <w:p w14:paraId="32F49406" w14:textId="77777777" w:rsidR="00074317" w:rsidRDefault="00BB0A46">
      <w:pPr>
        <w:pStyle w:val="Bodytext10"/>
        <w:framePr w:w="5251" w:h="14419" w:hRule="exact" w:wrap="none" w:vAnchor="page" w:hAnchor="page" w:x="6139" w:y="933"/>
        <w:numPr>
          <w:ilvl w:val="0"/>
          <w:numId w:val="8"/>
        </w:numPr>
        <w:tabs>
          <w:tab w:val="left" w:pos="400"/>
        </w:tabs>
        <w:spacing w:line="257" w:lineRule="auto"/>
        <w:ind w:left="400" w:hanging="400"/>
        <w:jc w:val="both"/>
      </w:pPr>
      <w:bookmarkStart w:id="52" w:name="bookmark52"/>
      <w:bookmarkEnd w:id="52"/>
      <w:proofErr w:type="spellStart"/>
      <w:r>
        <w:t>Ust</w:t>
      </w:r>
      <w:proofErr w:type="spellEnd"/>
      <w:r>
        <w:t>. čl. VI. těchto VOP neplatí ve vztazích se spotřebiteli a aplikuje se pouze ve vztazích, kde smluvní stranou není spotřebitel.</w:t>
      </w:r>
    </w:p>
    <w:p w14:paraId="6BDF84C4" w14:textId="77777777" w:rsidR="00074317" w:rsidRDefault="00BB0A46">
      <w:pPr>
        <w:pStyle w:val="Headerorfooter10"/>
        <w:framePr w:wrap="none" w:vAnchor="page" w:hAnchor="page" w:x="11236" w:y="15477"/>
        <w:rPr>
          <w:sz w:val="18"/>
          <w:szCs w:val="18"/>
        </w:rPr>
      </w:pPr>
      <w:r>
        <w:rPr>
          <w:rFonts w:ascii="Times New Roman" w:eastAsia="Times New Roman" w:hAnsi="Times New Roman" w:cs="Times New Roman"/>
          <w:sz w:val="18"/>
          <w:szCs w:val="18"/>
        </w:rPr>
        <w:t>2</w:t>
      </w:r>
    </w:p>
    <w:p w14:paraId="78F54431" w14:textId="77777777" w:rsidR="00074317" w:rsidRDefault="00074317">
      <w:pPr>
        <w:spacing w:line="1" w:lineRule="exact"/>
        <w:sectPr w:rsidR="00074317">
          <w:pgSz w:w="11900" w:h="16840"/>
          <w:pgMar w:top="360" w:right="360" w:bottom="360" w:left="360" w:header="0" w:footer="3" w:gutter="0"/>
          <w:cols w:space="720"/>
          <w:noEndnote/>
          <w:docGrid w:linePitch="360"/>
        </w:sectPr>
      </w:pPr>
    </w:p>
    <w:p w14:paraId="744608B4" w14:textId="77777777" w:rsidR="00074317" w:rsidRDefault="00074317">
      <w:pPr>
        <w:spacing w:line="1" w:lineRule="exact"/>
      </w:pPr>
    </w:p>
    <w:p w14:paraId="3DC8D9CD" w14:textId="77777777" w:rsidR="00074317" w:rsidRDefault="00BB0A46">
      <w:pPr>
        <w:pStyle w:val="Bodytext10"/>
        <w:framePr w:w="5270" w:h="14482" w:hRule="exact" w:wrap="none" w:vAnchor="page" w:hAnchor="page" w:x="693" w:y="753"/>
        <w:numPr>
          <w:ilvl w:val="0"/>
          <w:numId w:val="8"/>
        </w:numPr>
        <w:tabs>
          <w:tab w:val="left" w:pos="401"/>
        </w:tabs>
        <w:jc w:val="both"/>
      </w:pPr>
      <w:bookmarkStart w:id="53" w:name="bookmark53"/>
      <w:bookmarkEnd w:id="53"/>
      <w:r>
        <w:t>V právních vztazích založených kupní smlouvou platí ustanovení</w:t>
      </w:r>
    </w:p>
    <w:p w14:paraId="5D58636A" w14:textId="77777777" w:rsidR="00074317" w:rsidRDefault="00BB0A46">
      <w:pPr>
        <w:pStyle w:val="Bodytext10"/>
        <w:framePr w:w="5270" w:h="14482" w:hRule="exact" w:wrap="none" w:vAnchor="page" w:hAnchor="page" w:x="693" w:y="753"/>
        <w:ind w:firstLine="400"/>
        <w:jc w:val="both"/>
      </w:pPr>
      <w:r>
        <w:t xml:space="preserve">§ 2099 a násl. </w:t>
      </w:r>
      <w:proofErr w:type="spellStart"/>
      <w:r>
        <w:t>Obč.Z</w:t>
      </w:r>
      <w:proofErr w:type="spellEnd"/>
      <w:r>
        <w:t>..</w:t>
      </w:r>
    </w:p>
    <w:p w14:paraId="22EAC076" w14:textId="77777777" w:rsidR="00074317" w:rsidRDefault="00BB0A46">
      <w:pPr>
        <w:pStyle w:val="Bodytext10"/>
        <w:framePr w:w="5270" w:h="14482" w:hRule="exact" w:wrap="none" w:vAnchor="page" w:hAnchor="page" w:x="693" w:y="753"/>
        <w:numPr>
          <w:ilvl w:val="0"/>
          <w:numId w:val="8"/>
        </w:numPr>
        <w:tabs>
          <w:tab w:val="left" w:pos="401"/>
        </w:tabs>
        <w:spacing w:line="240" w:lineRule="auto"/>
        <w:ind w:left="400" w:hanging="400"/>
        <w:jc w:val="both"/>
      </w:pPr>
      <w:bookmarkStart w:id="54" w:name="bookmark54"/>
      <w:bookmarkEnd w:id="54"/>
      <w:r>
        <w:t>Za vadu se považuje též plnění jiné věci. Za vadu se považují i vady v dokladech nutných pro užívání věci.</w:t>
      </w:r>
    </w:p>
    <w:p w14:paraId="22E63860" w14:textId="736DEA76" w:rsidR="00074317" w:rsidRDefault="00BB0A46">
      <w:pPr>
        <w:pStyle w:val="Bodytext10"/>
        <w:framePr w:w="5270" w:h="14482" w:hRule="exact" w:wrap="none" w:vAnchor="page" w:hAnchor="page" w:x="693" w:y="753"/>
        <w:numPr>
          <w:ilvl w:val="0"/>
          <w:numId w:val="8"/>
        </w:numPr>
        <w:tabs>
          <w:tab w:val="left" w:pos="401"/>
        </w:tabs>
        <w:ind w:left="400" w:hanging="400"/>
        <w:jc w:val="both"/>
      </w:pPr>
      <w:bookmarkStart w:id="55" w:name="bookmark55"/>
      <w:bookmarkEnd w:id="55"/>
      <w:r>
        <w:t xml:space="preserve">V právních vztazích mezi prodávajícím a </w:t>
      </w:r>
      <w:proofErr w:type="spellStart"/>
      <w:r>
        <w:t>kupujcícím</w:t>
      </w:r>
      <w:proofErr w:type="spellEnd"/>
      <w:r>
        <w:t xml:space="preserve"> platí plně </w:t>
      </w:r>
      <w:proofErr w:type="spellStart"/>
      <w:r>
        <w:t>ust</w:t>
      </w:r>
      <w:proofErr w:type="spellEnd"/>
      <w:r>
        <w:t xml:space="preserve">. § 2111 a§ 2112 </w:t>
      </w:r>
      <w:proofErr w:type="spellStart"/>
      <w:r>
        <w:t>Obč.Z</w:t>
      </w:r>
      <w:proofErr w:type="spellEnd"/>
      <w:r>
        <w:t xml:space="preserve">. Kupující je povinen případné vady notifikovat písemně a tuto </w:t>
      </w:r>
      <w:r w:rsidR="00683D60">
        <w:t>notifikaci</w:t>
      </w:r>
      <w:r>
        <w:t xml:space="preserve"> prokazatelně doručit buď osobně nebo prostřednictvím datové schránky nebo doručit prostřednictvím poskytovatele poštovních služeb s tím, že pouze takto se má notifikace za účinně doručenou a vznikají na základě ní právní následky.</w:t>
      </w:r>
    </w:p>
    <w:p w14:paraId="750D759E" w14:textId="77777777" w:rsidR="00074317" w:rsidRDefault="00BB0A46">
      <w:pPr>
        <w:pStyle w:val="Bodytext10"/>
        <w:framePr w:w="5270" w:h="14482" w:hRule="exact" w:wrap="none" w:vAnchor="page" w:hAnchor="page" w:x="693" w:y="753"/>
        <w:numPr>
          <w:ilvl w:val="0"/>
          <w:numId w:val="8"/>
        </w:numPr>
        <w:tabs>
          <w:tab w:val="left" w:pos="401"/>
        </w:tabs>
        <w:spacing w:line="252" w:lineRule="auto"/>
        <w:ind w:left="400" w:hanging="400"/>
        <w:jc w:val="both"/>
      </w:pPr>
      <w:bookmarkStart w:id="56" w:name="bookmark56"/>
      <w:bookmarkEnd w:id="56"/>
      <w:r>
        <w:rPr>
          <w:b/>
          <w:bCs/>
        </w:rPr>
        <w:t>Kupující je povinen prodávajícímu oznámit vadu bez zbytečného odkladu poté, co ji mohl při včasné prohlídce a dostatečné péči zjistit. Zjevné vady je kupující povinen oznámit prodávajícímu nejpozději při převzetí vozidla.</w:t>
      </w:r>
    </w:p>
    <w:p w14:paraId="206617D3" w14:textId="77777777" w:rsidR="00074317" w:rsidRDefault="00BB0A46">
      <w:pPr>
        <w:pStyle w:val="Bodytext10"/>
        <w:framePr w:w="5270" w:h="14482" w:hRule="exact" w:wrap="none" w:vAnchor="page" w:hAnchor="page" w:x="693" w:y="753"/>
        <w:numPr>
          <w:ilvl w:val="0"/>
          <w:numId w:val="8"/>
        </w:numPr>
        <w:tabs>
          <w:tab w:val="left" w:pos="401"/>
        </w:tabs>
        <w:spacing w:line="257" w:lineRule="auto"/>
        <w:ind w:left="400" w:hanging="400"/>
        <w:jc w:val="both"/>
      </w:pPr>
      <w:bookmarkStart w:id="57" w:name="bookmark57"/>
      <w:bookmarkEnd w:id="57"/>
      <w:r>
        <w:t xml:space="preserve">Prodávající neodpovídá za vady vyskytnuté na vozidle, pokud byly způsobeny užíváním věci v rozporu s obvyklým bdělým užíváním věcí takového druhu či úmyslným i nedbalostním zásahem do integrity věci či zásahem majícím vliv na integritu věci, a to ať již způsobeným kupujícím či dalším vlastníkem věci a dále za ty vady, </w:t>
      </w:r>
      <w:proofErr w:type="gramStart"/>
      <w:r>
        <w:t>jenž</w:t>
      </w:r>
      <w:proofErr w:type="gramEnd"/>
      <w:r>
        <w:t xml:space="preserve"> se vyskytnou na vozidle, u kterého již přešlo nebezpečí vzniku škody na </w:t>
      </w:r>
      <w:proofErr w:type="spellStart"/>
      <w:r>
        <w:t>kupujcího</w:t>
      </w:r>
      <w:proofErr w:type="spellEnd"/>
      <w:r>
        <w:t xml:space="preserve">. Prodávající dále neodpovídá za jakékoliv vady vozidla, pokud bylo ze strany kupujícího či třetí osoby zasaženo do vozidla, a to provedením neschválených úprav ze strany výrobce, např. jakýkoliv </w:t>
      </w:r>
      <w:proofErr w:type="spellStart"/>
      <w:r>
        <w:t>tuning</w:t>
      </w:r>
      <w:proofErr w:type="spellEnd"/>
      <w:r>
        <w:t xml:space="preserve"> vozidla, tj. montáž jakéhokoliv neautorizovaného dílu či úprav (např. </w:t>
      </w:r>
      <w:proofErr w:type="spellStart"/>
      <w:r>
        <w:t>gps</w:t>
      </w:r>
      <w:proofErr w:type="spellEnd"/>
      <w:r>
        <w:t xml:space="preserve"> systémy, antiradar, vyhledávací systémy). Prodávající dále neodpovídá za jakékoliv vady vozidla, pokud kupující nedodržel výrobcem předepsané servisní </w:t>
      </w:r>
      <w:proofErr w:type="spellStart"/>
      <w:r>
        <w:t>interavaly</w:t>
      </w:r>
      <w:proofErr w:type="spellEnd"/>
      <w:r>
        <w:t xml:space="preserve"> vozidla.</w:t>
      </w:r>
    </w:p>
    <w:p w14:paraId="07ACC303" w14:textId="77777777" w:rsidR="00074317" w:rsidRDefault="00BB0A46">
      <w:pPr>
        <w:pStyle w:val="Bodytext10"/>
        <w:framePr w:w="5270" w:h="14482" w:hRule="exact" w:wrap="none" w:vAnchor="page" w:hAnchor="page" w:x="693" w:y="753"/>
        <w:numPr>
          <w:ilvl w:val="0"/>
          <w:numId w:val="8"/>
        </w:numPr>
        <w:tabs>
          <w:tab w:val="left" w:pos="401"/>
        </w:tabs>
        <w:ind w:left="400" w:hanging="400"/>
        <w:jc w:val="both"/>
      </w:pPr>
      <w:bookmarkStart w:id="58" w:name="bookmark58"/>
      <w:bookmarkEnd w:id="58"/>
      <w:r>
        <w:t>Kupující je povinen bezpodmínečně dodržovat servisní intervaly vozidla. Servisní intervaly vozidla jsou uvedené v Uživatelském manuálu, který je součástí dodávky vozidla.</w:t>
      </w:r>
    </w:p>
    <w:p w14:paraId="09C1F6E7" w14:textId="2AE39152" w:rsidR="00074317" w:rsidRDefault="00BB0A46">
      <w:pPr>
        <w:pStyle w:val="Bodytext10"/>
        <w:framePr w:w="5270" w:h="14482" w:hRule="exact" w:wrap="none" w:vAnchor="page" w:hAnchor="page" w:x="693" w:y="753"/>
        <w:numPr>
          <w:ilvl w:val="0"/>
          <w:numId w:val="8"/>
        </w:numPr>
        <w:tabs>
          <w:tab w:val="left" w:pos="401"/>
        </w:tabs>
        <w:ind w:left="400" w:hanging="400"/>
        <w:jc w:val="both"/>
      </w:pPr>
      <w:bookmarkStart w:id="59" w:name="bookmark59"/>
      <w:bookmarkEnd w:id="59"/>
      <w:r>
        <w:t>Kupující je po řádné notifikaci vady povinen na výzvu prodávajícího předat vozidlo prodávajícímu za účelem posouzení povahy a rozsahu notifikované vady, a to ve lhůtě určené prodávajícím, nejpozději ve lhůtě do sedmi dnů ode dne oznámení vady. Nebude-li lhůta dle věty předchozí zachována, pozbývá kupující všechny práva plynoucí z odpovědnosti za vady. Prodávající má vždy právo na vlastní posouzení vady. V případě, že kupující toto právo zmaří (např. odstraněním vady) pozbývá veškerá případná práva z vadného plněni.</w:t>
      </w:r>
    </w:p>
    <w:p w14:paraId="7129A0DB" w14:textId="77777777" w:rsidR="00074317" w:rsidRDefault="00BB0A46">
      <w:pPr>
        <w:pStyle w:val="Bodytext10"/>
        <w:framePr w:w="5270" w:h="14482" w:hRule="exact" w:wrap="none" w:vAnchor="page" w:hAnchor="page" w:x="693" w:y="753"/>
        <w:numPr>
          <w:ilvl w:val="0"/>
          <w:numId w:val="8"/>
        </w:numPr>
        <w:tabs>
          <w:tab w:val="left" w:pos="401"/>
        </w:tabs>
        <w:spacing w:line="240" w:lineRule="auto"/>
        <w:ind w:left="400" w:hanging="400"/>
        <w:jc w:val="both"/>
      </w:pPr>
      <w:bookmarkStart w:id="60" w:name="bookmark60"/>
      <w:bookmarkEnd w:id="60"/>
      <w:r>
        <w:t xml:space="preserve">Způsob odstranění vady určí prodávající podle povahy vady. Smluvní strany dále ujednávají, že prodávající je povinen odstranit řádně notifikovanou vadu ve lhůtě dle </w:t>
      </w:r>
      <w:proofErr w:type="spellStart"/>
      <w:r>
        <w:t>Obč.Z</w:t>
      </w:r>
      <w:proofErr w:type="spellEnd"/>
      <w:r>
        <w:t>.</w:t>
      </w:r>
    </w:p>
    <w:p w14:paraId="650CE073" w14:textId="77777777" w:rsidR="00074317" w:rsidRDefault="00BB0A46">
      <w:pPr>
        <w:pStyle w:val="Bodytext10"/>
        <w:framePr w:w="5270" w:h="14482" w:hRule="exact" w:wrap="none" w:vAnchor="page" w:hAnchor="page" w:x="693" w:y="753"/>
        <w:numPr>
          <w:ilvl w:val="0"/>
          <w:numId w:val="8"/>
        </w:numPr>
        <w:tabs>
          <w:tab w:val="left" w:pos="401"/>
        </w:tabs>
        <w:ind w:left="400" w:hanging="400"/>
        <w:jc w:val="both"/>
      </w:pPr>
      <w:bookmarkStart w:id="61" w:name="bookmark61"/>
      <w:bookmarkEnd w:id="61"/>
      <w:r>
        <w:rPr>
          <w:b/>
          <w:bCs/>
        </w:rPr>
        <w:t xml:space="preserve">Je-li vadné plnění nepodstatným či podstatným porušením smlouvy má kupující vždy právo výlučně na odstranění vady opravou věci. Právo na slevu z kupní ceny, jakož i ostatní nároky z vadného plnění má kupující pouze v případě, je-li vada neodstranitelná. </w:t>
      </w:r>
      <w:r>
        <w:t>O tom, zda je vada odstranitelná či neodstranitelná rozhoduje prodávající či výrobce. V pochybnostech určí povahu příslušné vady nezávislý odborník.</w:t>
      </w:r>
    </w:p>
    <w:p w14:paraId="3A0B9563" w14:textId="77777777" w:rsidR="00074317" w:rsidRDefault="00BB0A46">
      <w:pPr>
        <w:pStyle w:val="Bodytext10"/>
        <w:framePr w:w="5270" w:h="14482" w:hRule="exact" w:wrap="none" w:vAnchor="page" w:hAnchor="page" w:x="693" w:y="753"/>
        <w:numPr>
          <w:ilvl w:val="0"/>
          <w:numId w:val="8"/>
        </w:numPr>
        <w:tabs>
          <w:tab w:val="left" w:pos="401"/>
        </w:tabs>
        <w:spacing w:after="200"/>
        <w:ind w:left="400" w:hanging="400"/>
        <w:jc w:val="both"/>
      </w:pPr>
      <w:bookmarkStart w:id="62" w:name="bookmark62"/>
      <w:bookmarkEnd w:id="62"/>
      <w:r>
        <w:t xml:space="preserve">Práva z vadného plnění, jakož i ostatní práva plynoucí z porušení kupní smlouvy (objednávky) je kupující oprávněn uplatnit o </w:t>
      </w:r>
      <w:proofErr w:type="gramStart"/>
      <w:r>
        <w:t>prodávajícího - obchodní</w:t>
      </w:r>
      <w:proofErr w:type="gramEnd"/>
      <w:r>
        <w:t xml:space="preserve"> společnosti DAJBYCH plus s.r.o., IČO 11881151, se sídlem Plzeň, Na Výsluní 1025/33, PSČ 32600, zapsaná v obchodním rejstříku vedeném Krajským soudem v Plzni, v oddíle C, vložce 41273.</w:t>
      </w:r>
    </w:p>
    <w:p w14:paraId="696EC93C" w14:textId="77777777" w:rsidR="00074317" w:rsidRDefault="00BB0A46">
      <w:pPr>
        <w:pStyle w:val="Heading310"/>
        <w:framePr w:w="5270" w:h="14482" w:hRule="exact" w:wrap="none" w:vAnchor="page" w:hAnchor="page" w:x="693" w:y="753"/>
        <w:spacing w:line="257" w:lineRule="auto"/>
      </w:pPr>
      <w:bookmarkStart w:id="63" w:name="bookmark63"/>
      <w:bookmarkStart w:id="64" w:name="bookmark64"/>
      <w:bookmarkStart w:id="65" w:name="bookmark65"/>
      <w:r>
        <w:t>VIL</w:t>
      </w:r>
      <w:r>
        <w:br/>
        <w:t>Záruční podmínky</w:t>
      </w:r>
      <w:bookmarkEnd w:id="63"/>
      <w:bookmarkEnd w:id="64"/>
      <w:bookmarkEnd w:id="65"/>
    </w:p>
    <w:p w14:paraId="5A2AED92" w14:textId="77777777" w:rsidR="00074317" w:rsidRDefault="00BB0A46">
      <w:pPr>
        <w:pStyle w:val="Bodytext10"/>
        <w:framePr w:w="5270" w:h="14482" w:hRule="exact" w:wrap="none" w:vAnchor="page" w:hAnchor="page" w:x="693" w:y="753"/>
        <w:numPr>
          <w:ilvl w:val="0"/>
          <w:numId w:val="9"/>
        </w:numPr>
        <w:tabs>
          <w:tab w:val="left" w:pos="401"/>
        </w:tabs>
        <w:spacing w:line="264" w:lineRule="auto"/>
        <w:ind w:left="400" w:hanging="400"/>
        <w:jc w:val="both"/>
      </w:pPr>
      <w:bookmarkStart w:id="66" w:name="bookmark66"/>
      <w:bookmarkEnd w:id="66"/>
      <w:r>
        <w:t xml:space="preserve">Prodávající se ve smyslu </w:t>
      </w:r>
      <w:proofErr w:type="spellStart"/>
      <w:r>
        <w:t>ust</w:t>
      </w:r>
      <w:proofErr w:type="spellEnd"/>
      <w:r>
        <w:t>. § 2113 zavazuje, že věc bude po celou záruční dobu způsobilá k použití pro obvyklý účel nebo že si zachová obvyklé vlastnosti. Záruka trvá po dobu 5 let, záruka na lak trvá 3 roky.</w:t>
      </w:r>
    </w:p>
    <w:p w14:paraId="3BE8CDA9" w14:textId="77777777" w:rsidR="00074317" w:rsidRDefault="00BB0A46">
      <w:pPr>
        <w:pStyle w:val="Bodytext10"/>
        <w:framePr w:w="5270" w:h="14482" w:hRule="exact" w:wrap="none" w:vAnchor="page" w:hAnchor="page" w:x="693" w:y="753"/>
        <w:numPr>
          <w:ilvl w:val="0"/>
          <w:numId w:val="9"/>
        </w:numPr>
        <w:tabs>
          <w:tab w:val="left" w:pos="401"/>
        </w:tabs>
        <w:spacing w:line="264" w:lineRule="auto"/>
        <w:ind w:left="400" w:hanging="400"/>
        <w:jc w:val="both"/>
      </w:pPr>
      <w:bookmarkStart w:id="67" w:name="bookmark67"/>
      <w:bookmarkEnd w:id="67"/>
      <w:r>
        <w:t>Záruční doba počíná běžet u nových vozidel vždy od jejich převzetí. U již registrovaných vozidel počíná záruční doba běžet uvedením do provozu.</w:t>
      </w:r>
    </w:p>
    <w:p w14:paraId="6D269B24" w14:textId="77777777" w:rsidR="00074317" w:rsidRDefault="00BB0A46">
      <w:pPr>
        <w:pStyle w:val="Bodytext10"/>
        <w:framePr w:w="5270" w:h="14482" w:hRule="exact" w:wrap="none" w:vAnchor="page" w:hAnchor="page" w:x="693" w:y="753"/>
        <w:numPr>
          <w:ilvl w:val="0"/>
          <w:numId w:val="9"/>
        </w:numPr>
        <w:tabs>
          <w:tab w:val="left" w:pos="401"/>
        </w:tabs>
        <w:spacing w:line="264" w:lineRule="auto"/>
        <w:ind w:left="400" w:hanging="400"/>
        <w:jc w:val="both"/>
      </w:pPr>
      <w:bookmarkStart w:id="68" w:name="bookmark68"/>
      <w:bookmarkEnd w:id="68"/>
      <w:r>
        <w:t xml:space="preserve">Mezi již </w:t>
      </w:r>
      <w:proofErr w:type="gramStart"/>
      <w:r>
        <w:t>registrované vozidla</w:t>
      </w:r>
      <w:proofErr w:type="gramEnd"/>
      <w:r>
        <w:t xml:space="preserve"> patří např. vozidla předváděcí, vozidla referenční, či jiná vozidla, která nelze považovat za vozidla nová.</w:t>
      </w:r>
    </w:p>
    <w:p w14:paraId="7D1AB09B" w14:textId="77777777" w:rsidR="00074317" w:rsidRDefault="00BB0A46">
      <w:pPr>
        <w:pStyle w:val="Bodytext10"/>
        <w:framePr w:w="5270" w:h="14482" w:hRule="exact" w:wrap="none" w:vAnchor="page" w:hAnchor="page" w:x="693" w:y="753"/>
        <w:numPr>
          <w:ilvl w:val="0"/>
          <w:numId w:val="9"/>
        </w:numPr>
        <w:tabs>
          <w:tab w:val="left" w:pos="401"/>
        </w:tabs>
        <w:spacing w:line="264" w:lineRule="auto"/>
        <w:ind w:left="400" w:hanging="400"/>
        <w:jc w:val="both"/>
      </w:pPr>
      <w:bookmarkStart w:id="69" w:name="bookmark69"/>
      <w:bookmarkEnd w:id="69"/>
      <w:r>
        <w:t>V rámci záruční doby lze uplatňovat v případě záruční vady výhradně právo na odstraněni vady opravou. Žádná jiná práva z vad</w:t>
      </w:r>
    </w:p>
    <w:p w14:paraId="03F62652" w14:textId="77777777" w:rsidR="00074317" w:rsidRDefault="00BB0A46">
      <w:pPr>
        <w:pStyle w:val="Bodytext10"/>
        <w:framePr w:w="4843" w:h="11770" w:hRule="exact" w:wrap="none" w:vAnchor="page" w:hAnchor="page" w:x="6535" w:y="743"/>
        <w:ind w:left="400"/>
        <w:jc w:val="both"/>
      </w:pPr>
      <w:r>
        <w:t xml:space="preserve">uplatňovat nelze. Kupující zejména není oprávněn v rámci záruky odstupovat od kupní smlouvy. Tímto však nejsou dotčena práva a povinnosti obou stran plynoucí z ustanovení </w:t>
      </w:r>
      <w:proofErr w:type="spellStart"/>
      <w:proofErr w:type="gramStart"/>
      <w:r>
        <w:t>čl.V</w:t>
      </w:r>
      <w:proofErr w:type="spellEnd"/>
      <w:proofErr w:type="gramEnd"/>
      <w:r>
        <w:t xml:space="preserve"> a čl.VI těchto VOP. Kupující Spotřebitel je po dobu trvání odpovědnosti za vady dle čl. V. těchto VOP uplatňovat práva z vad v souladu s občanským zákoníkem.</w:t>
      </w:r>
    </w:p>
    <w:p w14:paraId="1528BC95" w14:textId="77777777" w:rsidR="00074317" w:rsidRDefault="00BB0A46">
      <w:pPr>
        <w:pStyle w:val="Bodytext10"/>
        <w:framePr w:w="4843" w:h="11770" w:hRule="exact" w:wrap="none" w:vAnchor="page" w:hAnchor="page" w:x="6535" w:y="743"/>
        <w:jc w:val="both"/>
      </w:pPr>
      <w:r>
        <w:t>Pro platnost záruky je kupující povinen bezpodmínečně dodržovat servisní intervaly vozidla. Servisní intervaly vozidla jsou uvedené v Uživatelském manuálu, který je součástí dodávky vozidla. Kupující bere na vědomí, že nedodržení servisního intervalu působí zánik záruky a kupující nebude oprávněn nadále úspěšně uplatnit jakákoliv práva z vad v záruční době.</w:t>
      </w:r>
    </w:p>
    <w:p w14:paraId="56D75AB9" w14:textId="77777777" w:rsidR="00074317" w:rsidRDefault="00BB0A46">
      <w:pPr>
        <w:pStyle w:val="Bodytext10"/>
        <w:framePr w:w="4843" w:h="11770" w:hRule="exact" w:wrap="none" w:vAnchor="page" w:hAnchor="page" w:x="6535" w:y="743"/>
        <w:jc w:val="both"/>
      </w:pPr>
      <w:r>
        <w:t xml:space="preserve">Prodávající dále neodpovídá za jakékoliv vady vozidla, pokud bylo ze strany kupujícího či třetí osoby zasaženo do vozidla, a to provedením neschválených úprav ze strany výrobce, např. jakýkoliv </w:t>
      </w:r>
      <w:proofErr w:type="spellStart"/>
      <w:r>
        <w:t>tuning</w:t>
      </w:r>
      <w:proofErr w:type="spellEnd"/>
      <w:r>
        <w:t xml:space="preserve"> vozidla, tj. montáž jakéhokoliv neautorizovaného dílu či úprav (např. </w:t>
      </w:r>
      <w:proofErr w:type="spellStart"/>
      <w:r>
        <w:t>gps</w:t>
      </w:r>
      <w:proofErr w:type="spellEnd"/>
      <w:r>
        <w:t xml:space="preserve"> systémy, antiradar, vyhledávací systémy).</w:t>
      </w:r>
    </w:p>
    <w:p w14:paraId="1EC046B2" w14:textId="77777777" w:rsidR="00074317" w:rsidRDefault="00BB0A46">
      <w:pPr>
        <w:pStyle w:val="Bodytext10"/>
        <w:framePr w:w="4843" w:h="11770" w:hRule="exact" w:wrap="none" w:vAnchor="page" w:hAnchor="page" w:x="6535" w:y="743"/>
        <w:spacing w:after="200"/>
        <w:jc w:val="both"/>
      </w:pPr>
      <w:r>
        <w:t>Kupující podnikatel (tj. není-li kupujícím spotřebitel) je oprávněn v rámci záruční doby uplatňovat výhradně právo na odstranění vady opravou. Jiná práva z titulu záruky kupující podnikatel nemá. Toto ujednání se nedotýká odpovědnosti prodávajícího za vady dle čl. VI. těchto VOP.</w:t>
      </w:r>
    </w:p>
    <w:p w14:paraId="5164EC2F" w14:textId="77777777" w:rsidR="00074317" w:rsidRDefault="00BB0A46">
      <w:pPr>
        <w:pStyle w:val="Bodytext10"/>
        <w:framePr w:w="4843" w:h="11770" w:hRule="exact" w:wrap="none" w:vAnchor="page" w:hAnchor="page" w:x="6535" w:y="743"/>
        <w:jc w:val="center"/>
      </w:pPr>
      <w:r>
        <w:rPr>
          <w:b/>
          <w:bCs/>
        </w:rPr>
        <w:t>VIII.</w:t>
      </w:r>
    </w:p>
    <w:p w14:paraId="27C5B8E4" w14:textId="77777777" w:rsidR="00074317" w:rsidRDefault="00BB0A46">
      <w:pPr>
        <w:pStyle w:val="Bodytext10"/>
        <w:framePr w:w="4843" w:h="11770" w:hRule="exact" w:wrap="none" w:vAnchor="page" w:hAnchor="page" w:x="6535" w:y="743"/>
        <w:spacing w:after="200"/>
        <w:jc w:val="center"/>
      </w:pPr>
      <w:r>
        <w:rPr>
          <w:b/>
          <w:bCs/>
        </w:rPr>
        <w:t>Závěrečná ustanovení</w:t>
      </w:r>
    </w:p>
    <w:p w14:paraId="6752D94B" w14:textId="77777777" w:rsidR="00074317" w:rsidRDefault="00BB0A46">
      <w:pPr>
        <w:pStyle w:val="Bodytext10"/>
        <w:framePr w:w="4843" w:h="11770" w:hRule="exact" w:wrap="none" w:vAnchor="page" w:hAnchor="page" w:x="6535" w:y="743"/>
        <w:jc w:val="both"/>
      </w:pPr>
      <w:r>
        <w:t>Z důvodu ochrany značky INEOS a řádného plnění závazků výrobce vozidla vůči profesním organizacím a Mezinárodní organizaci výrobců automobilů (</w:t>
      </w:r>
      <w:proofErr w:type="spellStart"/>
      <w:r>
        <w:t>Organisation</w:t>
      </w:r>
      <w:proofErr w:type="spellEnd"/>
      <w:r>
        <w:t xml:space="preserve"> </w:t>
      </w:r>
      <w:proofErr w:type="spellStart"/>
      <w:r>
        <w:t>Internationale</w:t>
      </w:r>
      <w:proofErr w:type="spellEnd"/>
      <w:r>
        <w:t xml:space="preserve"> des </w:t>
      </w:r>
      <w:proofErr w:type="spellStart"/>
      <w:r>
        <w:t>Constructeurs</w:t>
      </w:r>
      <w:proofErr w:type="spellEnd"/>
      <w:r>
        <w:t xml:space="preserve"> </w:t>
      </w:r>
      <w:proofErr w:type="spellStart"/>
      <w:r>
        <w:t>d'Automobiles</w:t>
      </w:r>
      <w:proofErr w:type="spellEnd"/>
      <w:r>
        <w:t>) není kupující bez předchozího písemného souhlasu dovozce oprávněn předvádět vozidlo na výstavách, veletrzích, závodech, soutěžích, přehlídkách všeho druhu a obdobných veřejných akcích, pokud je cílem takového předvedení kromě jiného také zdůraznění charakteristik, technických nebo jízdních vlastností vozidla.</w:t>
      </w:r>
    </w:p>
    <w:p w14:paraId="7067039C" w14:textId="77777777" w:rsidR="00074317" w:rsidRDefault="00BB0A46">
      <w:pPr>
        <w:pStyle w:val="Bodytext10"/>
        <w:framePr w:w="4843" w:h="11770" w:hRule="exact" w:wrap="none" w:vAnchor="page" w:hAnchor="page" w:x="6535" w:y="743"/>
        <w:numPr>
          <w:ilvl w:val="0"/>
          <w:numId w:val="10"/>
        </w:numPr>
        <w:tabs>
          <w:tab w:val="left" w:pos="260"/>
        </w:tabs>
        <w:jc w:val="both"/>
      </w:pPr>
      <w:bookmarkStart w:id="70" w:name="bookmark70"/>
      <w:bookmarkEnd w:id="70"/>
      <w:r>
        <w:t xml:space="preserve">souladu s </w:t>
      </w:r>
      <w:proofErr w:type="spellStart"/>
      <w:r>
        <w:t>ust</w:t>
      </w:r>
      <w:proofErr w:type="spellEnd"/>
      <w:r>
        <w:t xml:space="preserve">. § 564 </w:t>
      </w:r>
      <w:proofErr w:type="spellStart"/>
      <w:r>
        <w:t>Obč.Z</w:t>
      </w:r>
      <w:proofErr w:type="spellEnd"/>
      <w:r>
        <w:t>. platí, že vznik, změna či zánik právních následků zamýšlených kupní smlouvou (objednávkou) a těmito VOP může být činěna toliko a výhradně jen v písemné formě. Jednání v jakékoli jiné formě nezakládá mezi stranami právních následků.</w:t>
      </w:r>
    </w:p>
    <w:p w14:paraId="3B02710E" w14:textId="77777777" w:rsidR="00074317" w:rsidRDefault="00BB0A46">
      <w:pPr>
        <w:pStyle w:val="Bodytext10"/>
        <w:framePr w:w="4843" w:h="11770" w:hRule="exact" w:wrap="none" w:vAnchor="page" w:hAnchor="page" w:x="6535" w:y="743"/>
        <w:jc w:val="both"/>
      </w:pPr>
      <w:r>
        <w:t xml:space="preserve">Práva a povinnosti Smluvních stran výslovně v těchto VOP či v kupní smlouvě </w:t>
      </w:r>
      <w:r>
        <w:rPr>
          <w:i/>
          <w:iCs/>
        </w:rPr>
        <w:t>(objednávce)</w:t>
      </w:r>
      <w:r>
        <w:t xml:space="preserve"> neupravená se řídí příslušnými ustanoveními zákona č. 89/2012 Sb., občanský zákoník. Je-li smluvní stranou spotřebitel, řídí se práva a povinnosti Smluvních stran výslovně v těchto VOP či v kupní smlouvě </w:t>
      </w:r>
      <w:r>
        <w:rPr>
          <w:i/>
          <w:iCs/>
        </w:rPr>
        <w:t xml:space="preserve">(objednávce) </w:t>
      </w:r>
      <w:r>
        <w:t>neupravená zákonem č. 89/2012 Sb., občanský zákoník, ve spojení se zákonem č. 634/1992 Sb., o ochraně spotřebitele.</w:t>
      </w:r>
    </w:p>
    <w:p w14:paraId="67B809D0" w14:textId="77777777" w:rsidR="00074317" w:rsidRDefault="00BB0A46">
      <w:pPr>
        <w:pStyle w:val="Bodytext10"/>
        <w:framePr w:w="4843" w:h="11770" w:hRule="exact" w:wrap="none" w:vAnchor="page" w:hAnchor="page" w:x="6535" w:y="743"/>
        <w:jc w:val="both"/>
      </w:pPr>
      <w:r>
        <w:t xml:space="preserve">Podle </w:t>
      </w:r>
      <w:proofErr w:type="spellStart"/>
      <w:r>
        <w:t>ust</w:t>
      </w:r>
      <w:proofErr w:type="spellEnd"/>
      <w:r>
        <w:t>. čl. III. odst. 1 nařízení EVROPSKÉHO PARLAMENTU A RADY (ES) č. 593/2008 ze dne 17. června 2008 o právu rozhodném pro smluvní závazkové vztahy (</w:t>
      </w:r>
      <w:proofErr w:type="spellStart"/>
      <w:r>
        <w:t>Řim</w:t>
      </w:r>
      <w:proofErr w:type="spellEnd"/>
      <w:r>
        <w:t xml:space="preserve"> I), platí, že veškeré právní vztahy plynoucí z kupní smlouvy se řídí právním řádem České republiky.</w:t>
      </w:r>
    </w:p>
    <w:p w14:paraId="1A5D67B3" w14:textId="77777777" w:rsidR="00074317" w:rsidRDefault="00BB0A46">
      <w:pPr>
        <w:pStyle w:val="Bodytext10"/>
        <w:framePr w:w="4843" w:h="11770" w:hRule="exact" w:wrap="none" w:vAnchor="page" w:hAnchor="page" w:x="6535" w:y="743"/>
        <w:numPr>
          <w:ilvl w:val="0"/>
          <w:numId w:val="10"/>
        </w:numPr>
        <w:tabs>
          <w:tab w:val="left" w:pos="270"/>
        </w:tabs>
        <w:jc w:val="both"/>
      </w:pPr>
      <w:bookmarkStart w:id="71" w:name="bookmark71"/>
      <w:bookmarkEnd w:id="71"/>
      <w:r>
        <w:t xml:space="preserve">souladu s oddílem 7 </w:t>
      </w:r>
      <w:proofErr w:type="spellStart"/>
      <w:r>
        <w:t>ust</w:t>
      </w:r>
      <w:proofErr w:type="spellEnd"/>
      <w:r>
        <w:t>. čl. 23 odst. 1 písm. a) Nařízení Rady (ES) č. 44/2001 ze dne 22. prosince 2000, o příslušnosti a uznávání a výkonu soudních rozhodnutí v občanských a obchodních věcech, platí, že pro případ budoucího sporu z právního vztahu založeného kupní smlouvou mají příslušnost soudy České republiky, jakožto členského státu Evropské Unie, ve kterém má prodávající svoje sídlo.</w:t>
      </w:r>
    </w:p>
    <w:p w14:paraId="0C601087" w14:textId="77777777" w:rsidR="00074317" w:rsidRDefault="00BB0A46">
      <w:pPr>
        <w:pStyle w:val="Bodytext10"/>
        <w:framePr w:wrap="none" w:vAnchor="page" w:hAnchor="page" w:x="6573" w:y="13094"/>
        <w:tabs>
          <w:tab w:val="left" w:pos="1253"/>
        </w:tabs>
        <w:spacing w:line="240" w:lineRule="auto"/>
      </w:pPr>
      <w:r>
        <w:t>V</w:t>
      </w:r>
      <w:proofErr w:type="gramStart"/>
      <w:r>
        <w:tab/>
        <w:t>,dne</w:t>
      </w:r>
      <w:proofErr w:type="gramEnd"/>
    </w:p>
    <w:p w14:paraId="77766F10" w14:textId="77777777" w:rsidR="00074317" w:rsidRDefault="00BB0A46">
      <w:pPr>
        <w:pStyle w:val="Bodytext10"/>
        <w:framePr w:wrap="none" w:vAnchor="page" w:hAnchor="page" w:x="6535" w:y="14087"/>
        <w:pBdr>
          <w:top w:val="single" w:sz="4" w:space="0" w:color="auto"/>
        </w:pBdr>
        <w:spacing w:line="240" w:lineRule="auto"/>
        <w:ind w:firstLine="1000"/>
        <w:jc w:val="both"/>
      </w:pPr>
      <w:r>
        <w:t>podpis</w:t>
      </w:r>
    </w:p>
    <w:p w14:paraId="158FAAEE" w14:textId="77777777" w:rsidR="00074317" w:rsidRDefault="00BB0A46">
      <w:pPr>
        <w:pStyle w:val="Headerorfooter10"/>
        <w:framePr w:wrap="none" w:vAnchor="page" w:hAnchor="page" w:x="11239" w:y="15302"/>
        <w:rPr>
          <w:sz w:val="18"/>
          <w:szCs w:val="18"/>
        </w:rPr>
      </w:pPr>
      <w:r>
        <w:rPr>
          <w:rFonts w:ascii="Times New Roman" w:eastAsia="Times New Roman" w:hAnsi="Times New Roman" w:cs="Times New Roman"/>
          <w:sz w:val="18"/>
          <w:szCs w:val="18"/>
        </w:rPr>
        <w:t>3</w:t>
      </w:r>
    </w:p>
    <w:p w14:paraId="439D3883" w14:textId="77777777" w:rsidR="00074317" w:rsidRDefault="00074317">
      <w:pPr>
        <w:spacing w:line="1" w:lineRule="exact"/>
      </w:pPr>
    </w:p>
    <w:sectPr w:rsidR="0007431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BE965" w14:textId="77777777" w:rsidR="00BB0A46" w:rsidRDefault="00BB0A46">
      <w:r>
        <w:separator/>
      </w:r>
    </w:p>
  </w:endnote>
  <w:endnote w:type="continuationSeparator" w:id="0">
    <w:p w14:paraId="13BACD2A" w14:textId="77777777" w:rsidR="00BB0A46" w:rsidRDefault="00BB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EE20" w14:textId="77777777" w:rsidR="00074317" w:rsidRDefault="00074317"/>
  </w:footnote>
  <w:footnote w:type="continuationSeparator" w:id="0">
    <w:p w14:paraId="6279A2B1" w14:textId="77777777" w:rsidR="00074317" w:rsidRDefault="000743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6559"/>
    <w:multiLevelType w:val="multilevel"/>
    <w:tmpl w:val="B1BE3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F2456"/>
    <w:multiLevelType w:val="multilevel"/>
    <w:tmpl w:val="84C2A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358CF"/>
    <w:multiLevelType w:val="multilevel"/>
    <w:tmpl w:val="75DA995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F41600"/>
    <w:multiLevelType w:val="multilevel"/>
    <w:tmpl w:val="69848A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556B15"/>
    <w:multiLevelType w:val="multilevel"/>
    <w:tmpl w:val="A29A6C7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807AAF"/>
    <w:multiLevelType w:val="multilevel"/>
    <w:tmpl w:val="BEAC7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803C38"/>
    <w:multiLevelType w:val="multilevel"/>
    <w:tmpl w:val="054EF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A31AD8"/>
    <w:multiLevelType w:val="multilevel"/>
    <w:tmpl w:val="F98C3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E27266"/>
    <w:multiLevelType w:val="multilevel"/>
    <w:tmpl w:val="F16ECC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1433B5"/>
    <w:multiLevelType w:val="multilevel"/>
    <w:tmpl w:val="BD448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8022208">
    <w:abstractNumId w:val="3"/>
  </w:num>
  <w:num w:numId="2" w16cid:durableId="843714591">
    <w:abstractNumId w:val="0"/>
  </w:num>
  <w:num w:numId="3" w16cid:durableId="1170099927">
    <w:abstractNumId w:val="9"/>
  </w:num>
  <w:num w:numId="4" w16cid:durableId="1240558199">
    <w:abstractNumId w:val="8"/>
  </w:num>
  <w:num w:numId="5" w16cid:durableId="1566793306">
    <w:abstractNumId w:val="4"/>
  </w:num>
  <w:num w:numId="6" w16cid:durableId="447702862">
    <w:abstractNumId w:val="5"/>
  </w:num>
  <w:num w:numId="7" w16cid:durableId="1229539638">
    <w:abstractNumId w:val="1"/>
  </w:num>
  <w:num w:numId="8" w16cid:durableId="833761872">
    <w:abstractNumId w:val="7"/>
  </w:num>
  <w:num w:numId="9" w16cid:durableId="1800492737">
    <w:abstractNumId w:val="6"/>
  </w:num>
  <w:num w:numId="10" w16cid:durableId="795025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17"/>
    <w:rsid w:val="00074317"/>
    <w:rsid w:val="001E60C4"/>
    <w:rsid w:val="002B4DC5"/>
    <w:rsid w:val="002E7605"/>
    <w:rsid w:val="00342483"/>
    <w:rsid w:val="006469BF"/>
    <w:rsid w:val="00683D60"/>
    <w:rsid w:val="007622BB"/>
    <w:rsid w:val="009661D4"/>
    <w:rsid w:val="00A001A9"/>
    <w:rsid w:val="00BB0A46"/>
    <w:rsid w:val="00C34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FF09"/>
  <w15:docId w15:val="{A138A84D-6CB0-4F52-81C1-9B79C8BE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3"/>
      <w:szCs w:val="13"/>
      <w:u w:val="none"/>
      <w:shd w:val="clear" w:color="auto" w:fill="auto"/>
    </w:rPr>
  </w:style>
  <w:style w:type="character" w:customStyle="1" w:styleId="Other1">
    <w:name w:val="Other|1_"/>
    <w:basedOn w:val="Standardnpsmoodstavce"/>
    <w:link w:val="Other10"/>
    <w:rPr>
      <w:b w:val="0"/>
      <w:bCs w:val="0"/>
      <w:i w:val="0"/>
      <w:iCs w:val="0"/>
      <w:smallCaps w:val="0"/>
      <w:strike w:val="0"/>
      <w:sz w:val="16"/>
      <w:szCs w:val="16"/>
      <w:u w:val="none"/>
      <w:shd w:val="clear" w:color="auto" w:fill="auto"/>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3"/>
      <w:szCs w:val="13"/>
      <w:u w:val="none"/>
      <w:shd w:val="clear" w:color="auto" w:fill="auto"/>
    </w:rPr>
  </w:style>
  <w:style w:type="character" w:customStyle="1" w:styleId="Heading21">
    <w:name w:val="Heading #2|1_"/>
    <w:basedOn w:val="Standardnpsmoodstavce"/>
    <w:link w:val="Heading210"/>
    <w:rPr>
      <w:rFonts w:ascii="Arial" w:eastAsia="Arial" w:hAnsi="Arial" w:cs="Arial"/>
      <w:b/>
      <w:bCs/>
      <w:i/>
      <w:iCs/>
      <w:smallCaps w:val="0"/>
      <w:strike w:val="0"/>
      <w:u w:val="none"/>
      <w:shd w:val="clear" w:color="auto" w:fill="auto"/>
    </w:rPr>
  </w:style>
  <w:style w:type="character" w:customStyle="1" w:styleId="Bodytext1">
    <w:name w:val="Body text|1_"/>
    <w:basedOn w:val="Standardnpsmoodstavce"/>
    <w:link w:val="Bodytext10"/>
    <w:rPr>
      <w:b w:val="0"/>
      <w:bCs w:val="0"/>
      <w:i w:val="0"/>
      <w:iCs w:val="0"/>
      <w:smallCaps w:val="0"/>
      <w:strike w:val="0"/>
      <w:sz w:val="16"/>
      <w:szCs w:val="16"/>
      <w:u w:val="none"/>
      <w:shd w:val="clear" w:color="auto" w:fill="auto"/>
    </w:rPr>
  </w:style>
  <w:style w:type="character" w:customStyle="1" w:styleId="Heading11">
    <w:name w:val="Heading #1|1_"/>
    <w:basedOn w:val="Standardnpsmoodstavce"/>
    <w:link w:val="Heading110"/>
    <w:rPr>
      <w:rFonts w:ascii="Arial" w:eastAsia="Arial" w:hAnsi="Arial" w:cs="Arial"/>
      <w:b/>
      <w:bCs/>
      <w:i/>
      <w:iCs/>
      <w:smallCaps w:val="0"/>
      <w:strike w:val="0"/>
      <w:sz w:val="36"/>
      <w:szCs w:val="36"/>
      <w:u w:val="singl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3"/>
      <w:szCs w:val="13"/>
      <w:u w:val="none"/>
      <w:shd w:val="clear" w:color="auto" w:fill="auto"/>
    </w:rPr>
  </w:style>
  <w:style w:type="character" w:customStyle="1" w:styleId="Bodytext4">
    <w:name w:val="Body text|4_"/>
    <w:basedOn w:val="Standardnpsmoodstavce"/>
    <w:link w:val="Bodytext40"/>
    <w:rPr>
      <w:rFonts w:ascii="Arial" w:eastAsia="Arial" w:hAnsi="Arial" w:cs="Arial"/>
      <w:b/>
      <w:bCs/>
      <w:i w:val="0"/>
      <w:iCs w:val="0"/>
      <w:smallCaps w:val="0"/>
      <w:strike w:val="0"/>
      <w:sz w:val="20"/>
      <w:szCs w:val="20"/>
      <w:u w:val="none"/>
      <w:shd w:val="clear" w:color="auto" w:fill="auto"/>
    </w:rPr>
  </w:style>
  <w:style w:type="character" w:customStyle="1" w:styleId="Heading31">
    <w:name w:val="Heading #3|1_"/>
    <w:basedOn w:val="Standardnpsmoodstavce"/>
    <w:link w:val="Heading310"/>
    <w:rPr>
      <w:b/>
      <w:bCs/>
      <w:i w:val="0"/>
      <w:iCs w:val="0"/>
      <w:smallCaps w:val="0"/>
      <w:strike w:val="0"/>
      <w:sz w:val="16"/>
      <w:szCs w:val="16"/>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34"/>
      <w:szCs w:val="34"/>
      <w:u w:val="none"/>
      <w:shd w:val="clear" w:color="auto" w:fill="auto"/>
    </w:rPr>
  </w:style>
  <w:style w:type="paragraph" w:customStyle="1" w:styleId="Headerorfooter20">
    <w:name w:val="Header or footer|2"/>
    <w:basedOn w:val="Normln"/>
    <w:link w:val="Headerorfooter2"/>
    <w:rPr>
      <w:sz w:val="20"/>
      <w:szCs w:val="20"/>
    </w:rPr>
  </w:style>
  <w:style w:type="paragraph" w:customStyle="1" w:styleId="Headerorfooter10">
    <w:name w:val="Header or footer|1"/>
    <w:basedOn w:val="Normln"/>
    <w:link w:val="Headerorfooter1"/>
    <w:rPr>
      <w:rFonts w:ascii="Arial" w:eastAsia="Arial" w:hAnsi="Arial" w:cs="Arial"/>
      <w:sz w:val="13"/>
      <w:szCs w:val="13"/>
    </w:rPr>
  </w:style>
  <w:style w:type="paragraph" w:customStyle="1" w:styleId="Other10">
    <w:name w:val="Other|1"/>
    <w:basedOn w:val="Normln"/>
    <w:link w:val="Other1"/>
    <w:pPr>
      <w:spacing w:line="259" w:lineRule="auto"/>
    </w:pPr>
    <w:rPr>
      <w:sz w:val="16"/>
      <w:szCs w:val="16"/>
    </w:rPr>
  </w:style>
  <w:style w:type="paragraph" w:customStyle="1" w:styleId="Tablecaption10">
    <w:name w:val="Table caption|1"/>
    <w:basedOn w:val="Normln"/>
    <w:link w:val="Tablecaption1"/>
    <w:rPr>
      <w:rFonts w:ascii="Arial" w:eastAsia="Arial" w:hAnsi="Arial" w:cs="Arial"/>
      <w:sz w:val="13"/>
      <w:szCs w:val="13"/>
    </w:rPr>
  </w:style>
  <w:style w:type="paragraph" w:customStyle="1" w:styleId="Heading210">
    <w:name w:val="Heading #2|1"/>
    <w:basedOn w:val="Normln"/>
    <w:link w:val="Heading21"/>
    <w:pPr>
      <w:spacing w:after="60"/>
      <w:jc w:val="center"/>
      <w:outlineLvl w:val="1"/>
    </w:pPr>
    <w:rPr>
      <w:rFonts w:ascii="Arial" w:eastAsia="Arial" w:hAnsi="Arial" w:cs="Arial"/>
      <w:b/>
      <w:bCs/>
      <w:i/>
      <w:iCs/>
    </w:rPr>
  </w:style>
  <w:style w:type="paragraph" w:customStyle="1" w:styleId="Bodytext10">
    <w:name w:val="Body text|1"/>
    <w:basedOn w:val="Normln"/>
    <w:link w:val="Bodytext1"/>
    <w:pPr>
      <w:spacing w:line="259" w:lineRule="auto"/>
    </w:pPr>
    <w:rPr>
      <w:sz w:val="16"/>
      <w:szCs w:val="16"/>
    </w:rPr>
  </w:style>
  <w:style w:type="paragraph" w:customStyle="1" w:styleId="Heading110">
    <w:name w:val="Heading #1|1"/>
    <w:basedOn w:val="Normln"/>
    <w:link w:val="Heading11"/>
    <w:pPr>
      <w:ind w:firstLine="160"/>
      <w:outlineLvl w:val="0"/>
    </w:pPr>
    <w:rPr>
      <w:rFonts w:ascii="Arial" w:eastAsia="Arial" w:hAnsi="Arial" w:cs="Arial"/>
      <w:b/>
      <w:bCs/>
      <w:i/>
      <w:iCs/>
      <w:sz w:val="36"/>
      <w:szCs w:val="36"/>
      <w:u w:val="single"/>
    </w:rPr>
  </w:style>
  <w:style w:type="paragraph" w:customStyle="1" w:styleId="Bodytext20">
    <w:name w:val="Body text|2"/>
    <w:basedOn w:val="Normln"/>
    <w:link w:val="Bodytext2"/>
    <w:pPr>
      <w:spacing w:line="319" w:lineRule="auto"/>
    </w:pPr>
    <w:rPr>
      <w:rFonts w:ascii="Arial" w:eastAsia="Arial" w:hAnsi="Arial" w:cs="Arial"/>
      <w:sz w:val="13"/>
      <w:szCs w:val="13"/>
    </w:rPr>
  </w:style>
  <w:style w:type="paragraph" w:customStyle="1" w:styleId="Bodytext40">
    <w:name w:val="Body text|4"/>
    <w:basedOn w:val="Normln"/>
    <w:link w:val="Bodytext4"/>
    <w:rPr>
      <w:rFonts w:ascii="Arial" w:eastAsia="Arial" w:hAnsi="Arial" w:cs="Arial"/>
      <w:b/>
      <w:bCs/>
      <w:sz w:val="20"/>
      <w:szCs w:val="20"/>
    </w:rPr>
  </w:style>
  <w:style w:type="paragraph" w:customStyle="1" w:styleId="Heading310">
    <w:name w:val="Heading #3|1"/>
    <w:basedOn w:val="Normln"/>
    <w:link w:val="Heading31"/>
    <w:pPr>
      <w:spacing w:after="200" w:line="259" w:lineRule="auto"/>
      <w:jc w:val="center"/>
      <w:outlineLvl w:val="2"/>
    </w:pPr>
    <w:rPr>
      <w:b/>
      <w:bCs/>
      <w:sz w:val="16"/>
      <w:szCs w:val="16"/>
    </w:rPr>
  </w:style>
  <w:style w:type="paragraph" w:customStyle="1" w:styleId="Bodytext30">
    <w:name w:val="Body text|3"/>
    <w:basedOn w:val="Normln"/>
    <w:link w:val="Bodytext3"/>
    <w:pPr>
      <w:spacing w:line="283" w:lineRule="auto"/>
    </w:pPr>
    <w:rPr>
      <w:rFonts w:ascii="Arial" w:eastAsia="Arial" w:hAnsi="Arial" w:cs="Arial"/>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enadier@dajbych.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pr@dajbych4x4.cz" TargetMode="External"/><Relationship Id="rId5" Type="http://schemas.openxmlformats.org/officeDocument/2006/relationships/styles" Target="styles.xml"/><Relationship Id="rId10" Type="http://schemas.openxmlformats.org/officeDocument/2006/relationships/hyperlink" Target="http://www.dajbych4x4.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e15b6-40d6-4692-ae1a-0052fc993e14">
      <Terms xmlns="http://schemas.microsoft.com/office/infopath/2007/PartnerControls"/>
    </lcf76f155ced4ddcb4097134ff3c332f>
    <TaxCatchAll xmlns="72108b79-8fff-470d-afdf-58fa270290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5" ma:contentTypeDescription="Vytvoří nový dokument" ma:contentTypeScope="" ma:versionID="1a951e0fd48fb0313ba454f9cf95cdef">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eebe0331cfb05df91572d00a99b4d145"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e513c68-8153-430b-b163-26f9762277eb}"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3DC98-F3A8-4C4B-B5BC-460A9B3C771F}">
  <ds:schemaRefs>
    <ds:schemaRef ds:uri="http://schemas.microsoft.com/office/2006/metadata/properties"/>
    <ds:schemaRef ds:uri="http://schemas.microsoft.com/office/infopath/2007/PartnerControls"/>
    <ds:schemaRef ds:uri="b62e15b6-40d6-4692-ae1a-0052fc993e14"/>
    <ds:schemaRef ds:uri="72108b79-8fff-470d-afdf-58fa27029092"/>
  </ds:schemaRefs>
</ds:datastoreItem>
</file>

<file path=customXml/itemProps2.xml><?xml version="1.0" encoding="utf-8"?>
<ds:datastoreItem xmlns:ds="http://schemas.openxmlformats.org/officeDocument/2006/customXml" ds:itemID="{E96FB0DE-7C4F-440A-9991-E1940C67B770}">
  <ds:schemaRefs>
    <ds:schemaRef ds:uri="http://schemas.microsoft.com/sharepoint/v3/contenttype/forms"/>
  </ds:schemaRefs>
</ds:datastoreItem>
</file>

<file path=customXml/itemProps3.xml><?xml version="1.0" encoding="utf-8"?>
<ds:datastoreItem xmlns:ds="http://schemas.openxmlformats.org/officeDocument/2006/customXml" ds:itemID="{4457A30C-6429-400C-9880-35CF27389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3972</Words>
  <Characters>23436</Characters>
  <Application>Microsoft Office Word</Application>
  <DocSecurity>0</DocSecurity>
  <Lines>195</Lines>
  <Paragraphs>54</Paragraphs>
  <ScaleCrop>false</ScaleCrop>
  <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Rathouská Martina</dc:creator>
  <cp:lastModifiedBy>Rathouská Martina</cp:lastModifiedBy>
  <cp:revision>10</cp:revision>
  <dcterms:created xsi:type="dcterms:W3CDTF">2025-06-23T07:08:00Z</dcterms:created>
  <dcterms:modified xsi:type="dcterms:W3CDTF">2025-06-23T07:27:00Z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0x010100136FEC76441EB8499E4ED526A2892697</vt:lpwstr>
  </property>
  <property fmtid="{D5CDD505-2E9C-101B-9397-08002B2CF9AE}" pid="4" name="_DocHome">
    <vt:i4>-1627401180</vt:i4>
  </property>
</Properties>
</file>