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572/2025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888365</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50000000000003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Bobří potok - bio dozor při údržbě koryta v Bobří soutěsce</w:t>
      </w:r>
    </w:p>
    <w:p>
      <w:pPr>
        <w:pStyle w:val="Style2"/>
        <w:keepNext w:val="0"/>
        <w:keepLines w:val="0"/>
        <w:widowControl w:val="0"/>
        <w:shd w:val="clear" w:color="auto" w:fill="auto"/>
        <w:bidi w:val="0"/>
        <w:spacing w:before="0" w:after="0" w:line="240" w:lineRule="auto"/>
        <w:ind w:left="196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888365</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950000000000003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Aquagen s.r.o.</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Ruprechtická 199/122, 460 14 Liberec</w:t>
      </w:r>
    </w:p>
    <w:p>
      <w:pPr>
        <w:pStyle w:val="Style2"/>
        <w:keepNext w:val="0"/>
        <w:keepLines w:val="0"/>
        <w:widowControl w:val="0"/>
        <w:shd w:val="clear" w:color="auto" w:fill="auto"/>
        <w:bidi w:val="0"/>
        <w:spacing w:before="0" w:after="0" w:line="240" w:lineRule="auto"/>
        <w:ind w:left="2340" w:right="0" w:firstLine="0"/>
        <w:jc w:val="left"/>
      </w:pPr>
      <w:r>
        <w:rPr>
          <w:color w:val="000000"/>
          <w:spacing w:val="0"/>
          <w:w w:val="100"/>
          <w:position w:val="0"/>
          <w:shd w:val="clear" w:color="auto" w:fill="auto"/>
          <w:lang w:val="cs-CZ" w:eastAsia="cs-CZ" w:bidi="cs-CZ"/>
        </w:rPr>
        <w:t>03598993</w:t>
      </w:r>
    </w:p>
    <w:p>
      <w:pPr>
        <w:pStyle w:val="Style2"/>
        <w:keepNext w:val="0"/>
        <w:keepLines w:val="0"/>
        <w:widowControl w:val="0"/>
        <w:shd w:val="clear" w:color="auto" w:fill="auto"/>
        <w:bidi w:val="0"/>
        <w:spacing w:before="0" w:after="320" w:line="240" w:lineRule="auto"/>
        <w:ind w:left="2340" w:right="0" w:firstLine="0"/>
        <w:jc w:val="left"/>
      </w:pPr>
      <w:r>
        <w:rPr>
          <w:color w:val="000000"/>
          <w:spacing w:val="0"/>
          <w:w w:val="100"/>
          <w:position w:val="0"/>
          <w:shd w:val="clear" w:color="auto" w:fill="auto"/>
          <w:lang w:val="cs-CZ" w:eastAsia="cs-CZ" w:bidi="cs-CZ"/>
        </w:rPr>
        <w:t>CZ03598993</w:t>
      </w:r>
    </w:p>
    <w:p>
      <w:pPr>
        <w:pStyle w:val="Style2"/>
        <w:keepNext w:val="0"/>
        <w:keepLines w:val="0"/>
        <w:widowControl w:val="0"/>
        <w:shd w:val="clear" w:color="auto" w:fill="auto"/>
        <w:bidi w:val="0"/>
        <w:spacing w:before="0" w:after="554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462" w:val="left"/>
        </w:tabs>
        <w:bidi w:val="0"/>
        <w:spacing w:before="0" w:after="60" w:line="240" w:lineRule="auto"/>
        <w:ind w:right="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Předmětem díla je provedení biologického dozoru při provádění údržby koryta vodního toku (odstranění dřevní hmoty) Bobří potok v Bobří soutěsce.</w:t>
      </w:r>
      <w:bookmarkEnd w:id="4"/>
      <w:bookmarkEnd w:id="5"/>
      <w:bookmarkEnd w:id="7"/>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Jedná se o tyto práce:</w:t>
      </w:r>
    </w:p>
    <w:p>
      <w:pPr>
        <w:pStyle w:val="Style2"/>
        <w:keepNext w:val="0"/>
        <w:keepLines w:val="0"/>
        <w:widowControl w:val="0"/>
        <w:numPr>
          <w:ilvl w:val="0"/>
          <w:numId w:val="3"/>
        </w:numPr>
        <w:shd w:val="clear" w:color="auto" w:fill="auto"/>
        <w:tabs>
          <w:tab w:pos="767" w:val="left"/>
        </w:tabs>
        <w:bidi w:val="0"/>
        <w:spacing w:before="0" w:after="0" w:line="240" w:lineRule="auto"/>
        <w:ind w:left="0" w:right="0" w:firstLine="380"/>
        <w:jc w:val="left"/>
      </w:pPr>
      <w:bookmarkStart w:id="8" w:name="bookmark8"/>
      <w:bookmarkEnd w:id="8"/>
      <w:r>
        <w:rPr>
          <w:b/>
          <w:bCs/>
          <w:color w:val="000000"/>
          <w:spacing w:val="0"/>
          <w:w w:val="100"/>
          <w:position w:val="0"/>
          <w:shd w:val="clear" w:color="auto" w:fill="auto"/>
          <w:lang w:val="cs-CZ" w:eastAsia="cs-CZ" w:bidi="cs-CZ"/>
        </w:rPr>
        <w:t>etapa před zahájením prací: květen - červen 2025</w:t>
      </w:r>
    </w:p>
    <w:p>
      <w:pPr>
        <w:pStyle w:val="Style2"/>
        <w:keepNext w:val="0"/>
        <w:keepLines w:val="0"/>
        <w:widowControl w:val="0"/>
        <w:numPr>
          <w:ilvl w:val="0"/>
          <w:numId w:val="5"/>
        </w:numPr>
        <w:shd w:val="clear" w:color="auto" w:fill="auto"/>
        <w:tabs>
          <w:tab w:pos="657" w:val="left"/>
        </w:tabs>
        <w:bidi w:val="0"/>
        <w:spacing w:before="0" w:after="0" w:line="240" w:lineRule="auto"/>
        <w:ind w:left="380" w:right="0" w:firstLine="0"/>
        <w:jc w:val="both"/>
      </w:pPr>
      <w:bookmarkStart w:id="9" w:name="bookmark9"/>
      <w:bookmarkEnd w:id="9"/>
      <w:r>
        <w:rPr>
          <w:color w:val="000000"/>
          <w:spacing w:val="0"/>
          <w:w w:val="100"/>
          <w:position w:val="0"/>
          <w:shd w:val="clear" w:color="auto" w:fill="auto"/>
          <w:lang w:val="cs-CZ" w:eastAsia="cs-CZ" w:bidi="cs-CZ"/>
        </w:rPr>
        <w:t>Základní terénní rekognoskace, jednání se zhotovitelem údržby koryta vodního toku a investorem, jednání s AOPK ČR - 3 člověkodny</w:t>
      </w:r>
    </w:p>
    <w:p>
      <w:pPr>
        <w:pStyle w:val="Style2"/>
        <w:keepNext w:val="0"/>
        <w:keepLines w:val="0"/>
        <w:widowControl w:val="0"/>
        <w:numPr>
          <w:ilvl w:val="0"/>
          <w:numId w:val="3"/>
        </w:numPr>
        <w:shd w:val="clear" w:color="auto" w:fill="auto"/>
        <w:tabs>
          <w:tab w:pos="767" w:val="left"/>
        </w:tabs>
        <w:bidi w:val="0"/>
        <w:spacing w:before="0" w:after="0" w:line="240" w:lineRule="auto"/>
        <w:ind w:left="0" w:right="0" w:firstLine="380"/>
        <w:jc w:val="left"/>
      </w:pPr>
      <w:bookmarkStart w:id="10" w:name="bookmark10"/>
      <w:bookmarkEnd w:id="10"/>
      <w:r>
        <w:rPr>
          <w:b/>
          <w:bCs/>
          <w:color w:val="000000"/>
          <w:spacing w:val="0"/>
          <w:w w:val="100"/>
          <w:position w:val="0"/>
          <w:shd w:val="clear" w:color="auto" w:fill="auto"/>
          <w:lang w:val="cs-CZ" w:eastAsia="cs-CZ" w:bidi="cs-CZ"/>
        </w:rPr>
        <w:t>etapa během provádění prací: červenec - říjen 2025</w:t>
      </w:r>
    </w:p>
    <w:p>
      <w:pPr>
        <w:pStyle w:val="Style2"/>
        <w:keepNext w:val="0"/>
        <w:keepLines w:val="0"/>
        <w:widowControl w:val="0"/>
        <w:numPr>
          <w:ilvl w:val="0"/>
          <w:numId w:val="5"/>
        </w:numPr>
        <w:shd w:val="clear" w:color="auto" w:fill="auto"/>
        <w:tabs>
          <w:tab w:pos="657" w:val="left"/>
        </w:tabs>
        <w:bidi w:val="0"/>
        <w:spacing w:before="0" w:after="0" w:line="240" w:lineRule="auto"/>
        <w:ind w:left="380" w:right="0" w:firstLine="0"/>
        <w:jc w:val="both"/>
      </w:pPr>
      <w:bookmarkStart w:id="11" w:name="bookmark11"/>
      <w:bookmarkEnd w:id="11"/>
      <w:r>
        <w:rPr>
          <w:color w:val="000000"/>
          <w:spacing w:val="0"/>
          <w:w w:val="100"/>
          <w:position w:val="0"/>
          <w:shd w:val="clear" w:color="auto" w:fill="auto"/>
          <w:lang w:val="cs-CZ" w:eastAsia="cs-CZ" w:bidi="cs-CZ"/>
        </w:rPr>
        <w:t>Kontrola provádění prací zhotovitelem údržby koryta vodního toku v terénu, průběžné informování investora i AOPK ČR - 10 člověkodnů</w:t>
      </w:r>
    </w:p>
    <w:p>
      <w:pPr>
        <w:pStyle w:val="Style2"/>
        <w:keepNext w:val="0"/>
        <w:keepLines w:val="0"/>
        <w:widowControl w:val="0"/>
        <w:numPr>
          <w:ilvl w:val="0"/>
          <w:numId w:val="3"/>
        </w:numPr>
        <w:shd w:val="clear" w:color="auto" w:fill="auto"/>
        <w:tabs>
          <w:tab w:pos="767" w:val="left"/>
        </w:tabs>
        <w:bidi w:val="0"/>
        <w:spacing w:before="0" w:after="0" w:line="240" w:lineRule="auto"/>
        <w:ind w:left="0" w:right="0" w:firstLine="380"/>
        <w:jc w:val="left"/>
      </w:pPr>
      <w:bookmarkStart w:id="12" w:name="bookmark12"/>
      <w:bookmarkEnd w:id="12"/>
      <w:r>
        <w:rPr>
          <w:b/>
          <w:bCs/>
          <w:color w:val="000000"/>
          <w:spacing w:val="0"/>
          <w:w w:val="100"/>
          <w:position w:val="0"/>
          <w:shd w:val="clear" w:color="auto" w:fill="auto"/>
          <w:lang w:val="cs-CZ" w:eastAsia="cs-CZ" w:bidi="cs-CZ"/>
        </w:rPr>
        <w:t>etapa po ukončení realizačních zásahů: listopad- prosinec 2025</w:t>
      </w:r>
    </w:p>
    <w:p>
      <w:pPr>
        <w:pStyle w:val="Style2"/>
        <w:keepNext w:val="0"/>
        <w:keepLines w:val="0"/>
        <w:widowControl w:val="0"/>
        <w:numPr>
          <w:ilvl w:val="0"/>
          <w:numId w:val="5"/>
        </w:numPr>
        <w:shd w:val="clear" w:color="auto" w:fill="auto"/>
        <w:tabs>
          <w:tab w:pos="657" w:val="left"/>
        </w:tabs>
        <w:bidi w:val="0"/>
        <w:spacing w:before="0" w:line="240" w:lineRule="auto"/>
        <w:ind w:left="380" w:right="0" w:firstLine="0"/>
        <w:jc w:val="both"/>
      </w:pPr>
      <w:bookmarkStart w:id="13" w:name="bookmark13"/>
      <w:bookmarkEnd w:id="13"/>
      <w:r>
        <w:rPr>
          <w:color w:val="000000"/>
          <w:spacing w:val="0"/>
          <w:w w:val="100"/>
          <w:position w:val="0"/>
          <w:shd w:val="clear" w:color="auto" w:fill="auto"/>
          <w:lang w:val="cs-CZ" w:eastAsia="cs-CZ" w:bidi="cs-CZ"/>
        </w:rPr>
        <w:t>Terénní kontrola po dokončení prací, zpracování závěrečné zprávy, projednání s investorem a orgánem ochrany přírody - 2 člověkodny</w:t>
      </w:r>
    </w:p>
    <w:p>
      <w:pPr>
        <w:pStyle w:val="Style2"/>
        <w:keepNext w:val="0"/>
        <w:keepLines w:val="0"/>
        <w:widowControl w:val="0"/>
        <w:shd w:val="clear" w:color="auto" w:fill="auto"/>
        <w:bidi w:val="0"/>
        <w:spacing w:before="0" w:line="240" w:lineRule="auto"/>
        <w:ind w:left="0" w:right="0" w:firstLine="380"/>
        <w:jc w:val="left"/>
      </w:pPr>
      <w:r>
        <w:rPr>
          <w:b/>
          <w:bCs/>
          <w:color w:val="000000"/>
          <w:spacing w:val="0"/>
          <w:w w:val="100"/>
          <w:position w:val="0"/>
          <w:shd w:val="clear" w:color="auto" w:fill="auto"/>
          <w:lang w:val="cs-CZ" w:eastAsia="cs-CZ" w:bidi="cs-CZ"/>
        </w:rPr>
        <w:t>Celkový předpokládaný počet člověkodnů pro výkon biologického dozoru je 15.</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Místo provádění díla:</w:t>
      </w:r>
    </w:p>
    <w:p>
      <w:pPr>
        <w:pStyle w:val="Style2"/>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 xml:space="preserve">Koryto vodního toku Bobří potok na území přírodní památky Bobří soutěska: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začátek úseku: ř. km 19,780 (souřadnice JTSK: x: -738 222, y: -979691)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konec úseku: ř. km 21,700 (souřadnice JTSK: x :-739 806, y: -979 349) Vynechává se úsek v ř. km 21,183 - 21,374 – vodopád viz příloha č . 2 – Situace.</w:t>
      </w:r>
    </w:p>
    <w:p>
      <w:pPr>
        <w:pStyle w:val="Style12"/>
        <w:keepNext/>
        <w:keepLines/>
        <w:widowControl w:val="0"/>
        <w:numPr>
          <w:ilvl w:val="0"/>
          <w:numId w:val="1"/>
        </w:numPr>
        <w:shd w:val="clear" w:color="auto" w:fill="auto"/>
        <w:tabs>
          <w:tab w:pos="462" w:val="left"/>
        </w:tabs>
        <w:bidi w:val="0"/>
        <w:spacing w:before="0" w:line="240" w:lineRule="auto"/>
        <w:ind w:right="0"/>
        <w:jc w:val="both"/>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 xml:space="preserve">Zhotovitel se zavazuje provést výše uvedené dílo v rozsahu cenové nabídky,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4"/>
      <w:bookmarkEnd w:id="15"/>
      <w:bookmarkEnd w:id="17"/>
    </w:p>
    <w:p>
      <w:pPr>
        <w:pStyle w:val="Style12"/>
        <w:keepNext/>
        <w:keepLines/>
        <w:widowControl w:val="0"/>
        <w:numPr>
          <w:ilvl w:val="0"/>
          <w:numId w:val="1"/>
        </w:numPr>
        <w:shd w:val="clear" w:color="auto" w:fill="auto"/>
        <w:tabs>
          <w:tab w:pos="462" w:val="left"/>
        </w:tabs>
        <w:bidi w:val="0"/>
        <w:spacing w:before="0" w:line="240" w:lineRule="auto"/>
        <w:ind w:right="0"/>
        <w:jc w:val="both"/>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8"/>
      <w:bookmarkEnd w:id="19"/>
      <w:bookmarkEnd w:id="21"/>
    </w:p>
    <w:p>
      <w:pPr>
        <w:pStyle w:val="Style12"/>
        <w:keepNext/>
        <w:keepLines/>
        <w:widowControl w:val="0"/>
        <w:numPr>
          <w:ilvl w:val="0"/>
          <w:numId w:val="1"/>
        </w:numPr>
        <w:shd w:val="clear" w:color="auto" w:fill="auto"/>
        <w:tabs>
          <w:tab w:pos="462" w:val="left"/>
        </w:tabs>
        <w:bidi w:val="0"/>
        <w:spacing w:before="0" w:line="240" w:lineRule="auto"/>
        <w:ind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22"/>
      <w:bookmarkEnd w:id="23"/>
      <w:bookmarkEnd w:id="25"/>
    </w:p>
    <w:p>
      <w:pPr>
        <w:pStyle w:val="Style12"/>
        <w:keepNext/>
        <w:keepLines/>
        <w:widowControl w:val="0"/>
        <w:numPr>
          <w:ilvl w:val="0"/>
          <w:numId w:val="1"/>
        </w:numPr>
        <w:shd w:val="clear" w:color="auto" w:fill="auto"/>
        <w:tabs>
          <w:tab w:pos="462" w:val="left"/>
        </w:tabs>
        <w:bidi w:val="0"/>
        <w:spacing w:before="0" w:after="0" w:line="240" w:lineRule="auto"/>
        <w:ind w:right="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Objednatel předá zhotoviteli pracoviště (nebo jeho ucelenou část) prosté práv třetích osob.</w:t>
      </w:r>
      <w:bookmarkEnd w:id="26"/>
      <w:bookmarkEnd w:id="27"/>
      <w:bookmarkEnd w:id="29"/>
    </w:p>
    <w:p>
      <w:pPr>
        <w:pStyle w:val="Style12"/>
        <w:keepNext/>
        <w:keepLines/>
        <w:widowControl w:val="0"/>
        <w:shd w:val="clear" w:color="auto" w:fill="auto"/>
        <w:bidi w:val="0"/>
        <w:spacing w:before="0" w:line="240" w:lineRule="auto"/>
        <w:ind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30"/>
      <w:bookmarkEnd w:id="31"/>
      <w:bookmarkEnd w:id="32"/>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7"/>
        </w:numPr>
        <w:shd w:val="clear" w:color="auto" w:fill="auto"/>
        <w:tabs>
          <w:tab w:pos="462" w:val="left"/>
        </w:tabs>
        <w:bidi w:val="0"/>
        <w:spacing w:before="0" w:line="288" w:lineRule="auto"/>
        <w:ind w:left="380" w:right="0" w:hanging="380"/>
        <w:jc w:val="left"/>
      </w:pPr>
      <w:bookmarkStart w:id="33" w:name="bookmark33"/>
      <w:bookmarkEnd w:id="33"/>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9"/>
        </w:numPr>
        <w:shd w:val="clear" w:color="auto" w:fill="auto"/>
        <w:tabs>
          <w:tab w:pos="772" w:val="left"/>
        </w:tabs>
        <w:bidi w:val="0"/>
        <w:spacing w:before="0" w:after="0" w:line="240" w:lineRule="auto"/>
        <w:ind w:left="0" w:right="0" w:firstLine="380"/>
        <w:jc w:val="left"/>
      </w:pPr>
      <w:bookmarkStart w:id="34" w:name="bookmark34"/>
      <w:bookmarkEnd w:id="34"/>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Zhotovitel je povinen si převzít pracoviště nejpozději do 10 dnů od písemné výzvy TDI Výzva bude odeslána na e-mail zhotovitele: ………………..</w:t>
      </w:r>
    </w:p>
    <w:p>
      <w:pPr>
        <w:pStyle w:val="Style2"/>
        <w:keepNext w:val="0"/>
        <w:keepLines w:val="0"/>
        <w:widowControl w:val="0"/>
        <w:numPr>
          <w:ilvl w:val="0"/>
          <w:numId w:val="9"/>
        </w:numPr>
        <w:shd w:val="clear" w:color="auto" w:fill="auto"/>
        <w:tabs>
          <w:tab w:pos="786" w:val="left"/>
        </w:tabs>
        <w:bidi w:val="0"/>
        <w:spacing w:before="0" w:after="0" w:line="240" w:lineRule="auto"/>
        <w:ind w:left="0" w:right="0" w:firstLine="380"/>
        <w:jc w:val="left"/>
      </w:pPr>
      <w:bookmarkStart w:id="35" w:name="bookmark35"/>
      <w:bookmarkEnd w:id="35"/>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left"/>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9"/>
        </w:numPr>
        <w:shd w:val="clear" w:color="auto" w:fill="auto"/>
        <w:tabs>
          <w:tab w:pos="786" w:val="left"/>
        </w:tabs>
        <w:bidi w:val="0"/>
        <w:spacing w:before="0" w:line="240" w:lineRule="auto"/>
        <w:ind w:left="720" w:right="0" w:hanging="340"/>
        <w:jc w:val="left"/>
      </w:pPr>
      <w:bookmarkStart w:id="36" w:name="bookmark36"/>
      <w:bookmarkEnd w:id="36"/>
      <w:r>
        <w:rPr>
          <w:b/>
          <w:bCs/>
          <w:color w:val="000000"/>
          <w:spacing w:val="0"/>
          <w:w w:val="100"/>
          <w:position w:val="0"/>
          <w:shd w:val="clear" w:color="auto" w:fill="auto"/>
          <w:lang w:val="cs-CZ" w:eastAsia="cs-CZ" w:bidi="cs-CZ"/>
        </w:rPr>
        <w:t>předání a převzetí dokončeného díla: Nejpozději do 31.12.2025</w:t>
      </w:r>
    </w:p>
    <w:p>
      <w:pPr>
        <w:pStyle w:val="Style2"/>
        <w:keepNext w:val="0"/>
        <w:keepLines w:val="0"/>
        <w:widowControl w:val="0"/>
        <w:numPr>
          <w:ilvl w:val="0"/>
          <w:numId w:val="7"/>
        </w:numPr>
        <w:shd w:val="clear" w:color="auto" w:fill="auto"/>
        <w:tabs>
          <w:tab w:pos="379" w:val="left"/>
        </w:tabs>
        <w:bidi w:val="0"/>
        <w:spacing w:before="0" w:line="288" w:lineRule="auto"/>
        <w:ind w:left="380" w:right="0" w:hanging="380"/>
        <w:jc w:val="both"/>
      </w:pPr>
      <w:bookmarkStart w:id="37" w:name="bookmark37"/>
      <w:bookmarkEnd w:id="37"/>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7"/>
        </w:numPr>
        <w:shd w:val="clear" w:color="auto" w:fill="auto"/>
        <w:tabs>
          <w:tab w:pos="379" w:val="left"/>
        </w:tabs>
        <w:bidi w:val="0"/>
        <w:spacing w:before="0" w:line="293" w:lineRule="auto"/>
        <w:ind w:left="380" w:right="0" w:hanging="380"/>
        <w:jc w:val="both"/>
      </w:pPr>
      <w:bookmarkStart w:id="38" w:name="bookmark38"/>
      <w:bookmarkEnd w:id="3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7"/>
        </w:numPr>
        <w:shd w:val="clear" w:color="auto" w:fill="auto"/>
        <w:tabs>
          <w:tab w:pos="379" w:val="left"/>
        </w:tabs>
        <w:bidi w:val="0"/>
        <w:spacing w:before="0" w:after="0" w:line="288" w:lineRule="auto"/>
        <w:ind w:left="380" w:right="0" w:hanging="380"/>
        <w:jc w:val="both"/>
      </w:pPr>
      <w:bookmarkStart w:id="39" w:name="bookmark39"/>
      <w:bookmarkEnd w:id="3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88"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11"/>
        </w:numPr>
        <w:shd w:val="clear" w:color="auto" w:fill="auto"/>
        <w:tabs>
          <w:tab w:pos="379" w:val="left"/>
        </w:tabs>
        <w:bidi w:val="0"/>
        <w:spacing w:before="0" w:after="40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300" w:line="240" w:lineRule="auto"/>
        <w:ind w:left="380" w:right="0" w:firstLine="0"/>
        <w:jc w:val="both"/>
      </w:pPr>
      <w:r>
        <w:rPr>
          <w:b/>
          <w:bCs/>
          <w:color w:val="000000"/>
          <w:spacing w:val="0"/>
          <w:w w:val="100"/>
          <w:position w:val="0"/>
          <w:shd w:val="clear" w:color="auto" w:fill="auto"/>
          <w:lang w:val="cs-CZ" w:eastAsia="cs-CZ" w:bidi="cs-CZ"/>
        </w:rPr>
        <w:t>Dohodnutá sazba za člověkoden je 6800 Kč bez DPH/den a předpokládaný celkový počet člověkodní je 15, a proto je cena díla stanovena na:</w:t>
      </w:r>
    </w:p>
    <w:p>
      <w:pPr>
        <w:pStyle w:val="Style2"/>
        <w:keepNext w:val="0"/>
        <w:keepLines w:val="0"/>
        <w:widowControl w:val="0"/>
        <w:shd w:val="clear" w:color="auto" w:fill="auto"/>
        <w:bidi w:val="0"/>
        <w:spacing w:before="0" w:after="60" w:line="240" w:lineRule="auto"/>
        <w:ind w:left="2200" w:right="0" w:firstLine="0"/>
        <w:jc w:val="both"/>
      </w:pPr>
      <w:r>
        <w:rPr>
          <w:b/>
          <w:bCs/>
          <w:color w:val="000000"/>
          <w:spacing w:val="0"/>
          <w:w w:val="100"/>
          <w:position w:val="0"/>
          <w:shd w:val="clear" w:color="auto" w:fill="auto"/>
          <w:lang w:val="cs-CZ" w:eastAsia="cs-CZ" w:bidi="cs-CZ"/>
        </w:rPr>
        <w:t>102.000,00 Kč bez DPH</w:t>
      </w:r>
    </w:p>
    <w:p>
      <w:pPr>
        <w:pStyle w:val="Style2"/>
        <w:keepNext w:val="0"/>
        <w:keepLines w:val="0"/>
        <w:widowControl w:val="0"/>
        <w:shd w:val="clear" w:color="auto" w:fill="auto"/>
        <w:bidi w:val="0"/>
        <w:spacing w:before="0" w:after="30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11"/>
        </w:numPr>
        <w:shd w:val="clear" w:color="auto" w:fill="auto"/>
        <w:tabs>
          <w:tab w:pos="379" w:val="left"/>
        </w:tabs>
        <w:bidi w:val="0"/>
        <w:spacing w:before="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79"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9" w:val="left"/>
        </w:tabs>
        <w:bidi w:val="0"/>
        <w:spacing w:before="0" w:after="60" w:line="240" w:lineRule="auto"/>
        <w:ind w:left="380" w:right="0" w:hanging="380"/>
        <w:jc w:val="both"/>
      </w:pPr>
      <w:bookmarkStart w:id="45" w:name="bookmark45"/>
      <w:bookmarkEnd w:id="45"/>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3"/>
        </w:numPr>
        <w:shd w:val="clear" w:color="auto" w:fill="auto"/>
        <w:tabs>
          <w:tab w:pos="379" w:val="left"/>
        </w:tabs>
        <w:bidi w:val="0"/>
        <w:spacing w:before="0" w:after="60" w:line="240" w:lineRule="auto"/>
        <w:ind w:left="380" w:right="0" w:hanging="380"/>
        <w:jc w:val="both"/>
      </w:pPr>
      <w:bookmarkStart w:id="46" w:name="bookmark46"/>
      <w:bookmarkEnd w:id="46"/>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3"/>
        </w:numPr>
        <w:shd w:val="clear" w:color="auto" w:fill="auto"/>
        <w:tabs>
          <w:tab w:pos="379" w:val="left"/>
        </w:tabs>
        <w:bidi w:val="0"/>
        <w:spacing w:before="0" w:after="0" w:line="240" w:lineRule="auto"/>
        <w:ind w:left="380" w:right="0" w:hanging="380"/>
        <w:jc w:val="both"/>
      </w:pPr>
      <w:bookmarkStart w:id="47" w:name="bookmark47"/>
      <w:bookmarkEnd w:id="47"/>
      <w:r>
        <w:rPr>
          <w:color w:val="000000"/>
          <w:spacing w:val="0"/>
          <w:w w:val="100"/>
          <w:position w:val="0"/>
          <w:shd w:val="clear" w:color="auto" w:fill="auto"/>
          <w:lang w:val="cs-CZ" w:eastAsia="cs-CZ" w:bidi="cs-CZ"/>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w:t>
      </w:r>
      <w:r>
        <w:rPr>
          <w:color w:val="000000"/>
          <w:spacing w:val="0"/>
          <w:w w:val="100"/>
          <w:position w:val="0"/>
          <w:shd w:val="clear" w:color="auto" w:fill="auto"/>
          <w:lang w:val="cs-CZ" w:eastAsia="cs-CZ" w:bidi="cs-CZ"/>
        </w:rPr>
        <w:t>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3"/>
        </w:numPr>
        <w:shd w:val="clear" w:color="auto" w:fill="auto"/>
        <w:tabs>
          <w:tab w:pos="382" w:val="left"/>
        </w:tabs>
        <w:bidi w:val="0"/>
        <w:spacing w:before="0" w:after="18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82" w:val="left"/>
        </w:tabs>
        <w:bidi w:val="0"/>
        <w:spacing w:before="0" w:after="180" w:line="240" w:lineRule="auto"/>
        <w:ind w:left="0" w:right="0" w:firstLine="0"/>
        <w:jc w:val="both"/>
      </w:pPr>
      <w:bookmarkStart w:id="49" w:name="bookmark49"/>
      <w:bookmarkEnd w:id="4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50" w:name="bookmark50"/>
      <w:bookmarkEnd w:id="5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1" w:name="bookmark51"/>
      <w:bookmarkEnd w:id="51"/>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2" w:name="bookmark52"/>
      <w:bookmarkEnd w:id="52"/>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3" w:name="bookmark53"/>
      <w:bookmarkEnd w:id="53"/>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4" w:name="bookmark54"/>
      <w:bookmarkEnd w:id="5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5" w:name="bookmark55"/>
      <w:bookmarkEnd w:id="5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6" w:name="bookmark56"/>
      <w:bookmarkEnd w:id="56"/>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7" w:name="bookmark57"/>
      <w:bookmarkEnd w:id="5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5"/>
        </w:numPr>
        <w:shd w:val="clear" w:color="auto" w:fill="auto"/>
        <w:tabs>
          <w:tab w:pos="382" w:val="left"/>
        </w:tabs>
        <w:bidi w:val="0"/>
        <w:spacing w:before="0" w:after="180" w:line="240" w:lineRule="auto"/>
        <w:ind w:left="380" w:right="0" w:hanging="380"/>
        <w:jc w:val="both"/>
      </w:pPr>
      <w:bookmarkStart w:id="58" w:name="bookmark58"/>
      <w:bookmarkEnd w:id="5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5"/>
        </w:numPr>
        <w:shd w:val="clear" w:color="auto" w:fill="auto"/>
        <w:tabs>
          <w:tab w:pos="382" w:val="left"/>
        </w:tabs>
        <w:bidi w:val="0"/>
        <w:spacing w:before="0" w:after="380" w:line="240" w:lineRule="auto"/>
        <w:ind w:left="380" w:right="0" w:hanging="380"/>
        <w:jc w:val="both"/>
      </w:pPr>
      <w:bookmarkStart w:id="59" w:name="bookmark59"/>
      <w:bookmarkEnd w:id="5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7"/>
        </w:numPr>
        <w:shd w:val="clear" w:color="auto" w:fill="auto"/>
        <w:tabs>
          <w:tab w:pos="382" w:val="left"/>
        </w:tabs>
        <w:bidi w:val="0"/>
        <w:spacing w:before="0" w:after="180" w:line="240" w:lineRule="auto"/>
        <w:ind w:left="0" w:right="0" w:firstLine="0"/>
        <w:jc w:val="both"/>
      </w:pPr>
      <w:bookmarkStart w:id="60" w:name="bookmark60"/>
      <w:bookmarkEnd w:id="60"/>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6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5"/>
        </w:numPr>
        <w:shd w:val="clear" w:color="auto" w:fill="auto"/>
        <w:tabs>
          <w:tab w:pos="986" w:val="left"/>
        </w:tabs>
        <w:bidi w:val="0"/>
        <w:spacing w:before="0" w:after="0" w:line="240" w:lineRule="auto"/>
        <w:ind w:left="0" w:right="0" w:firstLine="380"/>
        <w:jc w:val="both"/>
      </w:pPr>
      <w:bookmarkStart w:id="61" w:name="bookmark61"/>
      <w:bookmarkEnd w:id="6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5"/>
        </w:numPr>
        <w:shd w:val="clear" w:color="auto" w:fill="auto"/>
        <w:tabs>
          <w:tab w:pos="986" w:val="left"/>
        </w:tabs>
        <w:bidi w:val="0"/>
        <w:spacing w:before="0" w:after="0" w:line="240" w:lineRule="auto"/>
        <w:ind w:left="1020" w:right="0" w:hanging="580"/>
        <w:jc w:val="both"/>
      </w:pPr>
      <w:bookmarkStart w:id="62" w:name="bookmark62"/>
      <w:bookmarkEnd w:id="6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5"/>
        </w:numPr>
        <w:shd w:val="clear" w:color="auto" w:fill="auto"/>
        <w:tabs>
          <w:tab w:pos="986" w:val="left"/>
        </w:tabs>
        <w:bidi w:val="0"/>
        <w:spacing w:before="0" w:after="0" w:line="240" w:lineRule="auto"/>
        <w:ind w:left="1020" w:right="0" w:hanging="580"/>
        <w:jc w:val="both"/>
      </w:pPr>
      <w:bookmarkStart w:id="63" w:name="bookmark63"/>
      <w:bookmarkEnd w:id="6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p>
    <w:p>
      <w:pPr>
        <w:pStyle w:val="Style2"/>
        <w:keepNext w:val="0"/>
        <w:keepLines w:val="0"/>
        <w:widowControl w:val="0"/>
        <w:shd w:val="clear" w:color="auto" w:fill="auto"/>
        <w:bidi w:val="0"/>
        <w:spacing w:before="0" w:after="100" w:line="240" w:lineRule="auto"/>
        <w:ind w:left="380" w:right="0" w:firstLine="6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6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76" w:val="left"/>
        </w:tabs>
        <w:bidi w:val="0"/>
        <w:spacing w:before="0" w:after="180" w:line="240" w:lineRule="auto"/>
        <w:ind w:left="380" w:right="0" w:hanging="380"/>
        <w:jc w:val="both"/>
      </w:pPr>
      <w:bookmarkStart w:id="64" w:name="bookmark64"/>
      <w:bookmarkEnd w:id="6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9"/>
        </w:numPr>
        <w:shd w:val="clear" w:color="auto" w:fill="auto"/>
        <w:tabs>
          <w:tab w:pos="376" w:val="left"/>
        </w:tabs>
        <w:bidi w:val="0"/>
        <w:spacing w:before="0" w:after="14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102" w:left="1392" w:right="1387" w:bottom="1255" w:header="0" w:footer="3" w:gutter="0"/>
          <w:pgNumType w:start="1"/>
          <w:cols w:space="720"/>
          <w:noEndnote/>
          <w:rtlGutter w:val="0"/>
          <w:docGrid w:linePitch="360"/>
        </w:sectPr>
      </w:pPr>
      <w:bookmarkStart w:id="65" w:name="bookmark65"/>
      <w:bookmarkEnd w:id="65"/>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66" w:name="bookmark66"/>
      <w:bookmarkEnd w:id="6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68" w:name="bookmark68"/>
      <w:bookmarkEnd w:id="6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1"/>
        </w:numPr>
        <w:shd w:val="clear" w:color="auto" w:fill="auto"/>
        <w:tabs>
          <w:tab w:pos="358" w:val="left"/>
        </w:tabs>
        <w:bidi w:val="0"/>
        <w:spacing w:before="0" w:after="300" w:line="240" w:lineRule="auto"/>
        <w:ind w:left="380" w:right="0" w:hanging="380"/>
        <w:jc w:val="both"/>
      </w:pPr>
      <w:bookmarkStart w:id="69" w:name="bookmark69"/>
      <w:bookmarkEnd w:id="69"/>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5"/>
        </w:numPr>
        <w:shd w:val="clear" w:color="auto" w:fill="auto"/>
        <w:tabs>
          <w:tab w:pos="1174" w:val="left"/>
        </w:tabs>
        <w:bidi w:val="0"/>
        <w:spacing w:before="0" w:after="0" w:line="240" w:lineRule="auto"/>
        <w:ind w:left="1160" w:right="0" w:hanging="360"/>
        <w:jc w:val="both"/>
      </w:pPr>
      <w:bookmarkStart w:id="73" w:name="bookmark73"/>
      <w:bookmarkStart w:id="74" w:name="bookmark74"/>
      <w:bookmarkStart w:id="75" w:name="bookmark75"/>
      <w:bookmarkStart w:id="76" w:name="bookmark76"/>
      <w:bookmarkEnd w:id="75"/>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73"/>
      <w:bookmarkEnd w:id="74"/>
      <w:bookmarkEnd w:id="76"/>
    </w:p>
    <w:p>
      <w:pPr>
        <w:pStyle w:val="Style12"/>
        <w:keepNext/>
        <w:keepLines/>
        <w:widowControl w:val="0"/>
        <w:numPr>
          <w:ilvl w:val="0"/>
          <w:numId w:val="25"/>
        </w:numPr>
        <w:shd w:val="clear" w:color="auto" w:fill="auto"/>
        <w:tabs>
          <w:tab w:pos="1174" w:val="left"/>
        </w:tabs>
        <w:bidi w:val="0"/>
        <w:spacing w:before="0" w:line="240" w:lineRule="auto"/>
        <w:ind w:left="0" w:right="0" w:firstLine="80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bezdůvodném přerušení prací zhotovitele, které trvá více než 14 dnů,</w:t>
      </w:r>
      <w:bookmarkEnd w:id="77"/>
      <w:bookmarkEnd w:id="78"/>
      <w:bookmarkEnd w:id="80"/>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 xml:space="preserve">Smlouva nabývá platnosti dnem jejího podpisu poslední ze smluvních stran a účinnosti zveřejněním v Registru smluv, pokud této účinnosti dle příslušných ustanovení smlouvy nenabude později. Plnění předmětu této smlouvy před účinností této smlouvy se </w:t>
      </w:r>
      <w:r>
        <w:rPr>
          <w:color w:val="000000"/>
          <w:spacing w:val="0"/>
          <w:w w:val="100"/>
          <w:position w:val="0"/>
          <w:shd w:val="clear" w:color="auto" w:fill="auto"/>
          <w:lang w:val="cs-CZ" w:eastAsia="cs-CZ" w:bidi="cs-CZ"/>
        </w:rPr>
        <w:t>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89" w:name="bookmark89"/>
      <w:bookmarkEnd w:id="8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42" w:val="left"/>
        </w:tabs>
        <w:bidi w:val="0"/>
        <w:spacing w:before="0" w:after="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Cenová nabídka zhotovitele</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r>
        <w:br w:type="page"/>
      </w:r>
    </w:p>
    <w:p>
      <w:pPr>
        <w:pStyle w:val="Style2"/>
        <w:keepNext w:val="0"/>
        <w:keepLines w:val="0"/>
        <w:widowControl w:val="0"/>
        <w:shd w:val="clear" w:color="auto" w:fill="auto"/>
        <w:bidi w:val="0"/>
        <w:spacing w:before="0" w:after="420" w:line="240" w:lineRule="auto"/>
        <w:ind w:left="1460" w:right="0" w:hanging="108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tbl>
      <w:tblPr>
        <w:tblOverlap w:val="never"/>
        <w:jc w:val="center"/>
        <w:tblLayout w:type="fixed"/>
      </w:tblPr>
      <w:tblGrid>
        <w:gridCol w:w="3576"/>
        <w:gridCol w:w="5549"/>
      </w:tblGrid>
      <w:tr>
        <w:trPr>
          <w:trHeight w:val="1027"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Digitálně podepsal:</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Digitálně podepsal:</w:t>
            </w:r>
          </w:p>
        </w:tc>
      </w:tr>
      <w:tr>
        <w:trPr>
          <w:trHeight w:val="1358" w:hRule="exact"/>
        </w:trPr>
        <w:tc>
          <w:tcPr>
            <w:tcBorders/>
            <w:shd w:val="clear" w:color="auto" w:fill="FFFFFF"/>
            <w:vAlign w:val="bottom"/>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c>
        <w:tc>
          <w:tcPr>
            <w:tcBorders/>
            <w:shd w:val="clear" w:color="auto" w:fill="FFFFFF"/>
            <w:vAlign w:val="bottom"/>
          </w:tcPr>
          <w:p>
            <w:pPr>
              <w:pStyle w:val="Style18"/>
              <w:keepNext w:val="0"/>
              <w:keepLines w:val="0"/>
              <w:widowControl w:val="0"/>
              <w:shd w:val="clear" w:color="auto" w:fill="auto"/>
              <w:bidi w:val="0"/>
              <w:spacing w:before="0" w:after="0" w:line="240" w:lineRule="auto"/>
              <w:ind w:left="1480" w:right="0" w:firstLine="0"/>
              <w:jc w:val="left"/>
            </w:pPr>
            <w:r>
              <w:rPr>
                <w:color w:val="000000"/>
                <w:spacing w:val="0"/>
                <w:w w:val="100"/>
                <w:position w:val="0"/>
                <w:shd w:val="clear" w:color="auto" w:fill="auto"/>
                <w:lang w:val="cs-CZ" w:eastAsia="cs-CZ" w:bidi="cs-CZ"/>
              </w:rPr>
              <w:t>…………………………………… za Aquagen s.r.o.</w:t>
            </w:r>
          </w:p>
        </w:tc>
      </w:tr>
    </w:tbl>
    <w:sectPr>
      <w:footnotePr>
        <w:pos w:val="pageBottom"/>
        <w:numFmt w:val="decimal"/>
        <w:numRestart w:val="continuous"/>
      </w:footnotePr>
      <w:pgSz w:w="11909" w:h="16838"/>
      <w:pgMar w:top="1161" w:left="1394" w:right="1389" w:bottom="140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5993765</wp:posOffset>
              </wp:positionH>
              <wp:positionV relativeFrom="page">
                <wp:posOffset>9958705</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 id="_x0000_s1033" type="#_x0000_t202" style="position:absolute;margin-left:471.94999999999999pt;margin-top:784.14999999999998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3366135</wp:posOffset>
              </wp:positionH>
              <wp:positionV relativeFrom="page">
                <wp:posOffset>410210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05000000000001pt;margin-top:32.299999999999997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20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