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23734151" name="Picture">
</wp:docPr>
                  <a:graphic>
                    <a:graphicData uri="http://schemas.openxmlformats.org/drawingml/2006/picture">
                      <pic:pic>
                        <pic:nvPicPr>
                          <pic:cNvPr id="1123734151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0025030032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25030032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9845461" name="Picture">
</wp:docPr>
                  <a:graphic>
                    <a:graphicData uri="http://schemas.openxmlformats.org/drawingml/2006/picture">
                      <pic:pic>
                        <pic:nvPicPr>
                          <pic:cNvPr id="189845461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Shangai UCHEM Inc.</w:t>
              <w:br/>
              <w:t xml:space="preserve">Dunhuang Road 799</w:t>
              <w:br/>
              <w:t xml:space="preserve">200032 Shanghai</w:t>
              <w:br/>
              <w:t xml:space="preserve">Čína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Müllerová Jana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311236951, e-mail: objednavky@iic.cas.cz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04.07.2025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Institute of Inorganic Chemistry of the Czech Academy of Sciences, Husinec - Rez 1001, Building 273, 250 68  Husinec - Rez, Czech Republic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DHL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o-Carborane 98% min., CAS:16872-09-6, white powder, 250 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pc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4 994,00 USD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4 994,00 USD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4 994,00 USD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20.06.2025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742501 \ 120 \ 230818 - Demel \ 0320   Deník: 3 \ Neinvestice - zahraniční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