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7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ředitelka školy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František Mošanský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60172550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Mirošovická 1733/21, 100 00 Praha 10-Strašnice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16062025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16. 6. 2025</w:t>
      </w:r>
    </w:p>
    <w:p w:rsidR="00000000" w:rsidDel="00000000" w:rsidP="00000000" w:rsidRDefault="00000000" w:rsidRPr="00000000" w14:paraId="00000014">
      <w:pPr>
        <w:ind w:left="57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Č.j. 2025/435/1</w:t>
        <w:tab/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průzkumu trhu a Vaší cenové nabídky z 7. 6. 2025 objednáváme následující službu v termínu od 1. 7. 2025 do 31. 7. 2025.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5"/>
        <w:gridCol w:w="930"/>
        <w:gridCol w:w="1410"/>
        <w:gridCol w:w="1560"/>
        <w:tblGridChange w:id="0">
          <w:tblGrid>
            <w:gridCol w:w="4455"/>
            <w:gridCol w:w="930"/>
            <w:gridCol w:w="141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1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64,00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4 480,00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64,00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2 560,00 Kč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64,00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5 440,00 Kč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parapetu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1 800,00 Kč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1 800,00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26 280,00 Kč</w:t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915"/>
        <w:gridCol w:w="1410"/>
        <w:gridCol w:w="1560"/>
        <w:tblGridChange w:id="0">
          <w:tblGrid>
            <w:gridCol w:w="4470"/>
            <w:gridCol w:w="915"/>
            <w:gridCol w:w="141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6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65,00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4 550,00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65,00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2 600,00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65,00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5 525,00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opravy a nátěr soklů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9 500,00 Kč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9 500,00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34 175,00 Kč</w:t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945"/>
        <w:gridCol w:w="1425"/>
        <w:gridCol w:w="1560"/>
        <w:tblGridChange w:id="0">
          <w:tblGrid>
            <w:gridCol w:w="4425"/>
            <w:gridCol w:w="945"/>
            <w:gridCol w:w="142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7 a 8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oprava malby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2 000,00 Kč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15 000,00 Kč</w:t>
            </w:r>
          </w:p>
        </w:tc>
      </w:tr>
      <w:tr>
        <w:trPr>
          <w:cantSplit w:val="0"/>
          <w:trHeight w:val="259.9804687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opravy a nátěr soklu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10 500,00 Kč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43 000,00 Kč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915"/>
        <w:gridCol w:w="1455"/>
        <w:gridCol w:w="1560"/>
        <w:tblGridChange w:id="0">
          <w:tblGrid>
            <w:gridCol w:w="4425"/>
            <w:gridCol w:w="915"/>
            <w:gridCol w:w="145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20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21,00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1 470,00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21,00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840,00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21,00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1 785,00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opravy a nátěr soklu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4 000,00 Kč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4 000,00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15 595,00 Kč</w:t>
            </w:r>
          </w:p>
        </w:tc>
      </w:tr>
    </w:tbl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915"/>
        <w:gridCol w:w="1455"/>
        <w:gridCol w:w="1560"/>
        <w:tblGridChange w:id="0">
          <w:tblGrid>
            <w:gridCol w:w="4425"/>
            <w:gridCol w:w="915"/>
            <w:gridCol w:w="145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21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56,00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3 920,00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56,00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2 240,00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56,00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4 760,00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opravy a nátěr soklu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 7 500,00 Kč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7 500,00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30 420,00 Kč</w:t>
            </w:r>
          </w:p>
        </w:tc>
      </w:tr>
    </w:tbl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915"/>
        <w:gridCol w:w="1455"/>
        <w:gridCol w:w="1560"/>
        <w:tblGridChange w:id="0">
          <w:tblGrid>
            <w:gridCol w:w="4425"/>
            <w:gridCol w:w="915"/>
            <w:gridCol w:w="145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UČEBNA 22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57,00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3 990,00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57,00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2 280,00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57,00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4 845,00 Kč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15 615,00 Kč</w:t>
            </w:r>
          </w:p>
        </w:tc>
      </w:tr>
    </w:tbl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915"/>
        <w:gridCol w:w="1455"/>
        <w:gridCol w:w="1560"/>
        <w:tblGridChange w:id="0">
          <w:tblGrid>
            <w:gridCol w:w="4425"/>
            <w:gridCol w:w="915"/>
            <w:gridCol w:w="1455"/>
            <w:gridCol w:w="156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ŠATNA TĚLOCVIČNA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škrábání, očištění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48,00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70,00 Kč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3 360,00 Kč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penetrace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48,00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40,00 Kč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1 920,00 Kč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sádrování a tmelení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2x malba bílá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48,00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85,00 Kč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4 080,00 Kč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nátěr trubek a radiátorů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rHeight w:val="214.98046875" w:hRule="atLeast"/>
          <w:tblHeader w:val="1"/>
        </w:trPr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přípravné práce, zakrytí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1 500,00 Kč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16 860,00 Kč</w:t>
            </w:r>
          </w:p>
        </w:tc>
      </w:tr>
    </w:tbl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71611804"/>
        <w:tag w:val="goog_rdk_0"/>
      </w:sdtPr>
      <w:sdtContent>
        <w:tbl>
          <w:tblPr>
            <w:tblStyle w:val="Table8"/>
            <w:tblW w:w="835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70"/>
            <w:gridCol w:w="1050"/>
            <w:gridCol w:w="1395"/>
            <w:gridCol w:w="1740"/>
            <w:tblGridChange w:id="0">
              <w:tblGrid>
                <w:gridCol w:w="4170"/>
                <w:gridCol w:w="1050"/>
                <w:gridCol w:w="1395"/>
                <w:gridCol w:w="1740"/>
              </w:tblGrid>
            </w:tblGridChange>
          </w:tblGrid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11E">
                <w:pPr>
                  <w:jc w:val="both"/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HLAVNÍ CHODBA 1.STUPEŇ</w:t>
                </w:r>
              </w:p>
            </w:tc>
            <w:tc>
              <w:tcPr/>
              <w:p w:rsidR="00000000" w:rsidDel="00000000" w:rsidP="00000000" w:rsidRDefault="00000000" w:rsidRPr="00000000" w14:paraId="0000011F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M2 / ks</w:t>
                </w:r>
              </w:p>
            </w:tc>
            <w:tc>
              <w:tcPr/>
              <w:p w:rsidR="00000000" w:rsidDel="00000000" w:rsidP="00000000" w:rsidRDefault="00000000" w:rsidRPr="00000000" w14:paraId="00000120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Kč / MJ</w:t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Cena</w:t>
                </w:r>
              </w:p>
              <w:p w:rsidR="00000000" w:rsidDel="00000000" w:rsidP="00000000" w:rsidRDefault="00000000" w:rsidRPr="00000000" w14:paraId="00000122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123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penetrace</w:t>
                </w:r>
              </w:p>
            </w:tc>
            <w:tc>
              <w:tcPr/>
              <w:p w:rsidR="00000000" w:rsidDel="00000000" w:rsidP="00000000" w:rsidRDefault="00000000" w:rsidRPr="00000000" w14:paraId="0000012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228,00</w:t>
                </w:r>
              </w:p>
            </w:tc>
            <w:tc>
              <w:tcPr/>
              <w:p w:rsidR="00000000" w:rsidDel="00000000" w:rsidP="00000000" w:rsidRDefault="00000000" w:rsidRPr="00000000" w14:paraId="00000125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40,00 Kč</w:t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9 120,00 Kč</w:t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127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sádrování a tmelení</w:t>
                </w:r>
              </w:p>
            </w:tc>
            <w:tc>
              <w:tcPr/>
              <w:p w:rsidR="00000000" w:rsidDel="00000000" w:rsidP="00000000" w:rsidRDefault="00000000" w:rsidRPr="00000000" w14:paraId="00000128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129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4 500,00 Kč</w:t>
                </w:r>
              </w:p>
            </w:tc>
            <w:tc>
              <w:tcPr/>
              <w:p w:rsidR="00000000" w:rsidDel="00000000" w:rsidP="00000000" w:rsidRDefault="00000000" w:rsidRPr="00000000" w14:paraId="0000012A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4 500,00 Kč</w:t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12B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2x malba bílá</w:t>
                </w:r>
              </w:p>
            </w:tc>
            <w:tc>
              <w:tcPr/>
              <w:p w:rsidR="00000000" w:rsidDel="00000000" w:rsidP="00000000" w:rsidRDefault="00000000" w:rsidRPr="00000000" w14:paraId="0000012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228,00</w:t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85,00 Kč</w:t>
                </w:r>
              </w:p>
            </w:tc>
            <w:tc>
              <w:tcPr/>
              <w:p w:rsidR="00000000" w:rsidDel="00000000" w:rsidP="00000000" w:rsidRDefault="00000000" w:rsidRPr="00000000" w14:paraId="0000012E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19 380,00 Kč</w:t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12F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nátěr obložení</w:t>
                </w:r>
              </w:p>
            </w:tc>
            <w:tc>
              <w:tcPr/>
              <w:p w:rsidR="00000000" w:rsidDel="00000000" w:rsidP="00000000" w:rsidRDefault="00000000" w:rsidRPr="00000000" w14:paraId="00000130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193,00</w:t>
                </w:r>
              </w:p>
            </w:tc>
            <w:tc>
              <w:tcPr/>
              <w:p w:rsidR="00000000" w:rsidDel="00000000" w:rsidP="00000000" w:rsidRDefault="00000000" w:rsidRPr="00000000" w14:paraId="00000131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450,00 Kč</w:t>
                </w:r>
              </w:p>
            </w:tc>
            <w:tc>
              <w:tcPr/>
              <w:p w:rsidR="00000000" w:rsidDel="00000000" w:rsidP="00000000" w:rsidRDefault="00000000" w:rsidRPr="00000000" w14:paraId="00000132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86 850,00 Kč</w:t>
                </w:r>
              </w:p>
            </w:tc>
          </w:tr>
          <w:tr>
            <w:trPr>
              <w:cantSplit w:val="0"/>
              <w:trHeight w:val="214.98046875" w:hRule="atLeast"/>
              <w:tblHeader w:val="1"/>
            </w:trPr>
            <w:tc>
              <w:tcPr/>
              <w:p w:rsidR="00000000" w:rsidDel="00000000" w:rsidP="00000000" w:rsidRDefault="00000000" w:rsidRPr="00000000" w14:paraId="00000133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přípravné práce, zakrytí</w:t>
                </w:r>
              </w:p>
            </w:tc>
            <w:tc>
              <w:tcPr/>
              <w:p w:rsidR="00000000" w:rsidDel="00000000" w:rsidP="00000000" w:rsidRDefault="00000000" w:rsidRPr="00000000" w14:paraId="0000013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135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1 500,00 Kč</w:t>
                </w:r>
              </w:p>
            </w:tc>
            <w:tc>
              <w:tcPr/>
              <w:p w:rsidR="00000000" w:rsidDel="00000000" w:rsidP="00000000" w:rsidRDefault="00000000" w:rsidRPr="00000000" w14:paraId="00000136">
                <w:pPr>
                  <w:jc w:val="right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1 500,00 Kč</w:t>
                </w:r>
              </w:p>
            </w:tc>
          </w:tr>
          <w:tr>
            <w:trPr>
              <w:cantSplit w:val="0"/>
              <w:trHeight w:val="200" w:hRule="atLeast"/>
              <w:tblHeader w:val="1"/>
            </w:trPr>
            <w:tc>
              <w:tcPr>
                <w:gridSpan w:val="3"/>
              </w:tcPr>
              <w:p w:rsidR="00000000" w:rsidDel="00000000" w:rsidP="00000000" w:rsidRDefault="00000000" w:rsidRPr="00000000" w14:paraId="00000137">
                <w:pPr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Celkem</w:t>
                </w:r>
              </w:p>
            </w:tc>
            <w:tc>
              <w:tcPr/>
              <w:p w:rsidR="00000000" w:rsidDel="00000000" w:rsidP="00000000" w:rsidRDefault="00000000" w:rsidRPr="00000000" w14:paraId="0000013A">
                <w:pPr>
                  <w:jc w:val="right"/>
                  <w:rPr>
                    <w:rFonts w:ascii="Arial" w:cs="Arial" w:eastAsia="Arial" w:hAnsi="Arial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121 350,00 Kč</w:t>
                </w:r>
              </w:p>
            </w:tc>
          </w:tr>
        </w:tbl>
      </w:sdtContent>
    </w:sdt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4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915"/>
        <w:gridCol w:w="1455"/>
        <w:gridCol w:w="1560"/>
        <w:tblGridChange w:id="0">
          <w:tblGrid>
            <w:gridCol w:w="4410"/>
            <w:gridCol w:w="915"/>
            <w:gridCol w:w="1455"/>
            <w:gridCol w:w="1560"/>
          </w:tblGrid>
        </w:tblGridChange>
      </w:tblGrid>
      <w:tr>
        <w:trPr>
          <w:cantSplit w:val="0"/>
          <w:trHeight w:val="444.9609375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CHODBA PŘED SCHODIŠTĚM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M2 / ks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Kč / MJ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oprava malby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3 000,00 Kč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3 000,00 Kč</w:t>
            </w:r>
          </w:p>
        </w:tc>
      </w:tr>
    </w:tbl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450"/>
        <w:gridCol w:w="1680"/>
        <w:gridCol w:w="1050"/>
        <w:gridCol w:w="1335"/>
        <w:gridCol w:w="1650"/>
        <w:tblGridChange w:id="0">
          <w:tblGrid>
            <w:gridCol w:w="2265"/>
            <w:gridCol w:w="450"/>
            <w:gridCol w:w="1680"/>
            <w:gridCol w:w="1050"/>
            <w:gridCol w:w="1335"/>
            <w:gridCol w:w="1650"/>
          </w:tblGrid>
        </w:tblGridChange>
      </w:tblGrid>
      <w:tr>
        <w:trPr>
          <w:cantSplit w:val="0"/>
          <w:trHeight w:val="244.9804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Doprava, manipulace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2 500,00 Kč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2500,00 Kč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2 500,00 Kč</w:t>
            </w:r>
          </w:p>
        </w:tc>
      </w:tr>
    </w:tbl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Zakázka je v celkové hodnotě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308 795,00 Kč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50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Dodavatel není plátce DPH. Cena zahrnuje práci i materiál.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Razítko a podpis dodavatele:</w:t>
      </w:r>
    </w:p>
    <w:p w:rsidR="00000000" w:rsidDel="00000000" w:rsidP="00000000" w:rsidRDefault="00000000" w:rsidRPr="00000000" w14:paraId="000001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7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numPr>
        <w:ilvl w:val="0"/>
        <w:numId w:val="1"/>
      </w:numPr>
      <w:pBdr>
        <w:top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line="276" w:lineRule="auto"/>
      <w:ind w:left="720" w:hanging="360"/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Fonts w:ascii="Helvetica Neue" w:cs="Helvetica Neue" w:eastAsia="Helvetica Neue" w:hAnsi="Helvetica Neue"/>
        <w:color w:val="333333"/>
        <w:sz w:val="20"/>
        <w:szCs w:val="20"/>
        <w:rtl w:val="0"/>
      </w:rPr>
      <w:t xml:space="preserve">Základní škola Solidarita, Praha 10, Brigádníků 510/14, příspěvková organizace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spacing w:line="276" w:lineRule="auto"/>
      <w:jc w:val="center"/>
      <w:rPr/>
    </w:pPr>
    <w:r w:rsidDel="00000000" w:rsidR="00000000" w:rsidRPr="00000000">
      <w:rPr>
        <w:rFonts w:ascii="Helvetica Neue" w:cs="Helvetica Neue" w:eastAsia="Helvetica Neue" w:hAnsi="Helvetica Neue"/>
        <w:color w:val="333333"/>
        <w:sz w:val="20"/>
        <w:szCs w:val="20"/>
        <w:highlight w:val="white"/>
        <w:rtl w:val="0"/>
      </w:rPr>
      <w:t xml:space="preserve">Datová schránka: wnwx8hj; IČO: 47611898 IZO: 047611898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jdXL0NAcmLreUE6nB56pNvXaQ==">CgMxLjAaHwoBMBIaChgICVIUChJ0YWJsZS4yNGcwdjFkYjl5dmkyCGguZ2pkZ3hzOAByITFqa3BZUTJtWDQwX2hQcE1aZHN1cDExcUVFbjBzOU94bw==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