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71432" w:rsidRPr="00195FB7" w:rsidTr="00E905C9">
        <w:tc>
          <w:tcPr>
            <w:tcW w:w="4531" w:type="dxa"/>
          </w:tcPr>
          <w:p w:rsidR="00061A58" w:rsidRPr="00195FB7" w:rsidRDefault="003A21AF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br/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br/>
            </w:r>
            <w:r w:rsidR="008D3ED1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Dodatek č.</w:t>
            </w:r>
            <w:r w:rsidR="00911CEE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1</w:t>
            </w:r>
            <w:r w:rsidR="008D3ED1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ke Sm</w:t>
            </w:r>
            <w:r w:rsidR="00061A58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louv</w:t>
            </w:r>
            <w:r w:rsidR="008D3ED1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ě </w:t>
            </w:r>
            <w:r w:rsidR="00061A58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o </w:t>
            </w:r>
            <w:r w:rsidR="00283E30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ob</w:t>
            </w:r>
            <w:r w:rsidR="003A0A55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jemovém</w:t>
            </w:r>
            <w:r w:rsidR="00283E30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bonusu </w:t>
            </w:r>
          </w:p>
          <w:p w:rsidR="00061A58" w:rsidRPr="00195FB7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při dodávkách léčivých přípravků</w:t>
            </w:r>
          </w:p>
          <w:p w:rsidR="003A21AF" w:rsidRPr="00195FB7" w:rsidRDefault="00FA547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(dále jen „</w:t>
            </w: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Dodatek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</w:t>
            </w:r>
          </w:p>
          <w:p w:rsidR="00FA5475" w:rsidRPr="00195FB7" w:rsidRDefault="00FA547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8D3ED1" w:rsidRPr="00195FB7" w:rsidRDefault="008D3ED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strany:</w:t>
            </w:r>
          </w:p>
          <w:p w:rsidR="008D3ED1" w:rsidRPr="00195FB7" w:rsidRDefault="008D3ED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061A58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, spol. s.r.o.</w:t>
            </w:r>
          </w:p>
          <w:p w:rsidR="00061A58" w:rsidRPr="00195FB7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sídlem: </w:t>
            </w:r>
            <w:r w:rsidR="00891E15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Purkyňova 212</w:t>
            </w:r>
            <w:r w:rsidR="00FD1665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1/3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Praha 1, PSČ: 110 00</w:t>
            </w:r>
          </w:p>
          <w:p w:rsidR="00061A58" w:rsidRPr="00195FB7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IČO: 480 25 976</w:t>
            </w:r>
          </w:p>
          <w:p w:rsidR="00061A58" w:rsidRPr="00195FB7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DIČ: 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CZ 480 25</w:t>
            </w:r>
            <w:r w:rsidR="00EF29EC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 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976</w:t>
            </w:r>
          </w:p>
          <w:p w:rsidR="00D51E64" w:rsidRPr="00195FB7" w:rsidRDefault="00D51E64" w:rsidP="00D51E6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cs-CZ"/>
              </w:rPr>
              <w:t>č. účtu: 1388014429/2700,</w:t>
            </w:r>
          </w:p>
          <w:p w:rsidR="00061A58" w:rsidRPr="00195FB7" w:rsidRDefault="00061A58" w:rsidP="00F71432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zapsaná v obchodním rejstříku 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vedeném u Městského soudu v Praze, </w:t>
            </w:r>
            <w:proofErr w:type="spellStart"/>
            <w:r w:rsidR="00DD51FD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sp.zn</w:t>
            </w:r>
            <w:proofErr w:type="spellEnd"/>
            <w:r w:rsidR="00DD51FD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C 14176</w:t>
            </w:r>
          </w:p>
          <w:p w:rsidR="00061A58" w:rsidRPr="00195FB7" w:rsidRDefault="00061A58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zastoupená </w:t>
            </w:r>
            <w:r w:rsidR="00F12613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Diego Basso a Jarmila </w:t>
            </w:r>
            <w:proofErr w:type="spellStart"/>
            <w:r w:rsidR="00F12613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Csóková</w:t>
            </w:r>
            <w:proofErr w:type="spellEnd"/>
            <w:r w:rsidR="00F12613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jednateli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</w:t>
            </w:r>
          </w:p>
          <w:p w:rsidR="00061A58" w:rsidRPr="00195FB7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8D3ED1" w:rsidRPr="00195FB7" w:rsidRDefault="008D3ED1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3D4150" w:rsidRPr="00195FB7" w:rsidRDefault="003D4150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5E3A76" w:rsidRPr="00195FB7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jako dodavatel na straně jedné </w:t>
            </w:r>
          </w:p>
          <w:p w:rsidR="00061A58" w:rsidRPr="00195FB7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(dále jen „</w:t>
            </w: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dodavatel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</w:t>
            </w:r>
          </w:p>
          <w:p w:rsidR="00061A58" w:rsidRPr="00195FB7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</w:t>
            </w:r>
          </w:p>
          <w:p w:rsidR="005E3A76" w:rsidRPr="00195FB7" w:rsidRDefault="005E3A76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293F7B" w:rsidRPr="00195FB7" w:rsidRDefault="00293F7B" w:rsidP="00293F7B">
            <w:pPr>
              <w:ind w:left="2124" w:hanging="2124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Fakultní nemocnice Plzeň</w:t>
            </w:r>
          </w:p>
          <w:p w:rsidR="00293F7B" w:rsidRPr="00195FB7" w:rsidRDefault="00293F7B" w:rsidP="00293F7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sídlem: Edvarda Beneše 1128/13, Plzeň,</w:t>
            </w:r>
          </w:p>
          <w:p w:rsidR="00293F7B" w:rsidRPr="00195FB7" w:rsidRDefault="00293F7B" w:rsidP="00293F7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301 00</w:t>
            </w:r>
          </w:p>
          <w:p w:rsidR="00293F7B" w:rsidRPr="00195FB7" w:rsidRDefault="00293F7B" w:rsidP="00293F7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gram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IČO:  00669806</w:t>
            </w:r>
            <w:proofErr w:type="gram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ab/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ab/>
            </w:r>
          </w:p>
          <w:p w:rsidR="00293F7B" w:rsidRPr="00195FB7" w:rsidRDefault="00293F7B" w:rsidP="00293F7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DIČ: </w:t>
            </w:r>
            <w:proofErr w:type="gram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CZ:  00669806</w:t>
            </w:r>
            <w:proofErr w:type="gramEnd"/>
            <w:r w:rsidRPr="00195FB7" w:rsidDel="00160905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:rsidR="00293F7B" w:rsidRPr="00195FB7" w:rsidRDefault="00293F7B" w:rsidP="00293F7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číslo účtu: </w:t>
            </w:r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33739311/0710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</w:p>
          <w:p w:rsidR="00293F7B" w:rsidRPr="00195FB7" w:rsidRDefault="00293F7B" w:rsidP="00293F7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B91799" w:rsidRPr="006A1518" w:rsidRDefault="00293F7B" w:rsidP="00293F7B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zastoupen</w:t>
            </w:r>
            <w:r w:rsidR="00B91799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á</w:t>
            </w:r>
            <w:r w:rsidR="00B91799" w:rsidRPr="00195FB7">
              <w:rPr>
                <w:rFonts w:ascii="Arial" w:hAnsi="Arial" w:cs="Arial"/>
                <w:color w:val="000000" w:themeColor="text1"/>
                <w:lang w:val="cs-CZ"/>
              </w:rPr>
              <w:t>:</w:t>
            </w:r>
            <w:r w:rsidR="00B91799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B91799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d</w:t>
            </w:r>
            <w:r w:rsidR="00A00374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oc. </w:t>
            </w:r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MUDr. Václavem</w:t>
            </w:r>
          </w:p>
          <w:p w:rsidR="003D4150" w:rsidRPr="00195FB7" w:rsidRDefault="00293F7B" w:rsidP="00B91799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Šimánkem, Ph.D.,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ředitelem nemocnice</w:t>
            </w:r>
          </w:p>
          <w:p w:rsidR="00041E5A" w:rsidRPr="00195FB7" w:rsidRDefault="00041E5A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41E5A" w:rsidRPr="00195FB7" w:rsidRDefault="00041E5A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41E5A" w:rsidRPr="00195FB7" w:rsidRDefault="00041E5A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5E3A76" w:rsidRPr="00195FB7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jako odběratel na straně druhé </w:t>
            </w:r>
          </w:p>
          <w:p w:rsidR="00061A58" w:rsidRPr="00195FB7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(dále jen „</w:t>
            </w: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odběratel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“). </w:t>
            </w:r>
          </w:p>
          <w:p w:rsidR="00061A58" w:rsidRPr="00195FB7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5E3A76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(o</w:t>
            </w:r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dběratel a dodavatel společně dále jako „</w:t>
            </w:r>
            <w:r w:rsidR="00061A58"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smluvní strany</w:t>
            </w:r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)</w:t>
            </w:r>
          </w:p>
          <w:p w:rsidR="00061A58" w:rsidRPr="00195FB7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E726F5" w:rsidRPr="00195FB7" w:rsidRDefault="00E726F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061A58" w:rsidP="00F71432">
            <w:pPr>
              <w:pBdr>
                <w:top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E726F5" w:rsidRPr="00195FB7" w:rsidRDefault="00E726F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 se dohodly takto:</w:t>
            </w:r>
          </w:p>
          <w:p w:rsidR="00061A58" w:rsidRPr="00195FB7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061A58" w:rsidP="00F71432">
            <w:pPr>
              <w:pBdr>
                <w:bottom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E726F5" w:rsidRPr="00195FB7" w:rsidRDefault="00E726F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E726F5" w:rsidRPr="00195FB7" w:rsidRDefault="00E726F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E726F5" w:rsidRPr="00195FB7" w:rsidRDefault="00E726F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I.</w:t>
            </w:r>
          </w:p>
          <w:p w:rsidR="00061A58" w:rsidRPr="00195FB7" w:rsidRDefault="00061A58" w:rsidP="00F71432">
            <w:pPr>
              <w:pStyle w:val="Nadpis1"/>
              <w:contextualSpacing/>
              <w:outlineLvl w:val="0"/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>Úvodní ustanovení</w:t>
            </w:r>
          </w:p>
          <w:p w:rsidR="00061A58" w:rsidRPr="00195FB7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8D3ED1" w:rsidRPr="00195FB7" w:rsidRDefault="008D3ED1" w:rsidP="008D3ED1">
            <w:pPr>
              <w:pStyle w:val="Zkladntext2"/>
              <w:numPr>
                <w:ilvl w:val="0"/>
                <w:numId w:val="4"/>
              </w:numPr>
              <w:ind w:left="318" w:hanging="318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Smluvní strany spolu dne </w:t>
            </w:r>
            <w:r w:rsidR="001415C3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25.6.2024</w:t>
            </w:r>
            <w:r w:rsidR="00041E5A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uzavřely Smlouvu o objemovém bonusu při dodávkách léčivých přípravků (dále jen „</w:t>
            </w: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Smlouva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“), v souladu s § 1746 odst. 2 zákona č. 89/2012 Sb., občanský zákoník, ve znění pozdějších předpisů (dále jen „</w:t>
            </w: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občanský zákoník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“).</w:t>
            </w:r>
          </w:p>
          <w:p w:rsidR="00D06DD4" w:rsidRPr="00195FB7" w:rsidRDefault="00D06DD4" w:rsidP="0003114E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B42CC3" w:rsidRPr="00195FB7" w:rsidRDefault="00B42CC3" w:rsidP="0003114E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5F767E" w:rsidP="002E531E">
            <w:pPr>
              <w:pStyle w:val="Zkladntext2"/>
              <w:numPr>
                <w:ilvl w:val="0"/>
                <w:numId w:val="4"/>
              </w:numPr>
              <w:tabs>
                <w:tab w:val="num" w:pos="306"/>
              </w:tabs>
              <w:ind w:left="306" w:hanging="306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Smluvní strany se dohodly, že </w:t>
            </w:r>
            <w:r w:rsidR="008D3ED1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v souladu s čl. VI. odst. </w:t>
            </w:r>
            <w:r w:rsidR="004C6BC0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6</w:t>
            </w:r>
            <w:r w:rsidR="008D3ED1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Smlouvy </w:t>
            </w:r>
            <w:r w:rsidR="001806D1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uzavřou </w:t>
            </w:r>
            <w:r w:rsidR="008D3ED1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tento písemný číslovaný </w:t>
            </w:r>
            <w:r w:rsidR="00356099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</w:t>
            </w:r>
            <w:r w:rsidR="008D3ED1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odatek. </w:t>
            </w:r>
          </w:p>
          <w:p w:rsidR="00F07A0C" w:rsidRPr="00195FB7" w:rsidRDefault="00F07A0C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8F1F45" w:rsidRPr="00195FB7" w:rsidRDefault="008F1F45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B42CC3" w:rsidRPr="00195FB7" w:rsidRDefault="00B42CC3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3C002B" w:rsidRPr="00195FB7" w:rsidRDefault="003C002B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061A58" w:rsidP="00F71432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II.</w:t>
            </w:r>
          </w:p>
          <w:p w:rsidR="00061A58" w:rsidRPr="00195FB7" w:rsidRDefault="00061A58" w:rsidP="003C002B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Předmět </w:t>
            </w:r>
            <w:r w:rsidR="002E531E"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Dodatku</w:t>
            </w:r>
          </w:p>
          <w:p w:rsidR="00C176FB" w:rsidRPr="00195FB7" w:rsidRDefault="00C176FB" w:rsidP="007133BC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C176FB" w:rsidRPr="00195FB7" w:rsidRDefault="00C176FB" w:rsidP="00C176FB">
            <w:pPr>
              <w:pStyle w:val="Zkladntext2"/>
              <w:numPr>
                <w:ilvl w:val="0"/>
                <w:numId w:val="1"/>
              </w:numPr>
              <w:tabs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Smluvní strany se dohodly, že článek III odst. </w:t>
            </w:r>
            <w:r w:rsidR="00C5561F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</w:t>
            </w:r>
            <w:r w:rsidR="004C6BC0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0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Smlouvy se mění následovně:</w:t>
            </w:r>
          </w:p>
          <w:p w:rsidR="00C176FB" w:rsidRPr="00195FB7" w:rsidRDefault="00C176FB" w:rsidP="007133BC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C176FB" w:rsidRPr="00195FB7" w:rsidRDefault="00C176FB" w:rsidP="007133BC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„10. Smluvní strany mohou vzájemně komunikovat elektronickým způsobem, tj. zasíláním zpráv na e-mailovou adresu druhé smluvní strany, a to na e-mailové adresy zde uvedené:</w:t>
            </w:r>
          </w:p>
          <w:p w:rsidR="00C176FB" w:rsidRPr="00195FB7" w:rsidRDefault="00C176FB" w:rsidP="007133BC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Dodavatel: </w:t>
            </w:r>
            <w:r w:rsidR="00356EF6" w:rsidRPr="00356EF6">
              <w:rPr>
                <w:rFonts w:ascii="Arial" w:hAnsi="Arial" w:cs="Arial"/>
                <w:sz w:val="22"/>
                <w:szCs w:val="22"/>
              </w:rPr>
              <w:t>XX</w:t>
            </w:r>
            <w:r w:rsidR="00356EF6">
              <w:rPr>
                <w:rFonts w:ascii="Arial" w:hAnsi="Arial" w:cs="Arial"/>
                <w:sz w:val="22"/>
                <w:szCs w:val="22"/>
              </w:rPr>
              <w:t>X</w:t>
            </w:r>
          </w:p>
          <w:p w:rsidR="00C176FB" w:rsidRPr="00195FB7" w:rsidRDefault="00DC05F3" w:rsidP="007133BC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Odběratel</w:t>
            </w:r>
            <w:r w:rsidR="00C176FB" w:rsidRPr="00195FB7"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  <w:t xml:space="preserve">: </w:t>
            </w:r>
            <w:r w:rsidR="00356EF6">
              <w:t>XXX</w:t>
            </w:r>
          </w:p>
          <w:p w:rsidR="00C176FB" w:rsidRPr="00195FB7" w:rsidRDefault="00C176FB" w:rsidP="007133BC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  <w:t xml:space="preserve">Elektronickou komunikaci </w:t>
            </w:r>
            <w:r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považují obě smluvní strany za komunikaci v písemn</w:t>
            </w:r>
            <w:r w:rsidR="00EF61F9"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é</w:t>
            </w:r>
            <w:r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 formě.“ </w:t>
            </w:r>
          </w:p>
          <w:p w:rsidR="00622113" w:rsidRPr="00195FB7" w:rsidRDefault="00622113" w:rsidP="00CF4B46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7133BC" w:rsidRPr="00195FB7" w:rsidRDefault="007133BC" w:rsidP="00CF4B46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7133BC" w:rsidRPr="00195FB7" w:rsidRDefault="007133BC" w:rsidP="00CF4B46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7133BC" w:rsidRPr="00195FB7" w:rsidRDefault="007133BC" w:rsidP="00CF4B46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622113" w:rsidRPr="00195FB7" w:rsidRDefault="00622113" w:rsidP="00622113">
            <w:pPr>
              <w:pStyle w:val="Zkladntext2"/>
              <w:numPr>
                <w:ilvl w:val="0"/>
                <w:numId w:val="1"/>
              </w:numPr>
              <w:tabs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 Smluvní strany se dále dohodly, že od 1. 1. 2025 se změní příloha č. 1 Smlouvy nazvaná „Vzor a výpočet </w:t>
            </w:r>
            <w:r w:rsidR="00925741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objemového bonusu ke zboží uvedenému v této příloze, které představuje obchodní tajemství dodavatele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“, a to tak, že příloha č. 1 Smlouvy se od 1. 1. 2025 nahrazuje novou přílohou č. 1 Smlouvy, která je uvedena v Příloze č. 1 tohoto Dodatku.</w:t>
            </w:r>
          </w:p>
          <w:p w:rsidR="002F33B8" w:rsidRPr="00195FB7" w:rsidRDefault="002F33B8" w:rsidP="007133B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2F33B8" w:rsidRPr="00195FB7" w:rsidRDefault="002F33B8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B33FEF" w:rsidRPr="00195FB7" w:rsidRDefault="00B33FEF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741823" w:rsidRPr="00195FB7" w:rsidRDefault="00741823" w:rsidP="00622113">
            <w:pPr>
              <w:pStyle w:val="Zkladntext2"/>
              <w:numPr>
                <w:ilvl w:val="0"/>
                <w:numId w:val="1"/>
              </w:numPr>
              <w:tabs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lastRenderedPageBreak/>
              <w:t>Smluvní strany se dále dohodly, že od 1. 1. 2025 se stanou součástí Smlouvy nové podmínky obchodní spolupráce, jejichž znění tvoří přílohu č.2 tohoto Dodatku.</w:t>
            </w:r>
          </w:p>
          <w:p w:rsidR="002F33B8" w:rsidRPr="00195FB7" w:rsidRDefault="002F33B8" w:rsidP="00CF4B46">
            <w:pPr>
              <w:tabs>
                <w:tab w:val="num" w:pos="0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622113" w:rsidRPr="00195FB7" w:rsidRDefault="00622113" w:rsidP="00F71432">
            <w:pPr>
              <w:pStyle w:val="Odstavecseseznamem"/>
              <w:tabs>
                <w:tab w:val="num" w:pos="0"/>
              </w:tabs>
              <w:ind w:left="311" w:hanging="311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7133BC" w:rsidRPr="00195FB7" w:rsidRDefault="007133BC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:rsidR="002E531E" w:rsidRPr="00195FB7" w:rsidRDefault="002E531E" w:rsidP="002E5DF5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III.</w:t>
            </w:r>
          </w:p>
          <w:p w:rsidR="00F601E4" w:rsidRPr="00195FB7" w:rsidRDefault="004859CF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Registr smluv</w:t>
            </w:r>
          </w:p>
          <w:p w:rsidR="00F601E4" w:rsidRPr="00195FB7" w:rsidRDefault="00F601E4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:rsidR="00F601E4" w:rsidRPr="00195FB7" w:rsidRDefault="00F601E4" w:rsidP="00F601E4">
            <w:pPr>
              <w:pStyle w:val="Zkladntext2"/>
              <w:numPr>
                <w:ilvl w:val="0"/>
                <w:numId w:val="18"/>
              </w:numPr>
              <w:ind w:left="318" w:hanging="284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Smluvní strany se tímto dohodly, že v případě, že je nutné uveřejnit tento Dodatek podle ustanovení zákona č. 340/2015 Sb., o zvláštních podmínkách účinnosti některých smluv, uveřejňování těchto smluv a o registru smluv, ve znění pozdějších dodatků (dále jen „</w:t>
            </w:r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zákon o registru smluv</w:t>
            </w:r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“), je k jeho uveřejnění povinen odběratel.</w:t>
            </w:r>
          </w:p>
          <w:p w:rsidR="00F601E4" w:rsidRPr="00195FB7" w:rsidRDefault="00F601E4" w:rsidP="00B33FEF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:rsidR="00741823" w:rsidRPr="00195FB7" w:rsidRDefault="00741823" w:rsidP="007133BC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:rsidR="004E7FAF" w:rsidRPr="00195FB7" w:rsidRDefault="004E7FAF" w:rsidP="007133BC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:rsidR="00F601E4" w:rsidRPr="00195FB7" w:rsidRDefault="00F601E4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IV.</w:t>
            </w:r>
          </w:p>
          <w:p w:rsidR="002E531E" w:rsidRPr="00195FB7" w:rsidRDefault="002E531E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Závěrečná ustanovení</w:t>
            </w:r>
          </w:p>
          <w:p w:rsidR="008F1F45" w:rsidRPr="00195FB7" w:rsidRDefault="008F1F45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:rsidR="0003114E" w:rsidRPr="00195FB7" w:rsidRDefault="002E531E" w:rsidP="00CE2BE3">
            <w:pPr>
              <w:pStyle w:val="Zkladntext2"/>
              <w:numPr>
                <w:ilvl w:val="0"/>
                <w:numId w:val="3"/>
              </w:numPr>
              <w:tabs>
                <w:tab w:val="clear" w:pos="1065"/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Dodatek </w:t>
            </w:r>
            <w:r w:rsidR="00F601E4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nabývá platnosti dnem podpisu poslední ze smluvních stran a účinnosti dnem jejího uveřejnění v registru smluv dle zákona o registru smluv. </w:t>
            </w:r>
            <w:r w:rsidR="00CE2BE3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Pravidla pro uplatnění bonusu podle tohoto Dodatku jsou platná od 1. 1. 2025. </w:t>
            </w:r>
          </w:p>
          <w:p w:rsidR="00B42CC3" w:rsidRPr="00195FB7" w:rsidRDefault="00B42CC3" w:rsidP="003D49BF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7133BC" w:rsidRPr="00195FB7" w:rsidRDefault="007133BC" w:rsidP="003D49BF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7133BC" w:rsidRPr="00195FB7" w:rsidRDefault="007133BC" w:rsidP="003D49BF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4E7FAF" w:rsidRPr="00195FB7" w:rsidRDefault="004E7FAF" w:rsidP="003D49BF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C27B52" w:rsidRPr="00195FB7" w:rsidRDefault="00FA5475" w:rsidP="008E2555">
            <w:pPr>
              <w:pStyle w:val="Zkladntext2"/>
              <w:numPr>
                <w:ilvl w:val="0"/>
                <w:numId w:val="3"/>
              </w:numPr>
              <w:tabs>
                <w:tab w:val="clear" w:pos="1065"/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Tímto Dodatkem nedochází ke změně žádných </w:t>
            </w:r>
            <w:r w:rsidR="005C73E0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jiných 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ustanovení</w:t>
            </w:r>
            <w:r w:rsidR="005C73E0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Smlouvy</w:t>
            </w:r>
            <w:r w:rsidR="008E1C72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:rsidR="008E1C72" w:rsidRPr="00195FB7" w:rsidRDefault="008E1C72" w:rsidP="008E1C72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E25930" w:rsidRPr="00195FB7" w:rsidRDefault="00061A58" w:rsidP="0003114E">
            <w:pPr>
              <w:pStyle w:val="Zkladntext2"/>
              <w:numPr>
                <w:ilvl w:val="0"/>
                <w:numId w:val="3"/>
              </w:numPr>
              <w:tabs>
                <w:tab w:val="clear" w:pos="1065"/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Smluvní strany prohlašují, že si </w:t>
            </w:r>
            <w:r w:rsidR="002B2CF5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Dodatek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před je</w:t>
            </w:r>
            <w:r w:rsidR="008E1C72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ho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podepsáním přečetly a že je</w:t>
            </w:r>
            <w:r w:rsidR="00476EAB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ho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obsah odpovídá jejich pravé, vážné a svobodné vůli, což stvrzují svými níže připojenými podpisy.</w:t>
            </w:r>
          </w:p>
          <w:p w:rsidR="0003114E" w:rsidRPr="00195FB7" w:rsidRDefault="0003114E" w:rsidP="0003114E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622113" w:rsidRPr="00195FB7" w:rsidRDefault="00622113" w:rsidP="00622113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Příloha č.1 - Vzor a výpočet </w:t>
            </w:r>
            <w:r w:rsidR="00EA478E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objemového bonusu</w:t>
            </w:r>
          </w:p>
          <w:p w:rsidR="00741823" w:rsidRPr="00195FB7" w:rsidRDefault="00741823" w:rsidP="00622113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741823" w:rsidRPr="00195FB7" w:rsidRDefault="00741823" w:rsidP="00CF4B46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Příloha č. 2 </w:t>
            </w:r>
            <w:r w:rsidR="00165187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-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Podmínky obchodní spolupráce</w:t>
            </w:r>
          </w:p>
          <w:p w:rsidR="00E905C9" w:rsidRDefault="00E905C9" w:rsidP="006D40D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:rsidR="00093173" w:rsidRDefault="00093173" w:rsidP="006D40D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:rsidR="00093173" w:rsidRDefault="00093173" w:rsidP="006D40D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:rsidR="00093173" w:rsidRDefault="00093173" w:rsidP="006D40D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:rsidR="00093173" w:rsidRPr="00195FB7" w:rsidRDefault="00093173" w:rsidP="006D40D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4531" w:type="dxa"/>
          </w:tcPr>
          <w:p w:rsidR="00061A58" w:rsidRPr="00195FB7" w:rsidRDefault="003A21AF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lastRenderedPageBreak/>
              <w:br/>
            </w:r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br/>
            </w:r>
            <w:proofErr w:type="spellStart"/>
            <w:r w:rsidR="00FA5475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Amendment</w:t>
            </w:r>
            <w:proofErr w:type="spellEnd"/>
            <w:r w:rsidR="008D3ED1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r w:rsidR="00D06DD4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No.</w:t>
            </w:r>
            <w:r w:rsidR="00911CEE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1</w:t>
            </w:r>
            <w:r w:rsidR="008D3ED1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to </w:t>
            </w:r>
            <w:proofErr w:type="spellStart"/>
            <w:r w:rsidR="008D3ED1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the</w:t>
            </w:r>
            <w:proofErr w:type="spellEnd"/>
            <w:r w:rsidR="008D3ED1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proofErr w:type="spellStart"/>
            <w:r w:rsidR="00061A58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Agreement</w:t>
            </w:r>
            <w:proofErr w:type="spellEnd"/>
            <w:r w:rsidR="00061A58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on </w:t>
            </w:r>
            <w:proofErr w:type="spellStart"/>
            <w:r w:rsidR="00283E30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turn</w:t>
            </w:r>
            <w:r w:rsidR="00C87036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o</w:t>
            </w:r>
            <w:r w:rsidR="00283E30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ver</w:t>
            </w:r>
            <w:proofErr w:type="spellEnd"/>
            <w:r w:rsidR="00283E30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r w:rsidR="00D421C3"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bonus</w:t>
            </w:r>
          </w:p>
          <w:p w:rsidR="00061A58" w:rsidRPr="00195FB7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in Supply </w:t>
            </w:r>
            <w:proofErr w:type="spellStart"/>
            <w:r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of</w:t>
            </w:r>
            <w:proofErr w:type="spellEnd"/>
            <w:r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Medicinal</w:t>
            </w:r>
            <w:proofErr w:type="spellEnd"/>
            <w:r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Products</w:t>
            </w:r>
            <w:proofErr w:type="spellEnd"/>
          </w:p>
          <w:p w:rsidR="00061A58" w:rsidRPr="00195FB7" w:rsidRDefault="00FA547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”)</w:t>
            </w:r>
            <w:r w:rsidR="003A21AF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br/>
            </w:r>
          </w:p>
          <w:p w:rsidR="002E531E" w:rsidRPr="00195FB7" w:rsidRDefault="002E531E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: </w:t>
            </w:r>
          </w:p>
          <w:p w:rsidR="002E531E" w:rsidRPr="00195FB7" w:rsidRDefault="002E531E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061A58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, spol. </w:t>
            </w:r>
            <w:r w:rsidR="00170F94"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s</w:t>
            </w:r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.r.o.</w:t>
            </w:r>
          </w:p>
          <w:p w:rsidR="00061A58" w:rsidRPr="00195FB7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its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registered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seat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at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address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: </w:t>
            </w:r>
            <w:r w:rsidR="00FD1665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Purkyňova 2121/3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Prague 1,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Postal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Code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 110 00</w:t>
            </w:r>
          </w:p>
          <w:p w:rsidR="00061A58" w:rsidRPr="00195FB7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Business ID No.: 480 25 976</w:t>
            </w:r>
          </w:p>
          <w:p w:rsidR="00061A58" w:rsidRPr="00195FB7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Tax ID No.: CZ 480 25</w:t>
            </w:r>
            <w:r w:rsidR="00E8027C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 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976</w:t>
            </w:r>
          </w:p>
          <w:p w:rsidR="002546FF" w:rsidRPr="00195FB7" w:rsidRDefault="002546FF" w:rsidP="002546F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5FB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Account </w:t>
            </w:r>
            <w:r w:rsidRPr="00195FB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No. 1388014429/2700,</w:t>
            </w:r>
          </w:p>
          <w:p w:rsidR="00061A58" w:rsidRPr="00195FB7" w:rsidRDefault="00061A58" w:rsidP="00F71432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Registered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Commercial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administered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Municipal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Court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in Prague,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File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</w:t>
            </w:r>
            <w:r w:rsidR="00DD51FD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C 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14176</w:t>
            </w:r>
          </w:p>
          <w:p w:rsidR="00061A58" w:rsidRPr="00195FB7" w:rsidRDefault="00061A58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Represented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r w:rsidR="00CE36AE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Diego Basso</w:t>
            </w:r>
            <w:r w:rsidR="00022BCC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and Jarmila </w:t>
            </w:r>
            <w:proofErr w:type="spellStart"/>
            <w:r w:rsidR="00022BCC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Csóková</w:t>
            </w:r>
            <w:proofErr w:type="spellEnd"/>
            <w:r w:rsidR="00022BCC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022BCC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Executives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</w:t>
            </w:r>
          </w:p>
          <w:p w:rsidR="00061A58" w:rsidRPr="00195FB7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5E3A76" w:rsidRPr="00195FB7" w:rsidRDefault="00061A58" w:rsidP="00F71432">
            <w:pPr>
              <w:ind w:left="29" w:hanging="29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as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:rsidR="00061A58" w:rsidRPr="00195FB7" w:rsidRDefault="00061A58" w:rsidP="00F71432">
            <w:pPr>
              <w:ind w:left="29" w:hanging="29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”)</w:t>
            </w:r>
          </w:p>
          <w:p w:rsidR="00061A58" w:rsidRPr="00195FB7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and</w:t>
            </w:r>
          </w:p>
          <w:p w:rsidR="005E3A76" w:rsidRPr="00195FB7" w:rsidRDefault="005E3A76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584DAF" w:rsidRPr="00195FB7" w:rsidRDefault="00584DAF" w:rsidP="00584DAF">
            <w:pPr>
              <w:ind w:left="2124" w:hanging="2124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Fakultní nemocnice Plzeň</w:t>
            </w:r>
          </w:p>
          <w:p w:rsidR="00584DAF" w:rsidRPr="00195FB7" w:rsidRDefault="00584DAF" w:rsidP="00584DA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with its registered seat at the address: 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Edvarda Beneše 1128/13, Plzeň,</w:t>
            </w:r>
          </w:p>
          <w:p w:rsidR="00584DAF" w:rsidRPr="00195FB7" w:rsidRDefault="00584DAF" w:rsidP="00584DAF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301 00</w:t>
            </w:r>
          </w:p>
          <w:p w:rsidR="00584DAF" w:rsidRPr="00195FB7" w:rsidRDefault="00584DAF" w:rsidP="00584DAF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>Business ID No.:  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00669806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:rsidR="00584DAF" w:rsidRPr="00195FB7" w:rsidRDefault="00584DAF" w:rsidP="00584DAF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>tax ID No.: CZ:  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00669806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584DAF" w:rsidRPr="00195FB7" w:rsidRDefault="00584DAF" w:rsidP="00584DAF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account No.: </w:t>
            </w:r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33739311/0710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</w:p>
          <w:p w:rsidR="00584DAF" w:rsidRPr="00195FB7" w:rsidRDefault="00584DAF" w:rsidP="00584DAF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584DAF" w:rsidRPr="00195FB7" w:rsidRDefault="00584DAF" w:rsidP="00584DA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represented by: </w:t>
            </w:r>
            <w:proofErr w:type="gramStart"/>
            <w:r w:rsidR="00B91799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d</w:t>
            </w:r>
            <w:r w:rsidR="00A00374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oc.</w:t>
            </w:r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MUDr</w:t>
            </w:r>
            <w:proofErr w:type="gramEnd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. Václav Šimánek, Ph.D.,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director</w:t>
            </w:r>
            <w:proofErr w:type="spellEnd"/>
          </w:p>
          <w:p w:rsidR="00041E5A" w:rsidRPr="00195FB7" w:rsidRDefault="00041E5A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41E5A" w:rsidRPr="00195FB7" w:rsidRDefault="00041E5A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5E3A76" w:rsidRPr="00195FB7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as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:rsidR="00061A58" w:rsidRPr="00195FB7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”). </w:t>
            </w:r>
          </w:p>
          <w:p w:rsidR="00061A58" w:rsidRPr="00195FB7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5E3A76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</w:t>
            </w:r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</w:t>
            </w:r>
            <w:proofErr w:type="spellEnd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shall</w:t>
            </w:r>
            <w:proofErr w:type="spellEnd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be</w:t>
            </w:r>
            <w:proofErr w:type="spellEnd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collectively</w:t>
            </w:r>
            <w:proofErr w:type="spellEnd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="00061A58"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061A58"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="00061A5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”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)</w:t>
            </w:r>
          </w:p>
          <w:p w:rsidR="00061A58" w:rsidRPr="00195FB7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E726F5" w:rsidRPr="00195FB7" w:rsidRDefault="00E726F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061A58" w:rsidP="00F71432">
            <w:pPr>
              <w:pBdr>
                <w:top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E726F5" w:rsidRPr="00195FB7" w:rsidRDefault="00E726F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contractual parties have agreed as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follows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:rsidR="00061A58" w:rsidRPr="00195FB7" w:rsidRDefault="00061A58" w:rsidP="00F71432">
            <w:pPr>
              <w:pBdr>
                <w:bottom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2329F" w:rsidRPr="00195FB7" w:rsidRDefault="0002329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E726F5" w:rsidRPr="00195FB7" w:rsidRDefault="00E726F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E726F5" w:rsidRPr="00195FB7" w:rsidRDefault="00E726F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E726F5" w:rsidRPr="00195FB7" w:rsidRDefault="00E726F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E726F5" w:rsidRPr="00195FB7" w:rsidRDefault="00E726F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</w:t>
            </w:r>
            <w:r w:rsidR="003C002B"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:rsidR="00061A58" w:rsidRPr="00195FB7" w:rsidRDefault="00061A58" w:rsidP="00F71432">
            <w:pPr>
              <w:pStyle w:val="Nadpis1"/>
              <w:contextualSpacing/>
              <w:outlineLvl w:val="0"/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195FB7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>Introductory</w:t>
            </w:r>
            <w:proofErr w:type="spellEnd"/>
            <w:r w:rsidRPr="00195FB7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>Provisions</w:t>
            </w:r>
            <w:proofErr w:type="spellEnd"/>
          </w:p>
          <w:p w:rsidR="00061A58" w:rsidRPr="00195FB7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FA5475" w:rsidRPr="00195FB7" w:rsidRDefault="00FA5475" w:rsidP="0003114E">
            <w:pPr>
              <w:pStyle w:val="Zkladntext2"/>
              <w:numPr>
                <w:ilvl w:val="0"/>
                <w:numId w:val="11"/>
              </w:numPr>
              <w:tabs>
                <w:tab w:val="clear" w:pos="1065"/>
              </w:tabs>
              <w:ind w:left="318" w:hanging="284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On </w:t>
            </w:r>
            <w:r w:rsidR="001415C3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25.6.2024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A11D07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entered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into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Volume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Bonus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for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supply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medicinal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products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(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"</w:t>
            </w:r>
            <w:proofErr w:type="spellStart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") in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accordance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Section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1746(2)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Act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89/2012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Coll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.,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Civil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Code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as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amended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(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"</w:t>
            </w: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Civil </w:t>
            </w:r>
            <w:proofErr w:type="spellStart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Code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").</w:t>
            </w:r>
          </w:p>
          <w:p w:rsidR="00B42CC3" w:rsidRPr="00195FB7" w:rsidRDefault="00B42CC3" w:rsidP="00B42CC3">
            <w:pPr>
              <w:pStyle w:val="Zkladntext2"/>
              <w:ind w:left="318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FA5475" w:rsidRPr="00195FB7" w:rsidRDefault="005C5587" w:rsidP="00FA5475">
            <w:pPr>
              <w:pStyle w:val="Zkladntext2"/>
              <w:numPr>
                <w:ilvl w:val="0"/>
                <w:numId w:val="11"/>
              </w:numPr>
              <w:tabs>
                <w:tab w:val="clear" w:pos="1065"/>
              </w:tabs>
              <w:ind w:left="318" w:hanging="284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contractual parties </w:t>
            </w:r>
            <w:r w:rsidR="002E5DF5"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agree to enter into this written numbered Amendment in accordance with Article </w:t>
            </w:r>
            <w:proofErr w:type="gramStart"/>
            <w:r w:rsidR="002E5DF5"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>VI(</w:t>
            </w:r>
            <w:proofErr w:type="gramEnd"/>
            <w:r w:rsidR="004C6BC0"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2E5DF5"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>) of the Agreement.</w:t>
            </w:r>
          </w:p>
          <w:p w:rsidR="00F07A0C" w:rsidRPr="00195FB7" w:rsidRDefault="00F07A0C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D06DD4" w:rsidRPr="00195FB7" w:rsidRDefault="00D06DD4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2E5DF5" w:rsidRPr="00195FB7" w:rsidRDefault="002E5DF5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061A58" w:rsidRPr="00195FB7" w:rsidRDefault="00061A58" w:rsidP="00F71432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II</w:t>
            </w:r>
            <w:r w:rsidR="003C002B"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:rsidR="00061A58" w:rsidRPr="00195FB7" w:rsidRDefault="00061A58" w:rsidP="003C002B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Subject Matter of </w:t>
            </w:r>
            <w:r w:rsidR="00FA5475"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Amendment</w:t>
            </w:r>
          </w:p>
          <w:p w:rsidR="00C176FB" w:rsidRPr="00195FB7" w:rsidRDefault="00C176FB" w:rsidP="007133BC">
            <w:pPr>
              <w:pStyle w:val="Zkladntext2"/>
              <w:ind w:left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C176FB" w:rsidRPr="00195FB7" w:rsidRDefault="00C176FB" w:rsidP="00C176FB">
            <w:pPr>
              <w:pStyle w:val="Zkladntext2"/>
              <w:numPr>
                <w:ilvl w:val="0"/>
                <w:numId w:val="21"/>
              </w:numPr>
              <w:tabs>
                <w:tab w:val="clear" w:pos="1065"/>
              </w:tabs>
              <w:ind w:left="313" w:hanging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DC05F3"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contractual p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arties agree that Article </w:t>
            </w:r>
            <w:proofErr w:type="gram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>III(</w:t>
            </w:r>
            <w:proofErr w:type="gramEnd"/>
            <w:r w:rsidR="00C5561F"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4C6BC0"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of the </w:t>
            </w:r>
            <w:r w:rsidR="00DC05F3"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>Agreement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shall be amended as follows:</w:t>
            </w:r>
          </w:p>
          <w:p w:rsidR="00C176FB" w:rsidRPr="00195FB7" w:rsidRDefault="00C176FB" w:rsidP="007133BC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176FB" w:rsidRPr="00195FB7" w:rsidRDefault="00C176FB" w:rsidP="00C176FB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"10. The contractual parties may communicate with each other electronically, i.e. by sending messages to the e-mail address of the other </w:t>
            </w:r>
            <w:r w:rsidR="00DC05F3"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contractual p</w:t>
            </w:r>
            <w:r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arty, to the e-mail addresses specified herein:</w:t>
            </w:r>
          </w:p>
          <w:p w:rsidR="00C176FB" w:rsidRPr="00195FB7" w:rsidRDefault="00C176FB" w:rsidP="00C176FB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Supplier: </w:t>
            </w:r>
            <w:r w:rsidR="00356EF6"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C176FB" w:rsidRPr="00195FB7" w:rsidRDefault="00C176FB" w:rsidP="00C176FB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Customer</w:t>
            </w:r>
            <w:r w:rsidRPr="00195FB7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="00356EF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356EF6">
              <w:t>XXX</w:t>
            </w:r>
          </w:p>
          <w:p w:rsidR="00C176FB" w:rsidRPr="00195FB7" w:rsidRDefault="00C176FB" w:rsidP="007133BC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Electronic communication shall be deemed by both </w:t>
            </w:r>
            <w:r w:rsidR="00DC05F3"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contractual p</w:t>
            </w:r>
            <w:r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arties to be communication in written."</w:t>
            </w:r>
          </w:p>
          <w:p w:rsidR="00622113" w:rsidRPr="00195FB7" w:rsidRDefault="00622113" w:rsidP="00CF4B46">
            <w:pPr>
              <w:pStyle w:val="Zkladntext2"/>
              <w:ind w:left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B33FEF" w:rsidRPr="00195FB7" w:rsidRDefault="00B33FEF" w:rsidP="00CF4B46">
            <w:pPr>
              <w:pStyle w:val="Zkladntext2"/>
              <w:ind w:left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622113" w:rsidRPr="00195FB7" w:rsidRDefault="00622113" w:rsidP="00D06DD4">
            <w:pPr>
              <w:pStyle w:val="Zkladntext2"/>
              <w:numPr>
                <w:ilvl w:val="0"/>
                <w:numId w:val="21"/>
              </w:numPr>
              <w:tabs>
                <w:tab w:val="clear" w:pos="1065"/>
              </w:tabs>
              <w:ind w:left="313" w:hanging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>The contractual parties further agree that as of January 1, 2025, Annex No. 1 to the Agreement, entitled "</w:t>
            </w:r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 and Calculation of </w:t>
            </w:r>
            <w:r w:rsidR="003B6C25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volume-based bonus for goods listed in this annex, which constitutes supplier's trade secret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>", shall be amended by replacing Annex No. 1 to the Agreement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new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1 to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as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January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1, 2025, as set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forth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1 to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:rsidR="00741823" w:rsidRPr="00195FB7" w:rsidRDefault="00741823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741823" w:rsidRPr="00195FB7" w:rsidRDefault="00741823" w:rsidP="00D06DD4">
            <w:pPr>
              <w:pStyle w:val="Zkladntext2"/>
              <w:numPr>
                <w:ilvl w:val="0"/>
                <w:numId w:val="21"/>
              </w:numPr>
              <w:tabs>
                <w:tab w:val="clear" w:pos="1065"/>
              </w:tabs>
              <w:ind w:left="313" w:hanging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The contractual parties further agree that as of January</w:t>
            </w:r>
            <w:r w:rsidR="00AD4658"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1,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2025, the new Terms and Conditions of Business Cooperation, the text of which is attached as Annex</w:t>
            </w:r>
            <w:r w:rsidR="00D919D4"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No. 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>2 to this Amendment, shall become part of the Agreement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:rsidR="008F1F45" w:rsidRPr="00195FB7" w:rsidRDefault="008F1F45" w:rsidP="008F1F45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:rsidR="008F1F45" w:rsidRPr="00195FB7" w:rsidRDefault="008F1F45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III</w:t>
            </w:r>
            <w:r w:rsidR="003C002B"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:rsidR="00F601E4" w:rsidRPr="00195FB7" w:rsidRDefault="004859CF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</w:p>
          <w:p w:rsidR="00F601E4" w:rsidRPr="00195FB7" w:rsidRDefault="00F601E4" w:rsidP="00F601E4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:rsidR="00F601E4" w:rsidRPr="00195FB7" w:rsidRDefault="00F601E4" w:rsidP="00F601E4">
            <w:pPr>
              <w:pStyle w:val="Zkladntext2"/>
              <w:numPr>
                <w:ilvl w:val="0"/>
                <w:numId w:val="23"/>
              </w:numPr>
              <w:ind w:left="313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hereby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agree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should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be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necessary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publish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pursuant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Act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No. 340/2015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Coll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., on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special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conditions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for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effectiveness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some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publication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these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, and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register of contracts, as amended (hereinafter referred to as the “</w:t>
            </w: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Act on the Register of Contracts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</w:rPr>
              <w:t>”), the customer shall be obliged to publish this Amendment.</w:t>
            </w:r>
          </w:p>
          <w:p w:rsidR="00F601E4" w:rsidRPr="00195FB7" w:rsidRDefault="00F601E4" w:rsidP="00F601E4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601E4" w:rsidRPr="00195FB7" w:rsidRDefault="00F601E4" w:rsidP="00F601E4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IV</w:t>
            </w:r>
            <w:r w:rsidR="004E7FAF"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:rsidR="008F1F45" w:rsidRPr="00195FB7" w:rsidRDefault="008F1F45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Final</w:t>
            </w:r>
            <w:proofErr w:type="spellEnd"/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8F4E3A"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P</w:t>
            </w:r>
            <w:r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rovisions</w:t>
            </w:r>
            <w:proofErr w:type="spellEnd"/>
          </w:p>
          <w:p w:rsidR="008F1F45" w:rsidRPr="00195FB7" w:rsidRDefault="008F1F45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:rsidR="003D49BF" w:rsidRPr="00195FB7" w:rsidRDefault="003D49BF" w:rsidP="00CE2BE3">
            <w:pPr>
              <w:pStyle w:val="Zkladntext2"/>
              <w:numPr>
                <w:ilvl w:val="0"/>
                <w:numId w:val="24"/>
              </w:numPr>
              <w:ind w:left="313" w:hanging="284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8F4E3A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enters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into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force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date of the signature of the last contractual party and into effect by the date of its publication in the registry of contracts </w:t>
            </w:r>
            <w:r w:rsidR="004E7FAF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according</w:t>
            </w:r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to the Act on the Register of Contracts.</w:t>
            </w:r>
            <w:r w:rsidR="00CE2BE3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The rules for applying the bonus under this Amendment are </w:t>
            </w:r>
            <w:r w:rsidR="00B33FEF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valid</w:t>
            </w:r>
            <w:r w:rsidR="00CE2BE3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from January 1, 2025.</w:t>
            </w:r>
          </w:p>
          <w:p w:rsidR="004859CF" w:rsidRPr="00195FB7" w:rsidRDefault="004859CF" w:rsidP="004859CF">
            <w:pPr>
              <w:pStyle w:val="Zkladntext2"/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:rsidR="00C27B52" w:rsidRPr="00195FB7" w:rsidRDefault="008F1F45" w:rsidP="00270271">
            <w:pPr>
              <w:pStyle w:val="Zkladntext2"/>
              <w:numPr>
                <w:ilvl w:val="0"/>
                <w:numId w:val="24"/>
              </w:numPr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does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not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modify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any</w:t>
            </w:r>
            <w:proofErr w:type="spellEnd"/>
            <w:r w:rsidR="005C73E0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other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provisions</w:t>
            </w:r>
            <w:proofErr w:type="spellEnd"/>
            <w:r w:rsidR="005C73E0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="005C73E0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5C73E0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="008E1C72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.</w:t>
            </w:r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:rsidR="008E1C72" w:rsidRPr="00195FB7" w:rsidRDefault="008E1C72" w:rsidP="008E1C72">
            <w:pPr>
              <w:pStyle w:val="Zkladntext2"/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:rsidR="00E25930" w:rsidRPr="00195FB7" w:rsidRDefault="008F1F45" w:rsidP="003D49BF">
            <w:pPr>
              <w:pStyle w:val="Zkladntext2"/>
              <w:numPr>
                <w:ilvl w:val="0"/>
                <w:numId w:val="24"/>
              </w:numPr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A11D07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</w:t>
            </w:r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arties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declare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they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have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read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before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signing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its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contents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correspond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their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true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serious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and free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will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which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they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confirm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their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signatures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below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:rsidR="004E7FAF" w:rsidRPr="00195FB7" w:rsidRDefault="004E7FAF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:rsidR="00622113" w:rsidRPr="00195FB7" w:rsidRDefault="00622113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No.</w:t>
            </w:r>
            <w:r w:rsidR="002F33B8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1 - </w:t>
            </w:r>
            <w:r w:rsidR="002D2B69"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Model and Calculation of volume-based bonus</w:t>
            </w:r>
          </w:p>
          <w:p w:rsidR="00741823" w:rsidRPr="00195FB7" w:rsidRDefault="00741823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:rsidR="00741823" w:rsidRPr="00195FB7" w:rsidRDefault="00741823" w:rsidP="00CF4B4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193710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No.</w:t>
            </w:r>
            <w:r w:rsidR="002F33B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2 -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Terms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Conditions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Business </w:t>
            </w:r>
            <w:proofErr w:type="spellStart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Cooperation</w:t>
            </w:r>
            <w:proofErr w:type="spellEnd"/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:rsidR="00741823" w:rsidRPr="00195FB7" w:rsidRDefault="00741823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F71432" w:rsidRPr="00195FB7" w:rsidTr="00E905C9">
        <w:tc>
          <w:tcPr>
            <w:tcW w:w="4531" w:type="dxa"/>
          </w:tcPr>
          <w:p w:rsidR="00CB4877" w:rsidRPr="00195FB7" w:rsidRDefault="00CB4877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CB4877" w:rsidRPr="00195FB7" w:rsidRDefault="00FC5E91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V Praze den / </w:t>
            </w:r>
            <w:r w:rsidR="00CB4877"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In Prague on</w:t>
            </w:r>
            <w:r w:rsidR="00CB4877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…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… …………</w:t>
            </w:r>
          </w:p>
          <w:p w:rsidR="00CB4877" w:rsidRPr="00195FB7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:rsidR="00CB4877" w:rsidRPr="00195FB7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Dodavatel / </w:t>
            </w:r>
            <w:proofErr w:type="spellStart"/>
            <w:r w:rsidR="00CB4877"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="00CB4877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:rsidR="003A21AF" w:rsidRPr="00195FB7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3A21AF" w:rsidRPr="00195FB7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FC5E91" w:rsidRPr="00195FB7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CB4877" w:rsidRPr="00195FB7" w:rsidRDefault="00CB4877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____________________________</w:t>
            </w:r>
          </w:p>
          <w:p w:rsidR="00CB4877" w:rsidRPr="00195FB7" w:rsidRDefault="00CB4877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, spol. s.r.o.</w:t>
            </w:r>
          </w:p>
          <w:p w:rsidR="00CB4877" w:rsidRPr="00195FB7" w:rsidRDefault="009E1A0A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Diego Basso</w:t>
            </w:r>
            <w:r w:rsidR="00B4227F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,</w:t>
            </w:r>
            <w:r w:rsidR="00022BCC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jednatel/</w:t>
            </w:r>
            <w:r w:rsidR="00FC5E91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proofErr w:type="spellStart"/>
            <w:r w:rsidR="00022BCC" w:rsidRPr="006A151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black"/>
                <w:lang w:val="cs-CZ"/>
              </w:rPr>
              <w:t>Executive</w:t>
            </w:r>
            <w:proofErr w:type="spellEnd"/>
          </w:p>
          <w:p w:rsidR="00CB4877" w:rsidRPr="00195FB7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:rsidR="003A21AF" w:rsidRPr="00195FB7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3A21AF" w:rsidRPr="00195FB7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CB4877" w:rsidRPr="00195FB7" w:rsidRDefault="00CB4877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____________________________</w:t>
            </w:r>
          </w:p>
          <w:p w:rsidR="00CB4877" w:rsidRPr="00195FB7" w:rsidRDefault="00CB4877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, spol. s.r.o.</w:t>
            </w:r>
          </w:p>
          <w:p w:rsidR="00022BCC" w:rsidRPr="00195FB7" w:rsidRDefault="00022BCC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Jarmila </w:t>
            </w:r>
            <w:proofErr w:type="spellStart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Csóková</w:t>
            </w:r>
            <w:proofErr w:type="spellEnd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, jednatelka</w:t>
            </w:r>
            <w:r w:rsidR="00FC5E91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/</w:t>
            </w:r>
            <w:r w:rsidR="00FC5E91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proofErr w:type="spellStart"/>
            <w:r w:rsidRPr="006A151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black"/>
                <w:lang w:val="cs-CZ"/>
              </w:rPr>
              <w:t>Executive</w:t>
            </w:r>
            <w:proofErr w:type="spellEnd"/>
          </w:p>
          <w:p w:rsidR="00CB4877" w:rsidRPr="00195FB7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4531" w:type="dxa"/>
          </w:tcPr>
          <w:p w:rsidR="00CB4877" w:rsidRPr="00195FB7" w:rsidRDefault="00CB4877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CB4877" w:rsidRPr="00195FB7" w:rsidRDefault="00FC5E91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V </w:t>
            </w:r>
            <w:r w:rsidR="006172C8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Praze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dne / </w:t>
            </w:r>
            <w:r w:rsidR="00CB4877"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In </w:t>
            </w:r>
            <w:r w:rsidR="006172C8"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Prague</w:t>
            </w:r>
            <w:r w:rsidR="00CB4877"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 on</w:t>
            </w:r>
            <w:proofErr w:type="gramStart"/>
            <w:r w:rsidR="00CB4877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…</w:t>
            </w:r>
            <w:r w:rsidR="00C63140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  <w:proofErr w:type="gramEnd"/>
            <w:r w:rsidR="00C63140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…………</w:t>
            </w:r>
          </w:p>
          <w:p w:rsidR="00CB4877" w:rsidRPr="00195FB7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:rsidR="00CB4877" w:rsidRPr="00195FB7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Odběratel / </w:t>
            </w:r>
            <w:proofErr w:type="spellStart"/>
            <w:r w:rsidR="00CB4877" w:rsidRPr="00195F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="00CB4877"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:rsidR="003A21AF" w:rsidRPr="00195FB7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3A21AF" w:rsidRPr="00195FB7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FC5E91" w:rsidRPr="00195FB7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CB4877" w:rsidRPr="00195FB7" w:rsidRDefault="00CB4877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___________________________</w:t>
            </w:r>
          </w:p>
          <w:p w:rsidR="005545FA" w:rsidRPr="006A1518" w:rsidRDefault="005545FA" w:rsidP="005545FA">
            <w:pPr>
              <w:rPr>
                <w:rFonts w:ascii="Arial" w:hAnsi="Arial"/>
                <w:sz w:val="22"/>
                <w:highlight w:val="black"/>
                <w:lang w:val="cs-CZ"/>
              </w:rPr>
            </w:pP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Fakultní nemocnice Plzeň</w:t>
            </w:r>
            <w:r w:rsidRPr="00195FB7">
              <w:rPr>
                <w:rFonts w:ascii="Arial" w:hAnsi="Arial"/>
                <w:sz w:val="22"/>
              </w:rPr>
              <w:t xml:space="preserve">, </w:t>
            </w:r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MUDr. Václav Šimánek, Ph.D., </w:t>
            </w:r>
            <w:r w:rsidRPr="006A1518">
              <w:rPr>
                <w:rFonts w:ascii="Arial" w:hAnsi="Arial"/>
                <w:sz w:val="22"/>
                <w:highlight w:val="black"/>
                <w:lang w:val="cs-CZ"/>
              </w:rPr>
              <w:t>ředitel/</w:t>
            </w:r>
          </w:p>
          <w:p w:rsidR="003A21AF" w:rsidRPr="00195FB7" w:rsidRDefault="005545FA" w:rsidP="005545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6A1518">
              <w:rPr>
                <w:rFonts w:ascii="Arial" w:hAnsi="Arial"/>
                <w:i/>
                <w:iCs/>
                <w:sz w:val="22"/>
                <w:highlight w:val="black"/>
              </w:rPr>
              <w:t>Director</w:t>
            </w:r>
            <w:r w:rsidRPr="00195FB7">
              <w:rPr>
                <w:rFonts w:ascii="Arial" w:hAnsi="Arial"/>
                <w:i/>
                <w:iCs/>
                <w:sz w:val="22"/>
              </w:rPr>
              <w:t xml:space="preserve"> </w:t>
            </w:r>
          </w:p>
          <w:p w:rsidR="003A21AF" w:rsidRPr="00195FB7" w:rsidRDefault="003A21AF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:rsidR="005D0A29" w:rsidRPr="00195FB7" w:rsidRDefault="005D0A29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3"/>
        <w:gridCol w:w="3023"/>
      </w:tblGrid>
      <w:tr w:rsidR="008F3DC6" w:rsidRPr="00195FB7" w:rsidTr="008F3DC6">
        <w:tc>
          <w:tcPr>
            <w:tcW w:w="3024" w:type="dxa"/>
          </w:tcPr>
          <w:p w:rsidR="008F3DC6" w:rsidRPr="00195FB7" w:rsidRDefault="008F3DC6" w:rsidP="00F71432">
            <w:pPr>
              <w:keepNext/>
              <w:keepLines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023" w:type="dxa"/>
          </w:tcPr>
          <w:p w:rsidR="008F3DC6" w:rsidRPr="00195FB7" w:rsidRDefault="008F3DC6" w:rsidP="00F71432">
            <w:pPr>
              <w:keepNext/>
              <w:keepLines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023" w:type="dxa"/>
          </w:tcPr>
          <w:p w:rsidR="008F3DC6" w:rsidRPr="00195FB7" w:rsidRDefault="008F3DC6" w:rsidP="00F71432">
            <w:pPr>
              <w:keepNext/>
              <w:keepLines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:rsidR="005C225D" w:rsidRPr="00195FB7" w:rsidRDefault="005C225D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2B3A37" w:rsidRPr="00195FB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2B3A37" w:rsidRPr="00195FB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2B3A37" w:rsidRPr="00195FB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2B3A37" w:rsidRPr="00195FB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2B3A37" w:rsidRPr="00195FB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2B3A37" w:rsidRPr="00195FB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D62CF0" w:rsidRPr="00195FB7" w:rsidRDefault="00D62CF0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195FB7">
        <w:rPr>
          <w:rFonts w:ascii="Arial" w:hAnsi="Arial" w:cs="Arial"/>
          <w:color w:val="000000" w:themeColor="text1"/>
          <w:sz w:val="22"/>
          <w:szCs w:val="22"/>
          <w:lang w:val="cs-CZ"/>
        </w:rPr>
        <w:br w:type="page"/>
      </w:r>
    </w:p>
    <w:p w:rsidR="00C163F4" w:rsidRPr="00195FB7" w:rsidRDefault="00C163F4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  <w:sectPr w:rsidR="00C163F4" w:rsidRPr="00195FB7" w:rsidSect="008F1F45"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B3A37" w:rsidRPr="00195FB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tbl>
      <w:tblPr>
        <w:tblW w:w="13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8"/>
        <w:gridCol w:w="6995"/>
      </w:tblGrid>
      <w:tr w:rsidR="002B3A37" w:rsidRPr="00195FB7" w:rsidTr="009A75D8">
        <w:trPr>
          <w:trHeight w:val="2086"/>
        </w:trPr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A37" w:rsidRPr="00195FB7" w:rsidRDefault="002B3A37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br/>
              <w:t xml:space="preserve">Příloha č. 1 – </w:t>
            </w:r>
            <w:r w:rsidR="00741823"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V</w:t>
            </w: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zor a výpočet </w:t>
            </w:r>
            <w:r w:rsidR="00E01F28"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objemového bonusu</w:t>
            </w: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:rsidR="002B3A37" w:rsidRPr="00195FB7" w:rsidRDefault="002B3A37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2B3A37" w:rsidRPr="006A1518" w:rsidRDefault="002B3A37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</w:pPr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Způsob určení obchodního zvýhodnění je stanoven uvedeným </w:t>
            </w:r>
            <w:proofErr w:type="gramStart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výpočtem:</w:t>
            </w:r>
            <w:r w:rsidR="0077098D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 FO</w:t>
            </w:r>
            <w:proofErr w:type="gramEnd"/>
            <w:r w:rsidR="0077098D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x Y</w:t>
            </w:r>
          </w:p>
          <w:p w:rsidR="002B13AB" w:rsidRPr="006A1518" w:rsidRDefault="002B13AB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</w:pPr>
          </w:p>
          <w:p w:rsidR="002B13AB" w:rsidRPr="006A1518" w:rsidRDefault="002B13AB" w:rsidP="002B13AB">
            <w:pPr>
              <w:pStyle w:val="Zkladntext2"/>
              <w:ind w:left="144"/>
              <w:contextualSpacing/>
              <w:textAlignment w:val="baseline"/>
              <w:rPr>
                <w:rFonts w:ascii="Arial" w:eastAsia="MS PGothic" w:hAnsi="Arial" w:cs="Arial"/>
                <w:color w:val="000000" w:themeColor="text1"/>
                <w:kern w:val="24"/>
                <w:sz w:val="22"/>
                <w:szCs w:val="22"/>
                <w:highlight w:val="black"/>
                <w:lang w:val="cs-CZ"/>
              </w:rPr>
            </w:pPr>
            <w:r w:rsidRPr="006A1518">
              <w:rPr>
                <w:rFonts w:ascii="Arial" w:eastAsia="MS PGothic" w:hAnsi="Arial" w:cs="Arial"/>
                <w:bCs/>
                <w:color w:val="000000" w:themeColor="text1"/>
                <w:kern w:val="24"/>
                <w:sz w:val="22"/>
                <w:szCs w:val="22"/>
                <w:highlight w:val="black"/>
                <w:lang w:val="cs-CZ"/>
              </w:rPr>
              <w:t xml:space="preserve">FO </w:t>
            </w:r>
            <w:r w:rsidRPr="006A1518">
              <w:rPr>
                <w:rFonts w:ascii="Arial" w:eastAsia="MS PGothic" w:hAnsi="Arial" w:cs="Arial"/>
                <w:color w:val="000000" w:themeColor="text1"/>
                <w:kern w:val="24"/>
                <w:sz w:val="22"/>
                <w:szCs w:val="22"/>
                <w:highlight w:val="black"/>
                <w:lang w:val="cs-CZ"/>
              </w:rPr>
              <w:t xml:space="preserve">= fakturovaný objem zboží – vypočte se jako součet prodejních cen bez DPH a bez OP všech balení příslušného zboží, který odběratel nakoupí v referenčním období; </w:t>
            </w:r>
          </w:p>
          <w:p w:rsidR="002B13AB" w:rsidRPr="006A1518" w:rsidRDefault="002B13AB" w:rsidP="002B13AB">
            <w:pPr>
              <w:ind w:left="144"/>
              <w:contextualSpacing/>
              <w:jc w:val="both"/>
              <w:textAlignment w:val="baseline"/>
              <w:rPr>
                <w:rFonts w:ascii="Arial" w:eastAsia="MS PGothic" w:hAnsi="Arial" w:cs="Arial"/>
                <w:color w:val="000000" w:themeColor="text1"/>
                <w:kern w:val="24"/>
                <w:sz w:val="22"/>
                <w:szCs w:val="22"/>
                <w:highlight w:val="black"/>
                <w:lang w:val="cs-CZ"/>
              </w:rPr>
            </w:pPr>
            <w:r w:rsidRPr="006A1518">
              <w:rPr>
                <w:rFonts w:ascii="Arial" w:eastAsia="MS PGothic" w:hAnsi="Arial" w:cs="Arial"/>
                <w:bCs/>
                <w:color w:val="000000" w:themeColor="text1"/>
                <w:kern w:val="24"/>
                <w:sz w:val="22"/>
                <w:szCs w:val="22"/>
                <w:highlight w:val="black"/>
                <w:lang w:val="cs-CZ"/>
              </w:rPr>
              <w:t>Y</w:t>
            </w:r>
            <w:r w:rsidRPr="006A1518">
              <w:rPr>
                <w:rFonts w:ascii="Arial" w:eastAsia="MS PGothic" w:hAnsi="Arial" w:cs="Arial"/>
                <w:color w:val="000000" w:themeColor="text1"/>
                <w:kern w:val="24"/>
                <w:sz w:val="22"/>
                <w:szCs w:val="22"/>
                <w:highlight w:val="black"/>
                <w:lang w:val="cs-CZ"/>
              </w:rPr>
              <w:t xml:space="preserve"> = procentuální výše obchodního zvýhodnění při překročení minimálního fakturovaného objemu v daném pásmu za referenční období zaokrouhlená na dvě desetinná místa. </w:t>
            </w:r>
          </w:p>
          <w:p w:rsidR="002B13AB" w:rsidRPr="006A1518" w:rsidRDefault="002B13AB" w:rsidP="002B13AB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</w:pPr>
          </w:p>
          <w:p w:rsidR="002B13AB" w:rsidRPr="006A1518" w:rsidRDefault="002B13AB" w:rsidP="002B13AB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</w:pPr>
          </w:p>
          <w:p w:rsidR="002B13AB" w:rsidRPr="006A1518" w:rsidRDefault="002B13AB" w:rsidP="002B13AB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</w:pPr>
          </w:p>
          <w:p w:rsidR="002B13AB" w:rsidRPr="00195FB7" w:rsidRDefault="002B13AB" w:rsidP="002B13AB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6A1518">
              <w:rPr>
                <w:rFonts w:ascii="Arial" w:hAnsi="Arial" w:cs="Arial"/>
                <w:color w:val="000000" w:themeColor="text1"/>
                <w:highlight w:val="black"/>
                <w:lang w:val="cs-CZ"/>
              </w:rPr>
              <w:t xml:space="preserve">Na odběry přípravku JARDIANCE 10 MGPOR TBL FLM 28X1X10 </w:t>
            </w:r>
            <w:proofErr w:type="gramStart"/>
            <w:r w:rsidRPr="006A1518">
              <w:rPr>
                <w:rFonts w:ascii="Arial" w:hAnsi="Arial" w:cs="Arial"/>
                <w:color w:val="000000" w:themeColor="text1"/>
                <w:highlight w:val="black"/>
                <w:lang w:val="cs-CZ"/>
              </w:rPr>
              <w:t>MG,  </w:t>
            </w:r>
            <w:r w:rsidR="00FC5137" w:rsidRPr="006A1518">
              <w:rPr>
                <w:rFonts w:ascii="Arial" w:hAnsi="Arial" w:cs="Arial"/>
                <w:color w:val="000000" w:themeColor="text1"/>
                <w:highlight w:val="black"/>
                <w:lang w:val="cs-CZ"/>
              </w:rPr>
              <w:t>SÚKL</w:t>
            </w:r>
            <w:proofErr w:type="gramEnd"/>
            <w:r w:rsidRPr="006A1518">
              <w:rPr>
                <w:rFonts w:ascii="Arial" w:hAnsi="Arial" w:cs="Arial"/>
                <w:color w:val="000000" w:themeColor="text1"/>
                <w:highlight w:val="black"/>
                <w:lang w:val="cs-CZ"/>
              </w:rPr>
              <w:t xml:space="preserve"> </w:t>
            </w:r>
            <w:proofErr w:type="spellStart"/>
            <w:r w:rsidRPr="006A1518">
              <w:rPr>
                <w:rFonts w:ascii="Arial" w:hAnsi="Arial" w:cs="Arial"/>
                <w:color w:val="000000" w:themeColor="text1"/>
                <w:highlight w:val="black"/>
                <w:lang w:val="cs-CZ"/>
              </w:rPr>
              <w:t>kod</w:t>
            </w:r>
            <w:proofErr w:type="spellEnd"/>
            <w:r w:rsidRPr="006A1518">
              <w:rPr>
                <w:rFonts w:ascii="Arial" w:hAnsi="Arial" w:cs="Arial"/>
                <w:color w:val="000000" w:themeColor="text1"/>
                <w:highlight w:val="black"/>
                <w:lang w:val="cs-CZ"/>
              </w:rPr>
              <w:t xml:space="preserve">    210022, realizované na ústavní lékárně (určené pro léčbu na lůžkové části) se tyto    obchodní podmínky nevztahují.</w:t>
            </w:r>
          </w:p>
          <w:p w:rsidR="002B3A37" w:rsidRPr="00195FB7" w:rsidRDefault="002B3A37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2B3A37" w:rsidRPr="00195FB7" w:rsidRDefault="002B3A37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2B3A37" w:rsidRPr="00195FB7" w:rsidRDefault="002B3A37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A37" w:rsidRPr="00195FB7" w:rsidRDefault="002B3A37" w:rsidP="002B3A37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br/>
            </w:r>
            <w:proofErr w:type="spellStart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1 – </w:t>
            </w:r>
            <w:r w:rsidR="00E01F28" w:rsidRPr="00195FB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Model and Calculation of volume-based bonus</w:t>
            </w:r>
          </w:p>
          <w:p w:rsidR="002B3A37" w:rsidRPr="00195FB7" w:rsidRDefault="002B3A37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2B3A37" w:rsidRPr="006A1518" w:rsidRDefault="002B3A37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</w:pPr>
            <w:proofErr w:type="spellStart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The</w:t>
            </w:r>
            <w:proofErr w:type="spellEnd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proofErr w:type="spellStart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method</w:t>
            </w:r>
            <w:proofErr w:type="spellEnd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proofErr w:type="spellStart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of</w:t>
            </w:r>
            <w:proofErr w:type="spellEnd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proofErr w:type="spellStart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stipulating</w:t>
            </w:r>
            <w:proofErr w:type="spellEnd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proofErr w:type="spellStart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the</w:t>
            </w:r>
            <w:proofErr w:type="spellEnd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proofErr w:type="spellStart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trade</w:t>
            </w:r>
            <w:proofErr w:type="spellEnd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proofErr w:type="spellStart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advantage</w:t>
            </w:r>
            <w:proofErr w:type="spellEnd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proofErr w:type="spellStart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is</w:t>
            </w:r>
            <w:proofErr w:type="spellEnd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proofErr w:type="spellStart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through</w:t>
            </w:r>
            <w:proofErr w:type="spellEnd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proofErr w:type="spellStart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the</w:t>
            </w:r>
            <w:proofErr w:type="spellEnd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proofErr w:type="spellStart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following</w:t>
            </w:r>
            <w:proofErr w:type="spellEnd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proofErr w:type="spellStart"/>
            <w:proofErr w:type="gramStart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calculation</w:t>
            </w:r>
            <w:proofErr w:type="spellEnd"/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:</w:t>
            </w:r>
            <w:r w:rsidR="0077098D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 FO</w:t>
            </w:r>
            <w:proofErr w:type="gramEnd"/>
            <w:r w:rsidR="0077098D"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x Y</w:t>
            </w:r>
          </w:p>
          <w:p w:rsidR="002B3A37" w:rsidRPr="006A1518" w:rsidRDefault="002B3A37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</w:pPr>
          </w:p>
          <w:p w:rsidR="00842645" w:rsidRPr="006A1518" w:rsidRDefault="00842645" w:rsidP="00842645">
            <w:pPr>
              <w:pStyle w:val="Zkladntext2"/>
              <w:ind w:left="144"/>
              <w:contextualSpacing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</w:pPr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 xml:space="preserve">FO = invoiced volume of goods – to be calculated as the sum of selling prices excluding VAT and excluding OP for all packages of the relevant goods purchased by the customer from the supplier during the reference period; </w:t>
            </w:r>
          </w:p>
          <w:p w:rsidR="00842645" w:rsidRPr="006A1518" w:rsidRDefault="00842645" w:rsidP="00842645">
            <w:pPr>
              <w:ind w:left="144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</w:pPr>
            <w:r w:rsidRPr="006A1518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Y = percentage of the trade advantage above minimum invoiced volume in a given zone for the reference period, rounded to two decimal places.</w:t>
            </w:r>
          </w:p>
          <w:p w:rsidR="00842645" w:rsidRPr="006A1518" w:rsidRDefault="00842645" w:rsidP="00842645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</w:pPr>
          </w:p>
          <w:p w:rsidR="00842645" w:rsidRPr="006A1518" w:rsidRDefault="00842645" w:rsidP="00842645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</w:pPr>
          </w:p>
          <w:p w:rsidR="00842645" w:rsidRPr="00195FB7" w:rsidRDefault="00842645" w:rsidP="00842645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6A1518">
              <w:rPr>
                <w:rFonts w:ascii="Arial" w:hAnsi="Arial" w:cs="Arial"/>
                <w:color w:val="000000" w:themeColor="text1"/>
                <w:highlight w:val="black"/>
              </w:rPr>
              <w:t xml:space="preserve">Withdrawals of JARDIANCE 10 MGPOR TBL FLM 28X1X10 MG, </w:t>
            </w:r>
            <w:r w:rsidR="00FC5137" w:rsidRPr="006A1518">
              <w:rPr>
                <w:rFonts w:ascii="Arial" w:hAnsi="Arial" w:cs="Arial"/>
                <w:color w:val="000000" w:themeColor="text1"/>
                <w:highlight w:val="black"/>
              </w:rPr>
              <w:t>SUKL</w:t>
            </w:r>
            <w:r w:rsidRPr="006A1518">
              <w:rPr>
                <w:rFonts w:ascii="Arial" w:hAnsi="Arial" w:cs="Arial"/>
                <w:color w:val="000000" w:themeColor="text1"/>
                <w:highlight w:val="black"/>
              </w:rPr>
              <w:t xml:space="preserve"> code 210022, realized at the institutional pharmacy (intended for treatment in the inpatient section) are not covered by these terms and conditions.</w:t>
            </w:r>
          </w:p>
          <w:p w:rsidR="00842645" w:rsidRPr="00195FB7" w:rsidRDefault="00842645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2B3A37" w:rsidRPr="00195FB7" w:rsidRDefault="002B3A37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2B3A37" w:rsidRPr="00195FB7" w:rsidRDefault="002B3A37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:rsidR="002B3A37" w:rsidRPr="00195FB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741823" w:rsidRPr="00195FB7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741823" w:rsidRPr="00195FB7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741823" w:rsidRPr="00195FB7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741823" w:rsidRPr="00195FB7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741823" w:rsidRPr="00195FB7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741823" w:rsidRPr="00195FB7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741823" w:rsidRPr="00195FB7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741823" w:rsidRPr="00195FB7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741823" w:rsidRPr="00195FB7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741823" w:rsidRPr="00195FB7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741823" w:rsidRPr="00195FB7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741823" w:rsidRPr="00195FB7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741823" w:rsidRPr="00195FB7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6943"/>
      </w:tblGrid>
      <w:tr w:rsidR="00741823" w:rsidRPr="00195FB7" w:rsidTr="009A75D8">
        <w:trPr>
          <w:trHeight w:val="156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23" w:rsidRPr="00195FB7" w:rsidRDefault="00741823" w:rsidP="00CA3E4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lastRenderedPageBreak/>
              <w:br/>
              <w:t xml:space="preserve">Příloha č. 2 – Podmínky obchodní spolupráce </w:t>
            </w:r>
          </w:p>
          <w:p w:rsidR="00741823" w:rsidRPr="00195FB7" w:rsidRDefault="00741823" w:rsidP="00CA3E4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741823" w:rsidRPr="00195FB7" w:rsidRDefault="00741823" w:rsidP="00CA3E4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Tyto podmínky nabývají platnosti a účinnosti 1. 1. 2025.</w:t>
            </w:r>
          </w:p>
          <w:p w:rsidR="00741823" w:rsidRPr="00195FB7" w:rsidRDefault="00741823" w:rsidP="00CA3E4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741823" w:rsidRPr="00195FB7" w:rsidRDefault="00741823" w:rsidP="00CA3E4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741823" w:rsidRPr="00195FB7" w:rsidRDefault="00741823" w:rsidP="00CA3E4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23" w:rsidRPr="00195FB7" w:rsidRDefault="00741823" w:rsidP="0074182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br/>
            </w:r>
            <w:proofErr w:type="spellStart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2 - </w:t>
            </w:r>
            <w:proofErr w:type="spellStart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Terms</w:t>
            </w:r>
            <w:proofErr w:type="spellEnd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Conditions</w:t>
            </w:r>
            <w:proofErr w:type="spellEnd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Business </w:t>
            </w:r>
            <w:proofErr w:type="spellStart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Cooperation</w:t>
            </w:r>
            <w:proofErr w:type="spellEnd"/>
            <w:r w:rsidRPr="00195F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:rsidR="00741823" w:rsidRPr="00195FB7" w:rsidRDefault="00741823" w:rsidP="00741823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741823" w:rsidRPr="00195FB7" w:rsidRDefault="00741823" w:rsidP="00741823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These </w:t>
            </w:r>
            <w:proofErr w:type="spellStart"/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terms</w:t>
            </w:r>
            <w:proofErr w:type="spellEnd"/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and </w:t>
            </w:r>
            <w:proofErr w:type="spellStart"/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conditions</w:t>
            </w:r>
            <w:proofErr w:type="spellEnd"/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proofErr w:type="spellStart"/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shall</w:t>
            </w:r>
            <w:proofErr w:type="spellEnd"/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proofErr w:type="spellStart"/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come</w:t>
            </w:r>
            <w:proofErr w:type="spellEnd"/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proofErr w:type="spellStart"/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into</w:t>
            </w:r>
            <w:proofErr w:type="spellEnd"/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</w:t>
            </w:r>
            <w:proofErr w:type="spellStart"/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force</w:t>
            </w:r>
            <w:proofErr w:type="spellEnd"/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and </w:t>
            </w:r>
            <w:proofErr w:type="spellStart"/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effect</w:t>
            </w:r>
            <w:proofErr w:type="spellEnd"/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on 1 </w:t>
            </w:r>
            <w:proofErr w:type="spellStart"/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January</w:t>
            </w:r>
            <w:proofErr w:type="spellEnd"/>
            <w:r w:rsidRPr="001938C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 xml:space="preserve"> 2025.</w:t>
            </w:r>
          </w:p>
          <w:p w:rsidR="00741823" w:rsidRPr="00195FB7" w:rsidRDefault="00741823" w:rsidP="00CA3E4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:rsidR="00741823" w:rsidRPr="00195FB7" w:rsidRDefault="00741823" w:rsidP="00CA3E4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:rsidR="00741823" w:rsidRDefault="001938CF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CE42F0">
        <w:rPr>
          <w:rFonts w:ascii="Arial" w:hAnsi="Arial" w:cs="Arial"/>
          <w:color w:val="000000" w:themeColor="text1"/>
          <w:sz w:val="22"/>
          <w:szCs w:val="22"/>
          <w:highlight w:val="black"/>
          <w:lang w:val="cs-CZ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CE42F0" w:rsidRPr="00CE42F0">
        <w:rPr>
          <w:rFonts w:ascii="Arial" w:hAnsi="Arial" w:cs="Arial"/>
          <w:color w:val="000000" w:themeColor="text1"/>
          <w:sz w:val="22"/>
          <w:szCs w:val="22"/>
          <w:highlight w:val="black"/>
          <w:lang w:val="cs-CZ"/>
        </w:rPr>
        <w:t>XXX</w:t>
      </w:r>
    </w:p>
    <w:p w:rsidR="00CE42F0" w:rsidRPr="00195FB7" w:rsidRDefault="00CE42F0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CE42F0">
        <w:rPr>
          <w:rFonts w:ascii="Arial" w:hAnsi="Arial" w:cs="Arial"/>
          <w:color w:val="000000" w:themeColor="text1"/>
          <w:sz w:val="22"/>
          <w:szCs w:val="22"/>
          <w:highlight w:val="black"/>
          <w:lang w:val="cs-CZ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13BA4" w:rsidRPr="00CE42F0">
        <w:rPr>
          <w:rFonts w:ascii="Arial" w:hAnsi="Arial" w:cs="Arial"/>
          <w:color w:val="000000" w:themeColor="text1"/>
          <w:sz w:val="22"/>
          <w:szCs w:val="22"/>
          <w:highlight w:val="black"/>
          <w:lang w:val="cs-CZ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13BA4" w:rsidRPr="00613BA4">
        <w:rPr>
          <w:rFonts w:ascii="Arial" w:hAnsi="Arial" w:cs="Arial"/>
          <w:color w:val="000000" w:themeColor="text1"/>
          <w:sz w:val="22"/>
          <w:szCs w:val="22"/>
          <w:highlight w:val="black"/>
          <w:lang w:val="cs-CZ"/>
        </w:rPr>
        <w:t>xxxxxxx</w:t>
      </w:r>
    </w:p>
    <w:p w:rsidR="00A020A0" w:rsidRDefault="00A020A0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:rsidR="009A7600" w:rsidRPr="00F7529D" w:rsidRDefault="009A7600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sectPr w:rsidR="009A7600" w:rsidRPr="00F7529D" w:rsidSect="008C166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78F" w:rsidRDefault="002C678F" w:rsidP="00CE23AC">
      <w:r>
        <w:separator/>
      </w:r>
    </w:p>
  </w:endnote>
  <w:endnote w:type="continuationSeparator" w:id="0">
    <w:p w:rsidR="002C678F" w:rsidRDefault="002C678F" w:rsidP="00CE23AC">
      <w:r>
        <w:continuationSeparator/>
      </w:r>
    </w:p>
  </w:endnote>
  <w:endnote w:type="continuationNotice" w:id="1">
    <w:p w:rsidR="002C678F" w:rsidRDefault="002C6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1237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DE4B47" w:rsidRPr="00DE4B47" w:rsidRDefault="00DE4B4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E4B47">
          <w:rPr>
            <w:rFonts w:ascii="Arial" w:hAnsi="Arial" w:cs="Arial"/>
            <w:sz w:val="22"/>
            <w:szCs w:val="22"/>
          </w:rPr>
          <w:fldChar w:fldCharType="begin"/>
        </w:r>
        <w:r w:rsidRPr="00DE4B47">
          <w:rPr>
            <w:rFonts w:ascii="Arial" w:hAnsi="Arial" w:cs="Arial"/>
            <w:sz w:val="22"/>
            <w:szCs w:val="22"/>
          </w:rPr>
          <w:instrText>PAGE   \* MERGEFORMAT</w:instrText>
        </w:r>
        <w:r w:rsidRPr="00DE4B47">
          <w:rPr>
            <w:rFonts w:ascii="Arial" w:hAnsi="Arial" w:cs="Arial"/>
            <w:sz w:val="22"/>
            <w:szCs w:val="22"/>
          </w:rPr>
          <w:fldChar w:fldCharType="separate"/>
        </w:r>
        <w:r w:rsidR="002A556C" w:rsidRPr="002A556C">
          <w:rPr>
            <w:rFonts w:ascii="Arial" w:hAnsi="Arial" w:cs="Arial"/>
            <w:noProof/>
            <w:sz w:val="22"/>
            <w:szCs w:val="22"/>
            <w:lang w:val="cs-CZ"/>
          </w:rPr>
          <w:t>1</w:t>
        </w:r>
        <w:r w:rsidRPr="00DE4B4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DE4B47" w:rsidRDefault="00DE4B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78F" w:rsidRDefault="002C678F" w:rsidP="00CE23AC">
      <w:r>
        <w:separator/>
      </w:r>
    </w:p>
  </w:footnote>
  <w:footnote w:type="continuationSeparator" w:id="0">
    <w:p w:rsidR="002C678F" w:rsidRDefault="002C678F" w:rsidP="00CE23AC">
      <w:r>
        <w:continuationSeparator/>
      </w:r>
    </w:p>
  </w:footnote>
  <w:footnote w:type="continuationNotice" w:id="1">
    <w:p w:rsidR="002C678F" w:rsidRDefault="002C67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3F1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7393574"/>
    <w:multiLevelType w:val="hybridMultilevel"/>
    <w:tmpl w:val="D0E0E2C4"/>
    <w:lvl w:ilvl="0" w:tplc="1C0EA7B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99C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87A4D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6763EB"/>
    <w:multiLevelType w:val="hybridMultilevel"/>
    <w:tmpl w:val="091E238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F31528"/>
    <w:multiLevelType w:val="hybridMultilevel"/>
    <w:tmpl w:val="F438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E2B99"/>
    <w:multiLevelType w:val="hybridMultilevel"/>
    <w:tmpl w:val="2F288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AA6C3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CB1828"/>
    <w:multiLevelType w:val="hybridMultilevel"/>
    <w:tmpl w:val="F43888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A1C36"/>
    <w:multiLevelType w:val="hybridMultilevel"/>
    <w:tmpl w:val="ED3E2450"/>
    <w:lvl w:ilvl="0" w:tplc="55F074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493EDA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30142084"/>
    <w:multiLevelType w:val="hybridMultilevel"/>
    <w:tmpl w:val="4B3CA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B1943"/>
    <w:multiLevelType w:val="hybridMultilevel"/>
    <w:tmpl w:val="56F6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250E1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37"/>
        </w:tabs>
        <w:ind w:left="137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2"/>
        </w:tabs>
        <w:ind w:left="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  <w:rPr>
        <w:rFonts w:cs="Times New Roman"/>
      </w:rPr>
    </w:lvl>
  </w:abstractNum>
  <w:abstractNum w:abstractNumId="14" w15:restartNumberingAfterBreak="0">
    <w:nsid w:val="42435348"/>
    <w:multiLevelType w:val="hybridMultilevel"/>
    <w:tmpl w:val="0FC8D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15DE"/>
    <w:multiLevelType w:val="hybridMultilevel"/>
    <w:tmpl w:val="AFFA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0278A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931751"/>
    <w:multiLevelType w:val="hybridMultilevel"/>
    <w:tmpl w:val="3D7627D4"/>
    <w:lvl w:ilvl="0" w:tplc="58A08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 w15:restartNumberingAfterBreak="0">
    <w:nsid w:val="5BB913EC"/>
    <w:multiLevelType w:val="multilevel"/>
    <w:tmpl w:val="7E82E0B0"/>
    <w:lvl w:ilvl="0">
      <w:start w:val="1"/>
      <w:numFmt w:val="upperLetter"/>
      <w:pStyle w:val="bpvpreambule-slovn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11D613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48273D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67D77723"/>
    <w:multiLevelType w:val="hybridMultilevel"/>
    <w:tmpl w:val="E03AB810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CC1759"/>
    <w:multiLevelType w:val="multilevel"/>
    <w:tmpl w:val="AE0EFA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24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13"/>
  </w:num>
  <w:num w:numId="5">
    <w:abstractNumId w:val="6"/>
  </w:num>
  <w:num w:numId="6">
    <w:abstractNumId w:val="24"/>
  </w:num>
  <w:num w:numId="7">
    <w:abstractNumId w:val="10"/>
  </w:num>
  <w:num w:numId="8">
    <w:abstractNumId w:val="23"/>
  </w:num>
  <w:num w:numId="9">
    <w:abstractNumId w:val="15"/>
  </w:num>
  <w:num w:numId="10">
    <w:abstractNumId w:val="19"/>
  </w:num>
  <w:num w:numId="11">
    <w:abstractNumId w:val="16"/>
  </w:num>
  <w:num w:numId="12">
    <w:abstractNumId w:val="0"/>
  </w:num>
  <w:num w:numId="13">
    <w:abstractNumId w:val="12"/>
  </w:num>
  <w:num w:numId="14">
    <w:abstractNumId w:val="9"/>
  </w:num>
  <w:num w:numId="15">
    <w:abstractNumId w:val="8"/>
  </w:num>
  <w:num w:numId="16">
    <w:abstractNumId w:val="20"/>
  </w:num>
  <w:num w:numId="17">
    <w:abstractNumId w:val="2"/>
  </w:num>
  <w:num w:numId="18">
    <w:abstractNumId w:val="5"/>
  </w:num>
  <w:num w:numId="19">
    <w:abstractNumId w:val="21"/>
  </w:num>
  <w:num w:numId="20">
    <w:abstractNumId w:val="1"/>
  </w:num>
  <w:num w:numId="21">
    <w:abstractNumId w:val="4"/>
  </w:num>
  <w:num w:numId="22">
    <w:abstractNumId w:val="11"/>
  </w:num>
  <w:num w:numId="23">
    <w:abstractNumId w:val="17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F3"/>
    <w:rsid w:val="00001F19"/>
    <w:rsid w:val="0001343E"/>
    <w:rsid w:val="0001737A"/>
    <w:rsid w:val="00022BCC"/>
    <w:rsid w:val="0002329F"/>
    <w:rsid w:val="00024D15"/>
    <w:rsid w:val="0003114E"/>
    <w:rsid w:val="00041E5A"/>
    <w:rsid w:val="00042C41"/>
    <w:rsid w:val="0005223B"/>
    <w:rsid w:val="00053B98"/>
    <w:rsid w:val="00061A58"/>
    <w:rsid w:val="000728B6"/>
    <w:rsid w:val="00091526"/>
    <w:rsid w:val="00092538"/>
    <w:rsid w:val="00093173"/>
    <w:rsid w:val="000946C9"/>
    <w:rsid w:val="000A0086"/>
    <w:rsid w:val="000A06E5"/>
    <w:rsid w:val="000A1699"/>
    <w:rsid w:val="000A1F83"/>
    <w:rsid w:val="000A3F01"/>
    <w:rsid w:val="000A4442"/>
    <w:rsid w:val="000A667E"/>
    <w:rsid w:val="000A7CA5"/>
    <w:rsid w:val="000C42D0"/>
    <w:rsid w:val="000D4703"/>
    <w:rsid w:val="000D710E"/>
    <w:rsid w:val="000E026A"/>
    <w:rsid w:val="000F5DD2"/>
    <w:rsid w:val="00101696"/>
    <w:rsid w:val="00111A72"/>
    <w:rsid w:val="001122B4"/>
    <w:rsid w:val="001156A4"/>
    <w:rsid w:val="00125BCD"/>
    <w:rsid w:val="001415C3"/>
    <w:rsid w:val="00143AAE"/>
    <w:rsid w:val="00152E3C"/>
    <w:rsid w:val="0015676A"/>
    <w:rsid w:val="00160905"/>
    <w:rsid w:val="00165187"/>
    <w:rsid w:val="00166E40"/>
    <w:rsid w:val="00167618"/>
    <w:rsid w:val="00170A6E"/>
    <w:rsid w:val="00170F94"/>
    <w:rsid w:val="00173E9D"/>
    <w:rsid w:val="001806D1"/>
    <w:rsid w:val="00186BA4"/>
    <w:rsid w:val="0019183B"/>
    <w:rsid w:val="00193710"/>
    <w:rsid w:val="001938CF"/>
    <w:rsid w:val="001953F8"/>
    <w:rsid w:val="00195FB7"/>
    <w:rsid w:val="001A1B6D"/>
    <w:rsid w:val="001A7761"/>
    <w:rsid w:val="001B07E7"/>
    <w:rsid w:val="001E0A41"/>
    <w:rsid w:val="001E390F"/>
    <w:rsid w:val="001E72B0"/>
    <w:rsid w:val="001F1AAB"/>
    <w:rsid w:val="001F60E3"/>
    <w:rsid w:val="001F6FB9"/>
    <w:rsid w:val="00203CF9"/>
    <w:rsid w:val="002046F6"/>
    <w:rsid w:val="002061DB"/>
    <w:rsid w:val="00216F58"/>
    <w:rsid w:val="00232247"/>
    <w:rsid w:val="00237EBA"/>
    <w:rsid w:val="0024481D"/>
    <w:rsid w:val="002546FF"/>
    <w:rsid w:val="00257662"/>
    <w:rsid w:val="00266F4D"/>
    <w:rsid w:val="00271879"/>
    <w:rsid w:val="002730AA"/>
    <w:rsid w:val="00283E30"/>
    <w:rsid w:val="00292DC8"/>
    <w:rsid w:val="00293326"/>
    <w:rsid w:val="00293F7B"/>
    <w:rsid w:val="002A2C18"/>
    <w:rsid w:val="002A556C"/>
    <w:rsid w:val="002B13AB"/>
    <w:rsid w:val="002B1B01"/>
    <w:rsid w:val="002B2CF5"/>
    <w:rsid w:val="002B3A37"/>
    <w:rsid w:val="002C1B60"/>
    <w:rsid w:val="002C678F"/>
    <w:rsid w:val="002D2B69"/>
    <w:rsid w:val="002D75DF"/>
    <w:rsid w:val="002E329F"/>
    <w:rsid w:val="002E531E"/>
    <w:rsid w:val="002E5DF5"/>
    <w:rsid w:val="002F33B8"/>
    <w:rsid w:val="002F62E1"/>
    <w:rsid w:val="00315518"/>
    <w:rsid w:val="003168C7"/>
    <w:rsid w:val="0032485B"/>
    <w:rsid w:val="00330245"/>
    <w:rsid w:val="003309A0"/>
    <w:rsid w:val="0033129B"/>
    <w:rsid w:val="00332E9A"/>
    <w:rsid w:val="0034569B"/>
    <w:rsid w:val="003475D9"/>
    <w:rsid w:val="00353244"/>
    <w:rsid w:val="00356099"/>
    <w:rsid w:val="00356EF6"/>
    <w:rsid w:val="003669E7"/>
    <w:rsid w:val="00367F1A"/>
    <w:rsid w:val="003708BE"/>
    <w:rsid w:val="00371965"/>
    <w:rsid w:val="0037693D"/>
    <w:rsid w:val="00376C9A"/>
    <w:rsid w:val="003808FE"/>
    <w:rsid w:val="00384614"/>
    <w:rsid w:val="00390B14"/>
    <w:rsid w:val="00392178"/>
    <w:rsid w:val="003A0A55"/>
    <w:rsid w:val="003A0DDF"/>
    <w:rsid w:val="003A21AF"/>
    <w:rsid w:val="003B6C25"/>
    <w:rsid w:val="003B7FA2"/>
    <w:rsid w:val="003C002B"/>
    <w:rsid w:val="003C149B"/>
    <w:rsid w:val="003C3FC8"/>
    <w:rsid w:val="003D4150"/>
    <w:rsid w:val="003D49BF"/>
    <w:rsid w:val="003D6091"/>
    <w:rsid w:val="003E546B"/>
    <w:rsid w:val="003E54FF"/>
    <w:rsid w:val="003F06EF"/>
    <w:rsid w:val="003F0A7B"/>
    <w:rsid w:val="004007F7"/>
    <w:rsid w:val="0040120E"/>
    <w:rsid w:val="00405884"/>
    <w:rsid w:val="00407463"/>
    <w:rsid w:val="00407D6F"/>
    <w:rsid w:val="004113EA"/>
    <w:rsid w:val="004114E4"/>
    <w:rsid w:val="00411722"/>
    <w:rsid w:val="00420635"/>
    <w:rsid w:val="00422C3C"/>
    <w:rsid w:val="00425D2F"/>
    <w:rsid w:val="004343F0"/>
    <w:rsid w:val="00442805"/>
    <w:rsid w:val="00447163"/>
    <w:rsid w:val="004522E0"/>
    <w:rsid w:val="004728F4"/>
    <w:rsid w:val="00476EAB"/>
    <w:rsid w:val="0048042F"/>
    <w:rsid w:val="00481099"/>
    <w:rsid w:val="00482B0D"/>
    <w:rsid w:val="004859CF"/>
    <w:rsid w:val="00497B7A"/>
    <w:rsid w:val="004A3741"/>
    <w:rsid w:val="004A3D98"/>
    <w:rsid w:val="004B1819"/>
    <w:rsid w:val="004B4BDE"/>
    <w:rsid w:val="004C6BC0"/>
    <w:rsid w:val="004D356B"/>
    <w:rsid w:val="004D5A97"/>
    <w:rsid w:val="004D7E29"/>
    <w:rsid w:val="004E1BC1"/>
    <w:rsid w:val="004E7FAF"/>
    <w:rsid w:val="00500566"/>
    <w:rsid w:val="00522F92"/>
    <w:rsid w:val="0054308D"/>
    <w:rsid w:val="00546C9B"/>
    <w:rsid w:val="00551F00"/>
    <w:rsid w:val="0055376A"/>
    <w:rsid w:val="005545FA"/>
    <w:rsid w:val="00561423"/>
    <w:rsid w:val="00567E6D"/>
    <w:rsid w:val="00572678"/>
    <w:rsid w:val="00584DAF"/>
    <w:rsid w:val="0059104B"/>
    <w:rsid w:val="005A7BB4"/>
    <w:rsid w:val="005B48AE"/>
    <w:rsid w:val="005C225D"/>
    <w:rsid w:val="005C25C7"/>
    <w:rsid w:val="005C5587"/>
    <w:rsid w:val="005C73E0"/>
    <w:rsid w:val="005C764E"/>
    <w:rsid w:val="005D0A29"/>
    <w:rsid w:val="005D1FA3"/>
    <w:rsid w:val="005E3A76"/>
    <w:rsid w:val="005F4EDF"/>
    <w:rsid w:val="005F7141"/>
    <w:rsid w:val="005F767E"/>
    <w:rsid w:val="00613BA4"/>
    <w:rsid w:val="00615707"/>
    <w:rsid w:val="006172C8"/>
    <w:rsid w:val="00622113"/>
    <w:rsid w:val="006249F8"/>
    <w:rsid w:val="0062679D"/>
    <w:rsid w:val="00627106"/>
    <w:rsid w:val="00627A96"/>
    <w:rsid w:val="006322AC"/>
    <w:rsid w:val="00632313"/>
    <w:rsid w:val="00634A77"/>
    <w:rsid w:val="006477FA"/>
    <w:rsid w:val="00651C52"/>
    <w:rsid w:val="00670A0C"/>
    <w:rsid w:val="0067273A"/>
    <w:rsid w:val="006729FF"/>
    <w:rsid w:val="0068049D"/>
    <w:rsid w:val="00681264"/>
    <w:rsid w:val="006A06F0"/>
    <w:rsid w:val="006A1518"/>
    <w:rsid w:val="006A7EE0"/>
    <w:rsid w:val="006C1A5C"/>
    <w:rsid w:val="006D40DA"/>
    <w:rsid w:val="006E00AA"/>
    <w:rsid w:val="006E620A"/>
    <w:rsid w:val="006F2675"/>
    <w:rsid w:val="00701362"/>
    <w:rsid w:val="00707BDA"/>
    <w:rsid w:val="00710C6E"/>
    <w:rsid w:val="00712CB1"/>
    <w:rsid w:val="007133BC"/>
    <w:rsid w:val="007142DA"/>
    <w:rsid w:val="00726ECC"/>
    <w:rsid w:val="00741823"/>
    <w:rsid w:val="0074261C"/>
    <w:rsid w:val="00745B19"/>
    <w:rsid w:val="00746E41"/>
    <w:rsid w:val="00750A55"/>
    <w:rsid w:val="00752104"/>
    <w:rsid w:val="00754502"/>
    <w:rsid w:val="007601C2"/>
    <w:rsid w:val="0077098D"/>
    <w:rsid w:val="00782545"/>
    <w:rsid w:val="0079378D"/>
    <w:rsid w:val="00797FAE"/>
    <w:rsid w:val="007A1706"/>
    <w:rsid w:val="007B0507"/>
    <w:rsid w:val="007B322D"/>
    <w:rsid w:val="007B6422"/>
    <w:rsid w:val="007C4B8D"/>
    <w:rsid w:val="007C4D8A"/>
    <w:rsid w:val="007C504A"/>
    <w:rsid w:val="007C6931"/>
    <w:rsid w:val="007E013B"/>
    <w:rsid w:val="007E2631"/>
    <w:rsid w:val="007F083B"/>
    <w:rsid w:val="007F75A5"/>
    <w:rsid w:val="00802160"/>
    <w:rsid w:val="008022E3"/>
    <w:rsid w:val="00806284"/>
    <w:rsid w:val="00806E12"/>
    <w:rsid w:val="00814113"/>
    <w:rsid w:val="008167BD"/>
    <w:rsid w:val="00823BCA"/>
    <w:rsid w:val="00827045"/>
    <w:rsid w:val="0083572A"/>
    <w:rsid w:val="00842645"/>
    <w:rsid w:val="00866651"/>
    <w:rsid w:val="00867EC7"/>
    <w:rsid w:val="00872D12"/>
    <w:rsid w:val="008748AB"/>
    <w:rsid w:val="00881E1C"/>
    <w:rsid w:val="008865DA"/>
    <w:rsid w:val="00891E15"/>
    <w:rsid w:val="008B3CF3"/>
    <w:rsid w:val="008C166F"/>
    <w:rsid w:val="008D36F3"/>
    <w:rsid w:val="008D3ED1"/>
    <w:rsid w:val="008E1C72"/>
    <w:rsid w:val="008E20CB"/>
    <w:rsid w:val="008E5651"/>
    <w:rsid w:val="008E75CF"/>
    <w:rsid w:val="008F1F45"/>
    <w:rsid w:val="008F3DC6"/>
    <w:rsid w:val="008F4E3A"/>
    <w:rsid w:val="008F5F86"/>
    <w:rsid w:val="0090696B"/>
    <w:rsid w:val="00906DA6"/>
    <w:rsid w:val="00911CEE"/>
    <w:rsid w:val="009151E1"/>
    <w:rsid w:val="00925741"/>
    <w:rsid w:val="00926463"/>
    <w:rsid w:val="0094311A"/>
    <w:rsid w:val="00957C89"/>
    <w:rsid w:val="00960177"/>
    <w:rsid w:val="009625A9"/>
    <w:rsid w:val="009700A4"/>
    <w:rsid w:val="00972470"/>
    <w:rsid w:val="00975886"/>
    <w:rsid w:val="009A3840"/>
    <w:rsid w:val="009A75D8"/>
    <w:rsid w:val="009A7600"/>
    <w:rsid w:val="009B0D6F"/>
    <w:rsid w:val="009B5084"/>
    <w:rsid w:val="009C375F"/>
    <w:rsid w:val="009D30E1"/>
    <w:rsid w:val="009E1A0A"/>
    <w:rsid w:val="009F4A58"/>
    <w:rsid w:val="009F6E71"/>
    <w:rsid w:val="00A00374"/>
    <w:rsid w:val="00A020A0"/>
    <w:rsid w:val="00A11D07"/>
    <w:rsid w:val="00A11D64"/>
    <w:rsid w:val="00A13703"/>
    <w:rsid w:val="00A2220D"/>
    <w:rsid w:val="00A23A6F"/>
    <w:rsid w:val="00A32B8A"/>
    <w:rsid w:val="00A33B8E"/>
    <w:rsid w:val="00A3736F"/>
    <w:rsid w:val="00A57E35"/>
    <w:rsid w:val="00A845D0"/>
    <w:rsid w:val="00A91890"/>
    <w:rsid w:val="00A936CC"/>
    <w:rsid w:val="00AB3A19"/>
    <w:rsid w:val="00AB6D65"/>
    <w:rsid w:val="00AC31D5"/>
    <w:rsid w:val="00AD18AB"/>
    <w:rsid w:val="00AD4658"/>
    <w:rsid w:val="00AE36F3"/>
    <w:rsid w:val="00AE53E0"/>
    <w:rsid w:val="00AE5FEB"/>
    <w:rsid w:val="00B05644"/>
    <w:rsid w:val="00B15E58"/>
    <w:rsid w:val="00B24D48"/>
    <w:rsid w:val="00B31B65"/>
    <w:rsid w:val="00B33FEF"/>
    <w:rsid w:val="00B41CAA"/>
    <w:rsid w:val="00B4227F"/>
    <w:rsid w:val="00B42CC3"/>
    <w:rsid w:val="00B468ED"/>
    <w:rsid w:val="00B51972"/>
    <w:rsid w:val="00B53ECE"/>
    <w:rsid w:val="00B56F79"/>
    <w:rsid w:val="00B6428A"/>
    <w:rsid w:val="00B64EDD"/>
    <w:rsid w:val="00B70DDA"/>
    <w:rsid w:val="00B85D7F"/>
    <w:rsid w:val="00B91799"/>
    <w:rsid w:val="00B92508"/>
    <w:rsid w:val="00B97C79"/>
    <w:rsid w:val="00BC15B9"/>
    <w:rsid w:val="00BC1B31"/>
    <w:rsid w:val="00BC6FC1"/>
    <w:rsid w:val="00BC7079"/>
    <w:rsid w:val="00BD36C3"/>
    <w:rsid w:val="00BD4812"/>
    <w:rsid w:val="00BE238E"/>
    <w:rsid w:val="00BF1FED"/>
    <w:rsid w:val="00BF7843"/>
    <w:rsid w:val="00C01EED"/>
    <w:rsid w:val="00C02729"/>
    <w:rsid w:val="00C063B5"/>
    <w:rsid w:val="00C163F4"/>
    <w:rsid w:val="00C176FB"/>
    <w:rsid w:val="00C22C8A"/>
    <w:rsid w:val="00C2699F"/>
    <w:rsid w:val="00C26B20"/>
    <w:rsid w:val="00C2707B"/>
    <w:rsid w:val="00C27B52"/>
    <w:rsid w:val="00C27EA1"/>
    <w:rsid w:val="00C34AF9"/>
    <w:rsid w:val="00C37179"/>
    <w:rsid w:val="00C37BD6"/>
    <w:rsid w:val="00C42D15"/>
    <w:rsid w:val="00C454C3"/>
    <w:rsid w:val="00C478AE"/>
    <w:rsid w:val="00C5561F"/>
    <w:rsid w:val="00C56794"/>
    <w:rsid w:val="00C63140"/>
    <w:rsid w:val="00C707A7"/>
    <w:rsid w:val="00C84052"/>
    <w:rsid w:val="00C8539B"/>
    <w:rsid w:val="00C85BDF"/>
    <w:rsid w:val="00C87036"/>
    <w:rsid w:val="00CA09BE"/>
    <w:rsid w:val="00CB4877"/>
    <w:rsid w:val="00CB4CB0"/>
    <w:rsid w:val="00CB4EC8"/>
    <w:rsid w:val="00CC1D1D"/>
    <w:rsid w:val="00CC49D9"/>
    <w:rsid w:val="00CD089B"/>
    <w:rsid w:val="00CE0EBC"/>
    <w:rsid w:val="00CE19CD"/>
    <w:rsid w:val="00CE23AC"/>
    <w:rsid w:val="00CE2B35"/>
    <w:rsid w:val="00CE2BE3"/>
    <w:rsid w:val="00CE36AE"/>
    <w:rsid w:val="00CE42F0"/>
    <w:rsid w:val="00CE45A6"/>
    <w:rsid w:val="00CE6997"/>
    <w:rsid w:val="00CF04B9"/>
    <w:rsid w:val="00CF4B46"/>
    <w:rsid w:val="00CF4FD8"/>
    <w:rsid w:val="00CF69D1"/>
    <w:rsid w:val="00D027BD"/>
    <w:rsid w:val="00D03A66"/>
    <w:rsid w:val="00D05C2E"/>
    <w:rsid w:val="00D06DD4"/>
    <w:rsid w:val="00D122B1"/>
    <w:rsid w:val="00D12968"/>
    <w:rsid w:val="00D13633"/>
    <w:rsid w:val="00D14D96"/>
    <w:rsid w:val="00D16CBC"/>
    <w:rsid w:val="00D30A92"/>
    <w:rsid w:val="00D421C3"/>
    <w:rsid w:val="00D43CEE"/>
    <w:rsid w:val="00D5134A"/>
    <w:rsid w:val="00D51E64"/>
    <w:rsid w:val="00D56E92"/>
    <w:rsid w:val="00D57A4B"/>
    <w:rsid w:val="00D62CF0"/>
    <w:rsid w:val="00D63202"/>
    <w:rsid w:val="00D844A6"/>
    <w:rsid w:val="00D85BE5"/>
    <w:rsid w:val="00D919D4"/>
    <w:rsid w:val="00D92D2B"/>
    <w:rsid w:val="00D94445"/>
    <w:rsid w:val="00D94E37"/>
    <w:rsid w:val="00D95DE5"/>
    <w:rsid w:val="00DA5FAD"/>
    <w:rsid w:val="00DB73EA"/>
    <w:rsid w:val="00DB7AF1"/>
    <w:rsid w:val="00DC05F3"/>
    <w:rsid w:val="00DC3E2C"/>
    <w:rsid w:val="00DD51FD"/>
    <w:rsid w:val="00DE0A1B"/>
    <w:rsid w:val="00DE4B47"/>
    <w:rsid w:val="00DE6574"/>
    <w:rsid w:val="00DF1BDC"/>
    <w:rsid w:val="00DF58E6"/>
    <w:rsid w:val="00E01F28"/>
    <w:rsid w:val="00E031C9"/>
    <w:rsid w:val="00E0420F"/>
    <w:rsid w:val="00E07B62"/>
    <w:rsid w:val="00E25930"/>
    <w:rsid w:val="00E27DBA"/>
    <w:rsid w:val="00E418ED"/>
    <w:rsid w:val="00E506B4"/>
    <w:rsid w:val="00E64B47"/>
    <w:rsid w:val="00E67705"/>
    <w:rsid w:val="00E726F5"/>
    <w:rsid w:val="00E73C8B"/>
    <w:rsid w:val="00E74F4B"/>
    <w:rsid w:val="00E74F54"/>
    <w:rsid w:val="00E8027C"/>
    <w:rsid w:val="00E813EF"/>
    <w:rsid w:val="00E905C9"/>
    <w:rsid w:val="00E94624"/>
    <w:rsid w:val="00E96EFC"/>
    <w:rsid w:val="00EA478E"/>
    <w:rsid w:val="00EA63CA"/>
    <w:rsid w:val="00EA6835"/>
    <w:rsid w:val="00EB2A24"/>
    <w:rsid w:val="00EC03EE"/>
    <w:rsid w:val="00EC57F0"/>
    <w:rsid w:val="00ED0527"/>
    <w:rsid w:val="00ED4A1A"/>
    <w:rsid w:val="00ED619D"/>
    <w:rsid w:val="00EE4E7F"/>
    <w:rsid w:val="00EF12B9"/>
    <w:rsid w:val="00EF29EC"/>
    <w:rsid w:val="00EF61F9"/>
    <w:rsid w:val="00F01688"/>
    <w:rsid w:val="00F07A0C"/>
    <w:rsid w:val="00F12093"/>
    <w:rsid w:val="00F12613"/>
    <w:rsid w:val="00F13683"/>
    <w:rsid w:val="00F20841"/>
    <w:rsid w:val="00F246C2"/>
    <w:rsid w:val="00F33F04"/>
    <w:rsid w:val="00F45FE7"/>
    <w:rsid w:val="00F55BBE"/>
    <w:rsid w:val="00F601E4"/>
    <w:rsid w:val="00F60929"/>
    <w:rsid w:val="00F655BB"/>
    <w:rsid w:val="00F67080"/>
    <w:rsid w:val="00F679D3"/>
    <w:rsid w:val="00F71432"/>
    <w:rsid w:val="00F7529D"/>
    <w:rsid w:val="00F80028"/>
    <w:rsid w:val="00F85CA5"/>
    <w:rsid w:val="00F935C8"/>
    <w:rsid w:val="00FA1665"/>
    <w:rsid w:val="00FA5475"/>
    <w:rsid w:val="00FA65C3"/>
    <w:rsid w:val="00FC5137"/>
    <w:rsid w:val="00FC5E91"/>
    <w:rsid w:val="00FC7BC3"/>
    <w:rsid w:val="00FD1665"/>
    <w:rsid w:val="00FF0150"/>
    <w:rsid w:val="00FF4351"/>
    <w:rsid w:val="00FF6F42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96F4"/>
  <w15:docId w15:val="{F6678008-92B5-4F75-BFC0-88867039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D36F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D36F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D36F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8D36F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36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23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23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23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23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3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311A"/>
  </w:style>
  <w:style w:type="character" w:customStyle="1" w:styleId="TextkomenteChar">
    <w:name w:val="Text komentáře Char"/>
    <w:basedOn w:val="Standardnpsmoodstavce"/>
    <w:link w:val="Textkomente"/>
    <w:uiPriority w:val="99"/>
    <w:rsid w:val="009431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1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11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376C9A"/>
  </w:style>
  <w:style w:type="table" w:styleId="Mkatabulky">
    <w:name w:val="Table Grid"/>
    <w:basedOn w:val="Normlntabulka"/>
    <w:rsid w:val="0037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376C9A"/>
    <w:rPr>
      <w:rFonts w:ascii="Courier New" w:hAnsi="Courier New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46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46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pvpreambule-slovn">
    <w:name w:val="bpv preambule - číslování"/>
    <w:basedOn w:val="Normln"/>
    <w:qFormat/>
    <w:rsid w:val="000C42D0"/>
    <w:pPr>
      <w:widowControl w:val="0"/>
      <w:numPr>
        <w:numId w:val="10"/>
      </w:numPr>
      <w:spacing w:before="240" w:after="240" w:line="320" w:lineRule="atLeast"/>
      <w:jc w:val="both"/>
    </w:pPr>
    <w:rPr>
      <w:rFonts w:ascii="Arial" w:hAnsi="Arial" w:cs="Arial"/>
      <w:bCs/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273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529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529D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D51E64"/>
  </w:style>
  <w:style w:type="character" w:styleId="Nevyeenzmnka">
    <w:name w:val="Unresolved Mention"/>
    <w:basedOn w:val="Standardnpsmoodstavce"/>
    <w:uiPriority w:val="99"/>
    <w:semiHidden/>
    <w:unhideWhenUsed/>
    <w:rsid w:val="00356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93800B69B1B4694D4FE5FD22FA179" ma:contentTypeVersion="16" ma:contentTypeDescription="Vytvoří nový dokument" ma:contentTypeScope="" ma:versionID="5b86be6135a2712aa4470ae1355f10fc">
  <xsd:schema xmlns:xsd="http://www.w3.org/2001/XMLSchema" xmlns:xs="http://www.w3.org/2001/XMLSchema" xmlns:p="http://schemas.microsoft.com/office/2006/metadata/properties" xmlns:ns2="bb0929fb-f691-4ad6-98da-6b3f6f424404" xmlns:ns3="fcbbae3d-b086-464e-a404-dc8ac5855e46" targetNamespace="http://schemas.microsoft.com/office/2006/metadata/properties" ma:root="true" ma:fieldsID="3ef79a064e0ec703b61242b3e4362c54" ns2:_="" ns3:_="">
    <xsd:import namespace="bb0929fb-f691-4ad6-98da-6b3f6f424404"/>
    <xsd:import namespace="fcbbae3d-b086-464e-a404-dc8ac5855e46"/>
    <xsd:element name="properties">
      <xsd:complexType>
        <xsd:sequence>
          <xsd:element name="documentManagement">
            <xsd:complexType>
              <xsd:all>
                <xsd:element ref="ns2:d7289a65173e4433a407108b77e74ee8" minOccurs="0"/>
                <xsd:element ref="ns2:TaxCatchAll" minOccurs="0"/>
                <xsd:element ref="ns2:kce00047b5954e96a32cd4756c59f4c2" minOccurs="0"/>
                <xsd:element ref="ns2:mybi_WebSiteOwne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929fb-f691-4ad6-98da-6b3f6f424404" elementFormDefault="qualified">
    <xsd:import namespace="http://schemas.microsoft.com/office/2006/documentManagement/types"/>
    <xsd:import namespace="http://schemas.microsoft.com/office/infopath/2007/PartnerControls"/>
    <xsd:element name="d7289a65173e4433a407108b77e74ee8" ma:index="9" ma:taxonomy="true" ma:internalName="d7289a65173e4433a407108b77e74ee8" ma:taxonomyFieldName="mybi_Location" ma:displayName="MyBI Location" ma:fieldId="{d7289a65-173e-4433-a407-108b77e74ee8}" ma:taxonomyMulti="true" ma:sspId="798f3110-b2b7-48bc-b5f0-a137367be0c9" ma:termSetId="593b68cc-9638-469a-bb62-1abf17d792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c7f14ef-9050-4c1a-97da-25aca17207ef}" ma:internalName="TaxCatchAll" ma:showField="CatchAllData" ma:web="bb0929fb-f691-4ad6-98da-6b3f6f424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e00047b5954e96a32cd4756c59f4c2" ma:index="12" nillable="true" ma:taxonomy="true" ma:internalName="kce00047b5954e96a32cd4756c59f4c2" ma:taxonomyFieldName="mybi_Topic" ma:displayName="MyBI Topic" ma:fieldId="{4ce00047-b595-4e96-a32c-d4756c59f4c2}" ma:taxonomyMulti="true" ma:sspId="798f3110-b2b7-48bc-b5f0-a137367be0c9" ma:termSetId="97d1ca9b-6608-4533-b22d-bdd96bae03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ybi_WebSiteOwner" ma:index="13" ma:displayName="MyBI Content Owner" ma:description="Person responsible for owning the content. This is usually not the same as the editor." ma:internalName="mybi_WebSite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ae3d-b086-464e-a404-dc8ac585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ybi_WebSiteOwner xmlns="bb0929fb-f691-4ad6-98da-6b3f6f424404">
      <UserInfo>
        <DisplayName/>
        <AccountId/>
        <AccountType/>
      </UserInfo>
    </mybi_WebSiteOwner>
    <TaxCatchAll xmlns="bb0929fb-f691-4ad6-98da-6b3f6f424404" xsi:nil="true"/>
    <d7289a65173e4433a407108b77e74ee8 xmlns="bb0929fb-f691-4ad6-98da-6b3f6f424404">
      <Terms xmlns="http://schemas.microsoft.com/office/infopath/2007/PartnerControls"/>
    </d7289a65173e4433a407108b77e74ee8>
    <kce00047b5954e96a32cd4756c59f4c2 xmlns="bb0929fb-f691-4ad6-98da-6b3f6f424404">
      <Terms xmlns="http://schemas.microsoft.com/office/infopath/2007/PartnerControls"/>
    </kce00047b5954e96a32cd4756c59f4c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0E59C-18AA-4F07-AD7A-F90461F93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929fb-f691-4ad6-98da-6b3f6f424404"/>
    <ds:schemaRef ds:uri="fcbbae3d-b086-464e-a404-dc8ac585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957EC-4AFC-46A6-A94D-72044773A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447B4-0093-440B-AD8F-F9DAB5121368}">
  <ds:schemaRefs>
    <ds:schemaRef ds:uri="http://schemas.microsoft.com/office/2006/metadata/properties"/>
    <ds:schemaRef ds:uri="http://schemas.microsoft.com/office/infopath/2007/PartnerControls"/>
    <ds:schemaRef ds:uri="bb0929fb-f691-4ad6-98da-6b3f6f424404"/>
  </ds:schemaRefs>
</ds:datastoreItem>
</file>

<file path=customXml/itemProps4.xml><?xml version="1.0" encoding="utf-8"?>
<ds:datastoreItem xmlns:ds="http://schemas.openxmlformats.org/officeDocument/2006/customXml" ds:itemID="{2EE3793E-B71F-43B4-8AD2-FCB2B0C98A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1626</Words>
  <Characters>9595</Characters>
  <Application>Microsoft Office Word</Application>
  <DocSecurity>0</DocSecurity>
  <Lines>79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Boehringer Ingelheim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d&amp;c</dc:creator>
  <cp:lastModifiedBy>Prihoda Filip</cp:lastModifiedBy>
  <cp:revision>7</cp:revision>
  <cp:lastPrinted>2025-03-10T18:44:00Z</cp:lastPrinted>
  <dcterms:created xsi:type="dcterms:W3CDTF">2025-06-20T15:30:00Z</dcterms:created>
  <dcterms:modified xsi:type="dcterms:W3CDTF">2025-06-23T08:49:00Z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0x010100AAF93800B69B1B4694D4FE5FD22FA179</vt:lpwstr>
  </property>
</Properties>
</file>