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635F" w14:textId="48F0C974" w:rsidR="00612D4D" w:rsidRPr="002208A1" w:rsidRDefault="00182488" w:rsidP="00AF2333">
      <w:pPr>
        <w:jc w:val="center"/>
        <w:rPr>
          <w:b/>
          <w:sz w:val="44"/>
          <w:szCs w:val="44"/>
        </w:rPr>
      </w:pPr>
      <w:r>
        <w:rPr>
          <w:b/>
          <w:sz w:val="44"/>
          <w:szCs w:val="44"/>
        </w:rPr>
        <w:t>S</w:t>
      </w:r>
      <w:r w:rsidR="00612D4D" w:rsidRPr="002208A1">
        <w:rPr>
          <w:b/>
          <w:sz w:val="44"/>
          <w:szCs w:val="44"/>
        </w:rPr>
        <w:t xml:space="preserve">MLOUVA O DÍLO </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64E37EB9" w:rsidR="00612D4D" w:rsidRPr="00CA5847" w:rsidRDefault="00CA5847" w:rsidP="004C6515">
            <w:pPr>
              <w:rPr>
                <w:b/>
                <w:sz w:val="22"/>
                <w:szCs w:val="22"/>
              </w:rPr>
            </w:pPr>
            <w:r w:rsidRPr="00CA5847">
              <w:rPr>
                <w:b/>
                <w:sz w:val="22"/>
                <w:szCs w:val="22"/>
              </w:rPr>
              <w:t>Střední odborná škola a Střední odborné učiliště, Sušice, U Kapličky761</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1076431D" w:rsidR="00612D4D" w:rsidRPr="009527D3" w:rsidRDefault="00CA5847" w:rsidP="004C6515">
            <w:pPr>
              <w:rPr>
                <w:sz w:val="22"/>
                <w:szCs w:val="22"/>
              </w:rPr>
            </w:pPr>
            <w:r w:rsidRPr="00CA5847">
              <w:rPr>
                <w:sz w:val="22"/>
                <w:szCs w:val="22"/>
              </w:rPr>
              <w:t>U Kapličky 761, Sušice, 342 01</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3E09C3CA" w:rsidR="00612D4D" w:rsidRPr="009527D3" w:rsidRDefault="00CA5847" w:rsidP="004C6515">
            <w:pPr>
              <w:rPr>
                <w:sz w:val="22"/>
                <w:szCs w:val="22"/>
              </w:rPr>
            </w:pPr>
            <w:r w:rsidRPr="00CA5847">
              <w:rPr>
                <w:sz w:val="22"/>
                <w:szCs w:val="22"/>
              </w:rPr>
              <w:t>00077615</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5FF05B7D" w:rsidR="00612D4D" w:rsidRPr="009527D3" w:rsidRDefault="002632AD" w:rsidP="004C6515">
            <w:pPr>
              <w:rPr>
                <w:sz w:val="22"/>
                <w:szCs w:val="22"/>
              </w:rPr>
            </w:pPr>
            <w:r w:rsidRPr="002632AD">
              <w:rPr>
                <w:sz w:val="22"/>
                <w:szCs w:val="22"/>
              </w:rPr>
              <w:t>CZ00077615</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20B1FD66" w:rsidR="00612D4D" w:rsidRPr="009527D3" w:rsidRDefault="00CA5847" w:rsidP="004C6515">
            <w:pPr>
              <w:rPr>
                <w:sz w:val="22"/>
                <w:szCs w:val="22"/>
              </w:rPr>
            </w:pPr>
            <w:r w:rsidRPr="00CA5847">
              <w:rPr>
                <w:sz w:val="22"/>
                <w:szCs w:val="22"/>
              </w:rPr>
              <w:t>Ing. Jaromír Kolář - ředitel</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2351691D" w:rsidR="00612D4D" w:rsidRPr="009527D3" w:rsidRDefault="00612D4D" w:rsidP="004C6515">
            <w:pPr>
              <w:rPr>
                <w:sz w:val="22"/>
                <w:szCs w:val="22"/>
              </w:rPr>
            </w:pP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586D5150" w:rsidR="00612D4D" w:rsidRPr="009527D3" w:rsidRDefault="009D0A04" w:rsidP="006D083E">
            <w:pPr>
              <w:rPr>
                <w:sz w:val="22"/>
                <w:szCs w:val="22"/>
              </w:rPr>
            </w:pPr>
            <w:r>
              <w:rPr>
                <w:sz w:val="22"/>
                <w:szCs w:val="22"/>
              </w:rPr>
              <w:t>„SUŠICKÁ STAVEBNÍ,</w:t>
            </w:r>
            <w:r w:rsidR="00933466">
              <w:rPr>
                <w:sz w:val="22"/>
                <w:szCs w:val="22"/>
              </w:rPr>
              <w:t xml:space="preserve"> </w:t>
            </w:r>
            <w:r>
              <w:rPr>
                <w:sz w:val="22"/>
                <w:szCs w:val="22"/>
              </w:rPr>
              <w:t>s.r.o.“</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0A229DE8" w:rsidR="00612D4D" w:rsidRPr="009527D3" w:rsidRDefault="00A7195D" w:rsidP="004C6515">
            <w:pPr>
              <w:rPr>
                <w:sz w:val="22"/>
                <w:szCs w:val="22"/>
              </w:rPr>
            </w:pPr>
            <w:r>
              <w:rPr>
                <w:sz w:val="22"/>
                <w:szCs w:val="22"/>
              </w:rPr>
              <w:t>K. Čapka 87</w:t>
            </w:r>
            <w:r w:rsidR="00A800CE">
              <w:rPr>
                <w:sz w:val="22"/>
                <w:szCs w:val="22"/>
              </w:rPr>
              <w:t>3</w:t>
            </w:r>
            <w:r w:rsidR="009D0A04">
              <w:rPr>
                <w:sz w:val="22"/>
                <w:szCs w:val="22"/>
              </w:rPr>
              <w:t>, Sušice, 342 01,</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1FF2F17" w:rsidR="00612D4D" w:rsidRPr="009527D3" w:rsidRDefault="009D0A04" w:rsidP="004C6515">
            <w:pPr>
              <w:rPr>
                <w:sz w:val="22"/>
                <w:szCs w:val="22"/>
              </w:rPr>
            </w:pPr>
            <w:r>
              <w:rPr>
                <w:sz w:val="22"/>
                <w:szCs w:val="22"/>
              </w:rPr>
              <w:t>00872938</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6072A991" w:rsidR="00612D4D" w:rsidRPr="009527D3" w:rsidRDefault="009D0A04" w:rsidP="004C6515">
            <w:pPr>
              <w:rPr>
                <w:sz w:val="22"/>
                <w:szCs w:val="22"/>
              </w:rPr>
            </w:pPr>
            <w:r>
              <w:rPr>
                <w:sz w:val="22"/>
                <w:szCs w:val="22"/>
              </w:rPr>
              <w:t>CZ00872938</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74D552A9" w:rsidR="006D26AE" w:rsidRPr="009527D3" w:rsidRDefault="009D0A04" w:rsidP="000B6844">
            <w:pPr>
              <w:rPr>
                <w:sz w:val="22"/>
                <w:szCs w:val="22"/>
              </w:rPr>
            </w:pPr>
            <w:r>
              <w:rPr>
                <w:sz w:val="22"/>
                <w:szCs w:val="22"/>
              </w:rPr>
              <w:t xml:space="preserve">Spisová značka: 4945   </w:t>
            </w:r>
            <w:r w:rsidR="006D26AE" w:rsidRPr="009527D3">
              <w:rPr>
                <w:sz w:val="22"/>
                <w:szCs w:val="22"/>
              </w:rPr>
              <w:t xml:space="preserve">uvedená u </w:t>
            </w:r>
            <w:r>
              <w:rPr>
                <w:sz w:val="22"/>
                <w:szCs w:val="22"/>
              </w:rPr>
              <w:t>KS Plzeň</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4E384917" w:rsidR="00612D4D" w:rsidRPr="009527D3" w:rsidRDefault="009D0A04" w:rsidP="004C6515">
            <w:pPr>
              <w:rPr>
                <w:sz w:val="22"/>
                <w:szCs w:val="22"/>
              </w:rPr>
            </w:pPr>
            <w:r>
              <w:rPr>
                <w:sz w:val="22"/>
                <w:szCs w:val="22"/>
              </w:rPr>
              <w:t>Petr Diviš - jednatel</w:t>
            </w: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26EB1355" w:rsidR="00612D4D" w:rsidRPr="009527D3" w:rsidRDefault="00612D4D" w:rsidP="007C611D">
            <w:pPr>
              <w:rPr>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79DC2BD8" w:rsidR="00612D4D" w:rsidRPr="009527D3" w:rsidRDefault="009D0A04" w:rsidP="004C6515">
            <w:pPr>
              <w:rPr>
                <w:sz w:val="22"/>
                <w:szCs w:val="22"/>
              </w:rPr>
            </w:pPr>
            <w:r>
              <w:rPr>
                <w:sz w:val="22"/>
                <w:szCs w:val="22"/>
              </w:rPr>
              <w:t xml:space="preserve">Petr Diviš </w:t>
            </w:r>
            <w:r w:rsidR="007C611D" w:rsidRPr="007C611D">
              <w:rPr>
                <w:sz w:val="22"/>
                <w:szCs w:val="22"/>
              </w:rPr>
              <w:t xml:space="preserve"> </w:t>
            </w:r>
            <w:r w:rsidR="00612D4D" w:rsidRPr="009527D3">
              <w:rPr>
                <w:sz w:val="22"/>
                <w:szCs w:val="22"/>
              </w:rPr>
              <w:t xml:space="preserve">– obor </w:t>
            </w:r>
            <w:r>
              <w:rPr>
                <w:sz w:val="22"/>
                <w:szCs w:val="22"/>
              </w:rPr>
              <w:t xml:space="preserve"> stavbyvedoucí</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DD59FB1" w14:textId="78572BC4"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sidR="00B67464">
          <w:rPr>
            <w:noProof/>
            <w:webHidden/>
          </w:rPr>
          <w:t>3</w:t>
        </w:r>
        <w:r>
          <w:rPr>
            <w:noProof/>
            <w:webHidden/>
          </w:rPr>
          <w:fldChar w:fldCharType="end"/>
        </w:r>
      </w:hyperlink>
    </w:p>
    <w:p w14:paraId="375C40BD" w14:textId="4C7CAF6C" w:rsidR="00862A35" w:rsidRDefault="008D6486">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sidR="00B67464">
          <w:rPr>
            <w:noProof/>
            <w:webHidden/>
          </w:rPr>
          <w:t>3</w:t>
        </w:r>
        <w:r w:rsidR="00862A35">
          <w:rPr>
            <w:noProof/>
            <w:webHidden/>
          </w:rPr>
          <w:fldChar w:fldCharType="end"/>
        </w:r>
      </w:hyperlink>
    </w:p>
    <w:p w14:paraId="692C5AD0" w14:textId="719FA456" w:rsidR="00862A35" w:rsidRDefault="008D6486">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sidR="00B67464">
          <w:rPr>
            <w:noProof/>
            <w:webHidden/>
          </w:rPr>
          <w:t>3</w:t>
        </w:r>
        <w:r w:rsidR="00862A35">
          <w:rPr>
            <w:noProof/>
            <w:webHidden/>
          </w:rPr>
          <w:fldChar w:fldCharType="end"/>
        </w:r>
      </w:hyperlink>
    </w:p>
    <w:p w14:paraId="65A4DAB1" w14:textId="38BA4CB6" w:rsidR="00862A35" w:rsidRDefault="008D6486">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sidR="00B67464">
          <w:rPr>
            <w:noProof/>
            <w:webHidden/>
          </w:rPr>
          <w:t>5</w:t>
        </w:r>
        <w:r w:rsidR="00862A35">
          <w:rPr>
            <w:noProof/>
            <w:webHidden/>
          </w:rPr>
          <w:fldChar w:fldCharType="end"/>
        </w:r>
      </w:hyperlink>
    </w:p>
    <w:p w14:paraId="00669F2E" w14:textId="360E142F" w:rsidR="00862A35" w:rsidRDefault="008D6486">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sidR="00B67464">
          <w:rPr>
            <w:noProof/>
            <w:webHidden/>
          </w:rPr>
          <w:t>5</w:t>
        </w:r>
        <w:r w:rsidR="00862A35">
          <w:rPr>
            <w:noProof/>
            <w:webHidden/>
          </w:rPr>
          <w:fldChar w:fldCharType="end"/>
        </w:r>
      </w:hyperlink>
    </w:p>
    <w:p w14:paraId="7BF56A3E" w14:textId="2794C4DD" w:rsidR="00862A35" w:rsidRDefault="008D6486">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sidR="00B67464">
          <w:rPr>
            <w:noProof/>
            <w:webHidden/>
          </w:rPr>
          <w:t>6</w:t>
        </w:r>
        <w:r w:rsidR="00862A35">
          <w:rPr>
            <w:noProof/>
            <w:webHidden/>
          </w:rPr>
          <w:fldChar w:fldCharType="end"/>
        </w:r>
      </w:hyperlink>
    </w:p>
    <w:p w14:paraId="10F9D81F" w14:textId="6D39F14B" w:rsidR="00862A35" w:rsidRDefault="008D6486">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sidR="00B67464">
          <w:rPr>
            <w:noProof/>
            <w:webHidden/>
          </w:rPr>
          <w:t>8</w:t>
        </w:r>
        <w:r w:rsidR="00862A35">
          <w:rPr>
            <w:noProof/>
            <w:webHidden/>
          </w:rPr>
          <w:fldChar w:fldCharType="end"/>
        </w:r>
      </w:hyperlink>
    </w:p>
    <w:p w14:paraId="5BE4C80B" w14:textId="6188706D" w:rsidR="00862A35" w:rsidRDefault="008D6486">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sidR="00B67464">
          <w:rPr>
            <w:noProof/>
            <w:webHidden/>
          </w:rPr>
          <w:t>9</w:t>
        </w:r>
        <w:r w:rsidR="00862A35">
          <w:rPr>
            <w:noProof/>
            <w:webHidden/>
          </w:rPr>
          <w:fldChar w:fldCharType="end"/>
        </w:r>
      </w:hyperlink>
    </w:p>
    <w:p w14:paraId="72DB4355" w14:textId="2AB22424" w:rsidR="00862A35" w:rsidRDefault="008D6486">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sidR="00B67464">
          <w:rPr>
            <w:noProof/>
            <w:webHidden/>
          </w:rPr>
          <w:t>10</w:t>
        </w:r>
        <w:r w:rsidR="00862A35">
          <w:rPr>
            <w:noProof/>
            <w:webHidden/>
          </w:rPr>
          <w:fldChar w:fldCharType="end"/>
        </w:r>
      </w:hyperlink>
    </w:p>
    <w:p w14:paraId="60B2FEF3" w14:textId="0CB33055" w:rsidR="00862A35" w:rsidRDefault="008D6486">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sidR="00B67464">
          <w:rPr>
            <w:noProof/>
            <w:webHidden/>
          </w:rPr>
          <w:t>10</w:t>
        </w:r>
        <w:r w:rsidR="00862A35">
          <w:rPr>
            <w:noProof/>
            <w:webHidden/>
          </w:rPr>
          <w:fldChar w:fldCharType="end"/>
        </w:r>
      </w:hyperlink>
    </w:p>
    <w:p w14:paraId="4DEB9FD8" w14:textId="4B8F0673" w:rsidR="00862A35" w:rsidRDefault="008D6486">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sidR="00B67464">
          <w:rPr>
            <w:noProof/>
            <w:webHidden/>
          </w:rPr>
          <w:t>12</w:t>
        </w:r>
        <w:r w:rsidR="00862A35">
          <w:rPr>
            <w:noProof/>
            <w:webHidden/>
          </w:rPr>
          <w:fldChar w:fldCharType="end"/>
        </w:r>
      </w:hyperlink>
    </w:p>
    <w:p w14:paraId="63600D10" w14:textId="4F37C999" w:rsidR="00862A35" w:rsidRDefault="008D6486">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sidR="00B67464">
          <w:rPr>
            <w:noProof/>
            <w:webHidden/>
          </w:rPr>
          <w:t>12</w:t>
        </w:r>
        <w:r w:rsidR="00862A35">
          <w:rPr>
            <w:noProof/>
            <w:webHidden/>
          </w:rPr>
          <w:fldChar w:fldCharType="end"/>
        </w:r>
      </w:hyperlink>
    </w:p>
    <w:p w14:paraId="76E218B8" w14:textId="210BAF12" w:rsidR="00862A35" w:rsidRDefault="008D6486">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sidR="00B67464">
          <w:rPr>
            <w:noProof/>
            <w:webHidden/>
          </w:rPr>
          <w:t>12</w:t>
        </w:r>
        <w:r w:rsidR="00862A35">
          <w:rPr>
            <w:noProof/>
            <w:webHidden/>
          </w:rPr>
          <w:fldChar w:fldCharType="end"/>
        </w:r>
      </w:hyperlink>
    </w:p>
    <w:p w14:paraId="5ADB38FD" w14:textId="5F001F67" w:rsidR="00862A35" w:rsidRDefault="008D6486">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sidR="00B67464">
          <w:rPr>
            <w:noProof/>
            <w:webHidden/>
          </w:rPr>
          <w:t>12</w:t>
        </w:r>
        <w:r w:rsidR="00862A35">
          <w:rPr>
            <w:noProof/>
            <w:webHidden/>
          </w:rPr>
          <w:fldChar w:fldCharType="end"/>
        </w:r>
      </w:hyperlink>
    </w:p>
    <w:p w14:paraId="27261C5A" w14:textId="7AD77BFA" w:rsidR="00862A35" w:rsidRDefault="008D6486">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sidR="00B67464">
          <w:rPr>
            <w:noProof/>
            <w:webHidden/>
          </w:rPr>
          <w:t>13</w:t>
        </w:r>
        <w:r w:rsidR="00862A35">
          <w:rPr>
            <w:noProof/>
            <w:webHidden/>
          </w:rPr>
          <w:fldChar w:fldCharType="end"/>
        </w:r>
      </w:hyperlink>
    </w:p>
    <w:p w14:paraId="7C1A6562" w14:textId="44A48D0A" w:rsidR="00862A35" w:rsidRDefault="008D6486">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sidR="00B67464">
          <w:rPr>
            <w:noProof/>
            <w:webHidden/>
          </w:rPr>
          <w:t>14</w:t>
        </w:r>
        <w:r w:rsidR="00862A35">
          <w:rPr>
            <w:noProof/>
            <w:webHidden/>
          </w:rPr>
          <w:fldChar w:fldCharType="end"/>
        </w:r>
      </w:hyperlink>
    </w:p>
    <w:p w14:paraId="1BB065C0" w14:textId="222DBC48" w:rsidR="00862A35" w:rsidRDefault="008D6486">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sidR="00B67464">
          <w:rPr>
            <w:noProof/>
            <w:webHidden/>
          </w:rPr>
          <w:t>15</w:t>
        </w:r>
        <w:r w:rsidR="00862A35">
          <w:rPr>
            <w:noProof/>
            <w:webHidden/>
          </w:rPr>
          <w:fldChar w:fldCharType="end"/>
        </w:r>
      </w:hyperlink>
    </w:p>
    <w:p w14:paraId="593C480C" w14:textId="4F853FC7" w:rsidR="00862A35" w:rsidRDefault="008D6486">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sidR="00B67464">
          <w:rPr>
            <w:noProof/>
            <w:webHidden/>
          </w:rPr>
          <w:t>16</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97796488"/>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4CA54B68" w:rsidR="00646856" w:rsidRDefault="00612D4D" w:rsidP="00CA5847">
      <w:pPr>
        <w:pStyle w:val="Nadpis2"/>
      </w:pPr>
      <w:r w:rsidRPr="004C6515">
        <w:t xml:space="preserve">Smlouva je uzavřena na základě </w:t>
      </w:r>
      <w:r w:rsidR="00E2266C">
        <w:t xml:space="preserve">výsledku </w:t>
      </w:r>
      <w:r w:rsidR="00933466">
        <w:t>poptávkového řízení</w:t>
      </w:r>
      <w:r w:rsidRPr="004C6515">
        <w:t xml:space="preserve"> </w:t>
      </w:r>
      <w:r w:rsidR="00CB03DE" w:rsidRPr="008D58B2">
        <w:rPr>
          <w:b/>
        </w:rPr>
        <w:t>S</w:t>
      </w:r>
      <w:r w:rsidR="00933466">
        <w:rPr>
          <w:b/>
        </w:rPr>
        <w:t>OŠ a SOU Sušice – rozšíření jídelny v 1. PP</w:t>
      </w:r>
      <w:r w:rsidR="00CA5847" w:rsidRPr="00DA6CD4">
        <w:rPr>
          <w:szCs w:val="22"/>
        </w:rPr>
        <w:t>.</w:t>
      </w:r>
      <w:r w:rsidR="00CA5847">
        <w:t xml:space="preserve"> </w:t>
      </w:r>
      <w:r w:rsidR="00454345">
        <w:t>Poptávkové</w:t>
      </w:r>
      <w:r w:rsidR="00E2266C">
        <w:t xml:space="preserve"> řízení bylo vyhlášeno</w:t>
      </w:r>
      <w:r w:rsidR="00E2266C" w:rsidRPr="004C6515">
        <w:t xml:space="preserve"> dne </w:t>
      </w:r>
      <w:r w:rsidR="00933466">
        <w:t>5</w:t>
      </w:r>
      <w:r w:rsidR="00CB03DE">
        <w:t xml:space="preserve">. </w:t>
      </w:r>
      <w:r w:rsidR="00933466">
        <w:t>6</w:t>
      </w:r>
      <w:r w:rsidR="00CB03DE">
        <w:t>. 2025</w:t>
      </w:r>
      <w:r w:rsidR="008D58B2">
        <w:t>.</w:t>
      </w:r>
      <w:r w:rsidR="00496E52" w:rsidRPr="004C6515">
        <w:t xml:space="preserve"> </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6B44EDD7" w:rsidR="00646856" w:rsidRDefault="00612D4D" w:rsidP="00AE5CB6">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8B1349">
        <w:t xml:space="preserve">a č. </w:t>
      </w:r>
      <w:r w:rsidR="001276F5">
        <w:t>1</w:t>
      </w:r>
      <w:r w:rsidR="000001CA">
        <w:t>3.</w:t>
      </w:r>
    </w:p>
    <w:p w14:paraId="015226A8" w14:textId="77777777" w:rsidR="00612D4D" w:rsidRPr="00310A5C" w:rsidRDefault="00612D4D" w:rsidP="00AE5CB6">
      <w:pPr>
        <w:pStyle w:val="Nadpis1"/>
      </w:pPr>
      <w:bookmarkStart w:id="1" w:name="_Toc97796489"/>
      <w:r w:rsidRPr="00310A5C">
        <w:t>PŘEDMĚT SMLOUVY</w:t>
      </w:r>
      <w:bookmarkEnd w:id="1"/>
    </w:p>
    <w:p w14:paraId="4187D7D4" w14:textId="43C4FC97"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stavebních prací podle článku </w:t>
      </w:r>
      <w:r w:rsidR="00DC52D5">
        <w:fldChar w:fldCharType="begin"/>
      </w:r>
      <w:r w:rsidR="00DC52D5">
        <w:instrText xml:space="preserve"> REF _Ref109742187 \r \h </w:instrText>
      </w:r>
      <w:r w:rsidR="00DC52D5">
        <w:fldChar w:fldCharType="separate"/>
      </w:r>
      <w:r w:rsidR="00B67464">
        <w:t>3.1</w:t>
      </w:r>
      <w:r w:rsidR="00DC52D5">
        <w:fldChar w:fldCharType="end"/>
      </w:r>
      <w:r w:rsidR="00DC52D5">
        <w:t>.</w:t>
      </w:r>
      <w:r w:rsidR="0093131B" w:rsidRPr="0093131B">
        <w:t xml:space="preserve"> této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2" w:name="_Ref97711350"/>
      <w:bookmarkStart w:id="3" w:name="_Toc97796490"/>
      <w:r w:rsidRPr="00AE5CB6">
        <w:t>ROZSAH PŘEDMĚTU PLNĚNÍ</w:t>
      </w:r>
      <w:bookmarkEnd w:id="2"/>
      <w:bookmarkEnd w:id="3"/>
    </w:p>
    <w:p w14:paraId="70D4A59C" w14:textId="580F2B82" w:rsidR="00DA6CD4" w:rsidRPr="0072536D" w:rsidRDefault="00612D4D" w:rsidP="00AE5CB6">
      <w:pPr>
        <w:pStyle w:val="Nadpis2"/>
      </w:pPr>
      <w:bookmarkStart w:id="4" w:name="_Ref109742187"/>
      <w:r w:rsidRPr="00132513">
        <w:t>Zhotovitel se uzavřen</w:t>
      </w:r>
      <w:r w:rsidR="005F1EA6" w:rsidRPr="00132513">
        <w:t>ím této S</w:t>
      </w:r>
      <w:r w:rsidRPr="00132513">
        <w:t xml:space="preserve">mlouvy zavazuje provést pro objednatele stavební </w:t>
      </w:r>
      <w:r w:rsidR="00933466" w:rsidRPr="00132513">
        <w:t>práce</w:t>
      </w:r>
      <w:r w:rsidR="00933466">
        <w:t xml:space="preserve"> – rozšíření výdejny a jídelny v 1. PP v budově školy Poštovní 9, v Sušici</w:t>
      </w:r>
      <w:r w:rsidR="00DA6CD4" w:rsidRPr="0072536D">
        <w:t>. Stavební práce zahrnují drobné demoliční práce, novou výstavbu příček, odstranění stávajících obkladů a dlažby a obložení novými keramickými obklady a položení dlažby, výmalba, nové rozvody vody a úpravy elektroinstalace.</w:t>
      </w:r>
    </w:p>
    <w:bookmarkEnd w:id="4"/>
    <w:p w14:paraId="505789E0" w14:textId="77777777" w:rsidR="000A7C68" w:rsidRPr="00AE5CB6" w:rsidRDefault="00612D4D" w:rsidP="000A7C68">
      <w:pPr>
        <w:pStyle w:val="Nadpis3"/>
        <w:spacing w:after="0"/>
      </w:pPr>
      <w:r w:rsidRPr="00AE5CB6">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EA207C" w:rsidRPr="00AE5CB6">
        <w:t>/oprávněnou osobou</w:t>
      </w:r>
      <w:r w:rsidR="000A7C68">
        <w:t xml:space="preserve">: </w:t>
      </w:r>
    </w:p>
    <w:tbl>
      <w:tblPr>
        <w:tblStyle w:val="Mkatabulky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5"/>
      </w:tblGrid>
      <w:tr w:rsidR="000A7C68" w:rsidRPr="000A7C68" w14:paraId="4BF8510A" w14:textId="77777777" w:rsidTr="000A7C68">
        <w:trPr>
          <w:trHeight w:val="284"/>
        </w:trPr>
        <w:tc>
          <w:tcPr>
            <w:tcW w:w="6735" w:type="dxa"/>
            <w:shd w:val="clear" w:color="auto" w:fill="auto"/>
          </w:tcPr>
          <w:p w14:paraId="495138AE" w14:textId="77777777" w:rsidR="000A7C68" w:rsidRPr="000A7C68" w:rsidRDefault="000A7C68" w:rsidP="000A7C68">
            <w:pPr>
              <w:spacing w:after="0"/>
              <w:jc w:val="both"/>
              <w:rPr>
                <w:rFonts w:eastAsiaTheme="minorHAnsi" w:cstheme="minorBidi"/>
                <w:szCs w:val="22"/>
              </w:rPr>
            </w:pPr>
            <w:r w:rsidRPr="000A7C68">
              <w:rPr>
                <w:rFonts w:eastAsiaTheme="minorHAnsi" w:cstheme="minorBidi"/>
                <w:szCs w:val="22"/>
              </w:rPr>
              <w:t>Projektová a inženýrská činnost Ing. Jiří Lejsek, AI v oboru pozemní stavby</w:t>
            </w:r>
          </w:p>
        </w:tc>
      </w:tr>
      <w:tr w:rsidR="000A7C68" w:rsidRPr="000A7C68" w14:paraId="78728B95" w14:textId="77777777" w:rsidTr="000A7C68">
        <w:trPr>
          <w:trHeight w:val="284"/>
        </w:trPr>
        <w:tc>
          <w:tcPr>
            <w:tcW w:w="6735" w:type="dxa"/>
            <w:shd w:val="clear" w:color="auto" w:fill="auto"/>
          </w:tcPr>
          <w:p w14:paraId="1049C0B5" w14:textId="66EC9F55" w:rsidR="000A7C68" w:rsidRPr="000A7C68" w:rsidRDefault="000A7C68" w:rsidP="000A7C68">
            <w:pPr>
              <w:spacing w:after="0"/>
              <w:jc w:val="both"/>
              <w:rPr>
                <w:rFonts w:eastAsiaTheme="minorHAnsi" w:cstheme="minorBidi"/>
                <w:szCs w:val="22"/>
              </w:rPr>
            </w:pPr>
            <w:r>
              <w:rPr>
                <w:rFonts w:eastAsiaTheme="minorHAnsi" w:cstheme="minorBidi"/>
                <w:szCs w:val="22"/>
              </w:rPr>
              <w:t xml:space="preserve">IČO: </w:t>
            </w:r>
            <w:r w:rsidRPr="000A7C68">
              <w:rPr>
                <w:rFonts w:eastAsiaTheme="minorHAnsi" w:cstheme="minorBidi"/>
                <w:szCs w:val="22"/>
              </w:rPr>
              <w:t>14729482</w:t>
            </w:r>
          </w:p>
        </w:tc>
      </w:tr>
      <w:tr w:rsidR="000A7C68" w:rsidRPr="000A7C68" w14:paraId="0E73845B" w14:textId="77777777" w:rsidTr="000A7C68">
        <w:trPr>
          <w:trHeight w:val="284"/>
        </w:trPr>
        <w:tc>
          <w:tcPr>
            <w:tcW w:w="6735" w:type="dxa"/>
            <w:shd w:val="clear" w:color="auto" w:fill="auto"/>
          </w:tcPr>
          <w:p w14:paraId="5D61DD4C" w14:textId="4CF474AB" w:rsidR="00AE391A" w:rsidRPr="000A7C68" w:rsidRDefault="000A7C68" w:rsidP="000A7C68">
            <w:pPr>
              <w:spacing w:after="0"/>
              <w:jc w:val="both"/>
              <w:rPr>
                <w:rFonts w:eastAsiaTheme="minorHAnsi" w:cstheme="minorBidi"/>
                <w:szCs w:val="22"/>
              </w:rPr>
            </w:pPr>
            <w:r>
              <w:rPr>
                <w:rFonts w:eastAsiaTheme="minorHAnsi" w:cstheme="minorBidi"/>
                <w:szCs w:val="22"/>
              </w:rPr>
              <w:t xml:space="preserve">Sídlo: </w:t>
            </w:r>
            <w:r w:rsidRPr="000A7C68">
              <w:rPr>
                <w:rFonts w:eastAsiaTheme="minorHAnsi" w:cstheme="minorBidi"/>
                <w:szCs w:val="22"/>
              </w:rPr>
              <w:t>Hájkova 369/III, 342 01 Sušice</w:t>
            </w:r>
          </w:p>
        </w:tc>
      </w:tr>
    </w:tbl>
    <w:p w14:paraId="4A9843EC" w14:textId="53074094" w:rsidR="00646856" w:rsidRDefault="00612D4D" w:rsidP="00AE5CB6">
      <w:pPr>
        <w:pStyle w:val="Nadpis3"/>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lastRenderedPageBreak/>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79D220B7" w:rsidR="008833BC" w:rsidRPr="00A9299D" w:rsidRDefault="00612D4D" w:rsidP="000D2AAE">
      <w:pPr>
        <w:pStyle w:val="Nadpis3"/>
      </w:pPr>
      <w:r w:rsidRPr="00A9299D">
        <w:t xml:space="preserve">dle potřeby </w:t>
      </w:r>
      <w:r w:rsidR="00E0193D" w:rsidRPr="00A9299D">
        <w:t xml:space="preserve">zajistit </w:t>
      </w:r>
      <w:r w:rsidRPr="00A9299D">
        <w:t>vytýčení všech inženýrských sítí před zahájením realizace stavby a  v jejich blízkosti pracovat v souladu s vyjádřeními jednotlivých správců těchto sítí,</w:t>
      </w:r>
    </w:p>
    <w:p w14:paraId="21D80D7E" w14:textId="51CF07D2"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zákona č.</w:t>
      </w:r>
      <w:r w:rsidR="002C5450" w:rsidRPr="000D2AAE">
        <w:t xml:space="preserve"> </w:t>
      </w:r>
      <w:r w:rsidRPr="000D2AAE">
        <w:t>183/2006 Sb., o územním plánování a stav</w:t>
      </w:r>
      <w:r w:rsidR="00D44E76" w:rsidRPr="000D2AAE">
        <w:t>ebním řádu – Stavební zákon,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4183CC13" w:rsidR="008833BC" w:rsidRDefault="00612D4D" w:rsidP="00190269">
      <w:pPr>
        <w:pStyle w:val="Nadpis2"/>
      </w:pPr>
      <w:bookmarkStart w:id="5" w:name="_Ref97725655"/>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5"/>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2809EB28" w:rsidR="00CD76C5"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1F8F1CD9" w14:textId="77777777" w:rsidR="00CD76C5" w:rsidRDefault="00CD76C5">
      <w:pPr>
        <w:spacing w:after="160" w:line="259" w:lineRule="auto"/>
      </w:pPr>
      <w:r>
        <w:br w:type="page"/>
      </w:r>
    </w:p>
    <w:p w14:paraId="6E135480" w14:textId="77777777" w:rsidR="00502FD5" w:rsidRPr="00190269" w:rsidRDefault="00502FD5" w:rsidP="00190269">
      <w:pPr>
        <w:pStyle w:val="Nadpis1"/>
      </w:pPr>
      <w:bookmarkStart w:id="6" w:name="_Toc97796491"/>
      <w:r w:rsidRPr="00190269">
        <w:lastRenderedPageBreak/>
        <w:t>MÍSTO PLNĚNÍ</w:t>
      </w:r>
      <w:bookmarkEnd w:id="6"/>
    </w:p>
    <w:p w14:paraId="769DACDB" w14:textId="653D899E" w:rsidR="00502FD5" w:rsidRDefault="00C7189C" w:rsidP="00190269">
      <w:pPr>
        <w:pStyle w:val="Nadpis2"/>
      </w:pPr>
      <w:r>
        <w:t>Místo plnění</w:t>
      </w:r>
      <w:r w:rsidR="001F1024">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716"/>
      </w:tblGrid>
      <w:tr w:rsidR="001F1024" w:rsidRPr="001F1024" w14:paraId="0363EFC9" w14:textId="77777777" w:rsidTr="001F1024">
        <w:tc>
          <w:tcPr>
            <w:tcW w:w="9693" w:type="dxa"/>
            <w:gridSpan w:val="2"/>
            <w:shd w:val="clear" w:color="auto" w:fill="auto"/>
          </w:tcPr>
          <w:p w14:paraId="3F964864" w14:textId="31422A01" w:rsidR="001F1024" w:rsidRPr="001F1024" w:rsidRDefault="002D2CA8" w:rsidP="001F1024">
            <w:pPr>
              <w:spacing w:after="0"/>
              <w:ind w:left="708"/>
              <w:rPr>
                <w:b/>
                <w:sz w:val="22"/>
              </w:rPr>
            </w:pPr>
            <w:r>
              <w:rPr>
                <w:b/>
                <w:sz w:val="22"/>
              </w:rPr>
              <w:t>SOŠ a SOU Sušice</w:t>
            </w:r>
            <w:r w:rsidR="00D24BC6">
              <w:rPr>
                <w:b/>
                <w:sz w:val="22"/>
              </w:rPr>
              <w:t xml:space="preserve">, </w:t>
            </w:r>
            <w:r>
              <w:rPr>
                <w:b/>
                <w:sz w:val="22"/>
              </w:rPr>
              <w:t>Poštovní 9</w:t>
            </w:r>
            <w:r w:rsidR="00D24BC6" w:rsidRPr="00C7189C">
              <w:rPr>
                <w:b/>
                <w:sz w:val="22"/>
                <w:szCs w:val="22"/>
              </w:rPr>
              <w:t>, Sušice</w:t>
            </w:r>
          </w:p>
        </w:tc>
      </w:tr>
      <w:tr w:rsidR="001F1024" w:rsidRPr="001F1024" w14:paraId="0DE7A383" w14:textId="77777777" w:rsidTr="001F1024">
        <w:tc>
          <w:tcPr>
            <w:tcW w:w="2977" w:type="dxa"/>
            <w:shd w:val="clear" w:color="auto" w:fill="auto"/>
          </w:tcPr>
          <w:p w14:paraId="2BF2A220" w14:textId="77777777" w:rsidR="001F1024" w:rsidRPr="001F1024" w:rsidRDefault="001F1024" w:rsidP="001F1024">
            <w:pPr>
              <w:spacing w:after="0"/>
              <w:ind w:left="708"/>
              <w:rPr>
                <w:sz w:val="22"/>
              </w:rPr>
            </w:pPr>
            <w:r w:rsidRPr="001F1024">
              <w:rPr>
                <w:sz w:val="22"/>
              </w:rPr>
              <w:t>Obec:</w:t>
            </w:r>
          </w:p>
        </w:tc>
        <w:tc>
          <w:tcPr>
            <w:tcW w:w="6716" w:type="dxa"/>
            <w:shd w:val="clear" w:color="auto" w:fill="auto"/>
          </w:tcPr>
          <w:p w14:paraId="164270A2" w14:textId="77777777" w:rsidR="001F1024" w:rsidRPr="00D24BC6" w:rsidRDefault="001F1024" w:rsidP="001F1024">
            <w:pPr>
              <w:spacing w:after="0"/>
              <w:ind w:left="708"/>
              <w:rPr>
                <w:sz w:val="22"/>
                <w:szCs w:val="22"/>
              </w:rPr>
            </w:pPr>
            <w:r w:rsidRPr="00D24BC6">
              <w:rPr>
                <w:sz w:val="22"/>
                <w:szCs w:val="22"/>
              </w:rPr>
              <w:t>Sušice (557153)</w:t>
            </w:r>
          </w:p>
        </w:tc>
      </w:tr>
      <w:tr w:rsidR="001F1024" w:rsidRPr="001F1024" w14:paraId="3FE0ACCA" w14:textId="77777777" w:rsidTr="001F1024">
        <w:tc>
          <w:tcPr>
            <w:tcW w:w="2977" w:type="dxa"/>
            <w:shd w:val="clear" w:color="auto" w:fill="auto"/>
          </w:tcPr>
          <w:p w14:paraId="0A7895F6" w14:textId="77777777" w:rsidR="001F1024" w:rsidRPr="001F1024" w:rsidRDefault="001F1024" w:rsidP="001F1024">
            <w:pPr>
              <w:spacing w:after="0"/>
              <w:ind w:left="708"/>
              <w:rPr>
                <w:sz w:val="22"/>
              </w:rPr>
            </w:pPr>
            <w:r w:rsidRPr="001F1024">
              <w:rPr>
                <w:sz w:val="22"/>
              </w:rPr>
              <w:t>Katastrální území:</w:t>
            </w:r>
          </w:p>
        </w:tc>
        <w:tc>
          <w:tcPr>
            <w:tcW w:w="6716" w:type="dxa"/>
            <w:shd w:val="clear" w:color="auto" w:fill="auto"/>
          </w:tcPr>
          <w:p w14:paraId="4F1DA8C7" w14:textId="77777777" w:rsidR="001F1024" w:rsidRPr="00D24BC6" w:rsidRDefault="001F1024" w:rsidP="001F1024">
            <w:pPr>
              <w:spacing w:after="0"/>
              <w:ind w:left="708"/>
              <w:rPr>
                <w:sz w:val="22"/>
                <w:szCs w:val="22"/>
              </w:rPr>
            </w:pPr>
            <w:r w:rsidRPr="00D24BC6">
              <w:rPr>
                <w:sz w:val="22"/>
                <w:szCs w:val="22"/>
              </w:rPr>
              <w:t>Sušice nad Otavou (759601)</w:t>
            </w:r>
          </w:p>
        </w:tc>
      </w:tr>
      <w:tr w:rsidR="001F1024" w:rsidRPr="001F1024" w14:paraId="6F1A9C64" w14:textId="77777777" w:rsidTr="001F1024">
        <w:tc>
          <w:tcPr>
            <w:tcW w:w="2977" w:type="dxa"/>
            <w:shd w:val="clear" w:color="auto" w:fill="auto"/>
          </w:tcPr>
          <w:p w14:paraId="29519AB3" w14:textId="77777777" w:rsidR="001F1024" w:rsidRPr="001F1024" w:rsidRDefault="001F1024" w:rsidP="001F1024">
            <w:pPr>
              <w:spacing w:after="0"/>
              <w:ind w:left="708"/>
              <w:rPr>
                <w:sz w:val="22"/>
              </w:rPr>
            </w:pPr>
            <w:r w:rsidRPr="001F1024">
              <w:rPr>
                <w:sz w:val="22"/>
              </w:rPr>
              <w:t>Statistický kód LAU 1:</w:t>
            </w:r>
          </w:p>
        </w:tc>
        <w:tc>
          <w:tcPr>
            <w:tcW w:w="6716" w:type="dxa"/>
            <w:shd w:val="clear" w:color="auto" w:fill="auto"/>
          </w:tcPr>
          <w:p w14:paraId="3AA88C49" w14:textId="4AAAAC4B" w:rsidR="001F1024" w:rsidRPr="00D24BC6" w:rsidRDefault="00D24BC6" w:rsidP="001F1024">
            <w:pPr>
              <w:spacing w:after="0"/>
              <w:ind w:left="708"/>
              <w:rPr>
                <w:sz w:val="22"/>
                <w:szCs w:val="22"/>
              </w:rPr>
            </w:pPr>
            <w:r w:rsidRPr="00D24BC6">
              <w:rPr>
                <w:rFonts w:cs="Calibri"/>
                <w:sz w:val="22"/>
                <w:szCs w:val="22"/>
              </w:rPr>
              <w:t>CZ0322</w:t>
            </w:r>
          </w:p>
        </w:tc>
      </w:tr>
      <w:tr w:rsidR="001F1024" w:rsidRPr="001F1024" w14:paraId="02895A43" w14:textId="77777777" w:rsidTr="001F1024">
        <w:tc>
          <w:tcPr>
            <w:tcW w:w="2977" w:type="dxa"/>
            <w:shd w:val="clear" w:color="auto" w:fill="auto"/>
          </w:tcPr>
          <w:p w14:paraId="243E897E" w14:textId="77777777" w:rsidR="001F1024" w:rsidRPr="001F1024" w:rsidRDefault="001F1024" w:rsidP="001F1024">
            <w:pPr>
              <w:spacing w:after="0"/>
              <w:ind w:left="708"/>
              <w:rPr>
                <w:sz w:val="22"/>
              </w:rPr>
            </w:pPr>
            <w:r w:rsidRPr="001F1024">
              <w:rPr>
                <w:sz w:val="22"/>
              </w:rPr>
              <w:t>Adresa místa plnění:</w:t>
            </w:r>
          </w:p>
        </w:tc>
        <w:tc>
          <w:tcPr>
            <w:tcW w:w="6716" w:type="dxa"/>
            <w:shd w:val="clear" w:color="auto" w:fill="auto"/>
          </w:tcPr>
          <w:p w14:paraId="0E2D7FB7" w14:textId="1ACC963C" w:rsidR="001F1024" w:rsidRPr="00D24BC6" w:rsidRDefault="00E7263A" w:rsidP="001F1024">
            <w:pPr>
              <w:spacing w:after="0"/>
              <w:ind w:left="708"/>
              <w:rPr>
                <w:sz w:val="22"/>
                <w:szCs w:val="22"/>
              </w:rPr>
            </w:pPr>
            <w:r>
              <w:rPr>
                <w:sz w:val="22"/>
                <w:szCs w:val="22"/>
              </w:rPr>
              <w:t>Poštovní 9</w:t>
            </w:r>
            <w:r w:rsidR="00D24BC6" w:rsidRPr="00D24BC6">
              <w:rPr>
                <w:sz w:val="22"/>
                <w:szCs w:val="22"/>
              </w:rPr>
              <w:t>, Sušice</w:t>
            </w:r>
          </w:p>
        </w:tc>
      </w:tr>
    </w:tbl>
    <w:p w14:paraId="236F5CAE" w14:textId="77777777" w:rsidR="00502FD5" w:rsidRPr="00190269" w:rsidRDefault="00502FD5" w:rsidP="00190269">
      <w:pPr>
        <w:pStyle w:val="Nadpis1"/>
      </w:pPr>
      <w:bookmarkStart w:id="7" w:name="_Ref97721681"/>
      <w:bookmarkStart w:id="8" w:name="_Toc97796492"/>
      <w:r w:rsidRPr="00190269">
        <w:t>TERMÍNY PLNĚNÍ - PŘEDÁNÍ STAVENIŠTĚ, DOKONČENÍ A PŘEDÁNÍ DÍLA</w:t>
      </w:r>
      <w:bookmarkEnd w:id="7"/>
      <w:bookmarkEnd w:id="8"/>
    </w:p>
    <w:p w14:paraId="207CB842" w14:textId="6BD8EC84" w:rsidR="005B4D4A" w:rsidRPr="005139D2" w:rsidRDefault="008833BC" w:rsidP="005139D2">
      <w:pPr>
        <w:autoSpaceDE w:val="0"/>
        <w:autoSpaceDN w:val="0"/>
        <w:adjustRightInd w:val="0"/>
        <w:spacing w:after="0" w:line="276" w:lineRule="auto"/>
        <w:ind w:left="708"/>
      </w:pPr>
      <w:r w:rsidRPr="005139D2">
        <w:rPr>
          <w:b/>
          <w:u w:val="single"/>
        </w:rPr>
        <w:t>Zahájení stavebních prací</w:t>
      </w:r>
      <w:r w:rsidRPr="005139D2">
        <w:rPr>
          <w:b/>
        </w:rPr>
        <w:t>:</w:t>
      </w:r>
      <w:r w:rsidR="005B4D4A" w:rsidRPr="005139D2">
        <w:rPr>
          <w:b/>
        </w:rPr>
        <w:t xml:space="preserve"> </w:t>
      </w:r>
      <w:r w:rsidR="005B4D4A" w:rsidRPr="005139D2">
        <w:t xml:space="preserve">Předpokládaný termín zahájení </w:t>
      </w:r>
      <w:r w:rsidR="00CD76C5" w:rsidRPr="005139D2">
        <w:t xml:space="preserve">výstavby </w:t>
      </w:r>
      <w:r w:rsidR="00CD76C5">
        <w:t xml:space="preserve">– </w:t>
      </w:r>
      <w:r w:rsidR="00E20CEA">
        <w:t>1. 7. 2025</w:t>
      </w:r>
      <w:r w:rsidR="00CB03DE">
        <w:t xml:space="preserve"> - </w:t>
      </w:r>
      <w:r w:rsidR="005B4D4A" w:rsidRPr="005139D2">
        <w:t xml:space="preserve">staveniště bude zhotoviteli předáno do </w:t>
      </w:r>
      <w:r w:rsidR="00E20CEA">
        <w:t>3</w:t>
      </w:r>
      <w:r w:rsidR="005B4D4A" w:rsidRPr="005139D2">
        <w:t xml:space="preserve"> dnů od písemného pokynu objednatele. Následně budou neprodleně zahájeny stavební práce na díle. </w:t>
      </w:r>
    </w:p>
    <w:p w14:paraId="78A20ADC" w14:textId="2855C50F" w:rsidR="001A1665" w:rsidRPr="00996B0C" w:rsidRDefault="001A1665" w:rsidP="001A1665">
      <w:pPr>
        <w:ind w:left="3402" w:hanging="2693"/>
        <w:jc w:val="both"/>
        <w:rPr>
          <w:color w:val="FF0000"/>
        </w:rPr>
      </w:pPr>
    </w:p>
    <w:p w14:paraId="0CD027C6" w14:textId="531B480B" w:rsidR="001F1024" w:rsidRPr="001F1024" w:rsidRDefault="008833BC" w:rsidP="001F1024">
      <w:pPr>
        <w:spacing w:after="0"/>
        <w:ind w:left="3402" w:hanging="2693"/>
        <w:rPr>
          <w:b/>
        </w:rPr>
      </w:pPr>
      <w:r w:rsidRPr="00FE2A43">
        <w:rPr>
          <w:b/>
          <w:u w:val="single"/>
        </w:rPr>
        <w:t>Dokončení stavebních prací</w:t>
      </w:r>
      <w:r w:rsidR="001F1024">
        <w:rPr>
          <w:b/>
        </w:rPr>
        <w:t>:</w:t>
      </w:r>
      <w:r w:rsidR="001F1024">
        <w:rPr>
          <w:b/>
        </w:rPr>
        <w:tab/>
      </w:r>
      <w:r w:rsidR="001F1024" w:rsidRPr="001F1024">
        <w:rPr>
          <w:b/>
        </w:rPr>
        <w:t xml:space="preserve">nejpozději </w:t>
      </w:r>
      <w:r w:rsidR="00996B0C" w:rsidRPr="005139D2">
        <w:t xml:space="preserve">do </w:t>
      </w:r>
      <w:r w:rsidR="00DD5554">
        <w:t>22</w:t>
      </w:r>
      <w:r w:rsidR="00996B0C" w:rsidRPr="005139D2">
        <w:t xml:space="preserve">. </w:t>
      </w:r>
      <w:r w:rsidR="00E7263A">
        <w:t>8</w:t>
      </w:r>
      <w:r w:rsidR="00996B0C" w:rsidRPr="005139D2">
        <w:t>. 202</w:t>
      </w:r>
      <w:r w:rsidR="00CB03DE">
        <w:t>5</w:t>
      </w:r>
      <w:r w:rsidR="00996B0C" w:rsidRPr="005139D2">
        <w:t>.</w:t>
      </w:r>
    </w:p>
    <w:p w14:paraId="5EE05A9D" w14:textId="0621EE27" w:rsidR="00F46A00" w:rsidRPr="00B5673C" w:rsidRDefault="00F46A00" w:rsidP="00F46A00">
      <w:pPr>
        <w:autoSpaceDE w:val="0"/>
        <w:autoSpaceDN w:val="0"/>
        <w:adjustRightInd w:val="0"/>
        <w:spacing w:after="0"/>
        <w:ind w:left="2694" w:firstLine="708"/>
      </w:pPr>
      <w:r w:rsidRPr="00B5673C">
        <w:rPr>
          <w:color w:val="FF0000"/>
        </w:rPr>
        <w:t> </w:t>
      </w:r>
    </w:p>
    <w:p w14:paraId="2508922D" w14:textId="10B084B9" w:rsidR="008833BC" w:rsidRPr="001F1024" w:rsidRDefault="008833BC" w:rsidP="008D58B2"/>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9" w:name="_Ref97725861"/>
      <w:r w:rsidRPr="00132513">
        <w:t>Zhotovitel je povinen včas vyzvat objednatele k převzetí dokončeného díla. Objednatel zahájí přejímku díla nejpozději do pěti (5) pracovních dnů od předání výzvy</w:t>
      </w:r>
      <w:r w:rsidRPr="00310A5C">
        <w:t>.</w:t>
      </w:r>
      <w:bookmarkEnd w:id="9"/>
    </w:p>
    <w:p w14:paraId="050B0379" w14:textId="0E536B90"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36F5CE41"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5B4D4A">
        <w:t>v</w:t>
      </w:r>
      <w:r w:rsidRPr="008833BC">
        <w:t>ady</w:t>
      </w:r>
      <w:r w:rsidR="005B4D4A">
        <w:t xml:space="preserve"> bránící užívání</w:t>
      </w:r>
      <w:r w:rsidRPr="008833BC">
        <w:t xml:space="preserve">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7FD299F3" w:rsidR="008833BC" w:rsidRPr="00E20CEA" w:rsidRDefault="00502FD5" w:rsidP="00190269">
      <w:pPr>
        <w:pStyle w:val="Nadpis2"/>
      </w:pPr>
      <w:r w:rsidRPr="00E20CEA">
        <w:t xml:space="preserve">Spolu s dílem (předmětem díla) je zhotovitel povinen předat objednateli doklady vztahující se k předmětu díla. Nejpozději při předání díla odevzdá zhotovitel objednateli veškeré </w:t>
      </w:r>
      <w:r w:rsidRPr="00E20CEA">
        <w:rPr>
          <w:b/>
        </w:rPr>
        <w:t>atesty, kopii certifikátů kvality a prohlášení o shodě u jednotlivých použitých komponentů, materiálů a výrobků</w:t>
      </w:r>
      <w:r w:rsidRPr="00E20CEA">
        <w:t xml:space="preserve"> (nebyly-li doloženy dříve), </w:t>
      </w:r>
      <w:r w:rsidRPr="00E20CEA">
        <w:rPr>
          <w:b/>
        </w:rPr>
        <w:t xml:space="preserve">prohlášení o shodě na celou stavbu, záruční listy, potvrzení o provedených </w:t>
      </w:r>
      <w:r w:rsidRPr="00E20CEA">
        <w:rPr>
          <w:b/>
        </w:rPr>
        <w:lastRenderedPageBreak/>
        <w:t xml:space="preserve">zkouškách, revizní zprávy, doklad o uložení suti na skládku, doklady o nakládání s odpady, projektovou dokumentaci skutečného provedení stavby </w:t>
      </w:r>
      <w:r w:rsidR="007E32A6" w:rsidRPr="00E20CEA">
        <w:rPr>
          <w:b/>
        </w:rPr>
        <w:t>–</w:t>
      </w:r>
      <w:r w:rsidRPr="00E20CEA">
        <w:rPr>
          <w:b/>
        </w:rPr>
        <w:t xml:space="preserve"> </w:t>
      </w:r>
      <w:r w:rsidR="000A7C68" w:rsidRPr="00E20CEA">
        <w:rPr>
          <w:b/>
        </w:rPr>
        <w:t>jedno</w:t>
      </w:r>
      <w:r w:rsidRPr="00E20CEA">
        <w:rPr>
          <w:b/>
        </w:rPr>
        <w:t xml:space="preserve"> </w:t>
      </w:r>
      <w:r w:rsidR="000A7C68" w:rsidRPr="00E20CEA">
        <w:rPr>
          <w:b/>
        </w:rPr>
        <w:t>(1</w:t>
      </w:r>
      <w:r w:rsidRPr="00E20CEA">
        <w:rPr>
          <w:b/>
        </w:rPr>
        <w:t xml:space="preserve">) </w:t>
      </w:r>
      <w:proofErr w:type="spellStart"/>
      <w:r w:rsidRPr="00E20CEA">
        <w:rPr>
          <w:b/>
        </w:rPr>
        <w:t>paré</w:t>
      </w:r>
      <w:proofErr w:type="spellEnd"/>
      <w:r w:rsidRPr="00E20CEA">
        <w:rPr>
          <w:b/>
        </w:rPr>
        <w:t xml:space="preserve"> v listinné podobě</w:t>
      </w:r>
      <w:r w:rsidR="000E13E2" w:rsidRPr="00E20CEA">
        <w:rPr>
          <w:b/>
        </w:rPr>
        <w:t xml:space="preserve"> </w:t>
      </w:r>
      <w:r w:rsidR="00C442C2" w:rsidRPr="00E20CEA">
        <w:rPr>
          <w:b/>
        </w:rPr>
        <w:t>a jeden krát (1) PD skutečného provedení</w:t>
      </w:r>
      <w:r w:rsidRPr="00E20CEA">
        <w:rPr>
          <w:b/>
        </w:rPr>
        <w:t xml:space="preserve"> na datovém nosiči</w:t>
      </w:r>
      <w:r w:rsidR="00A64571" w:rsidRPr="00E20CEA">
        <w:rPr>
          <w:b/>
        </w:rPr>
        <w:t xml:space="preserve"> v elektronické podobě</w:t>
      </w:r>
      <w:r w:rsidRPr="00E20CEA">
        <w:rPr>
          <w:b/>
        </w:rPr>
        <w:t>), originál stavebního deníku</w:t>
      </w:r>
      <w:r w:rsidRPr="00E20CEA">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w:t>
      </w:r>
      <w:r w:rsidR="002C5450" w:rsidRPr="00E20CEA">
        <w:t>,</w:t>
      </w:r>
      <w:r w:rsidRPr="00E20CEA">
        <w:t xml:space="preserve"> dodat objednateli úplné doklady bez vad. Náklady spojené s vyhotovením a dodáním všech dokladů v potřebném počtu</w:t>
      </w:r>
      <w:r w:rsidR="002C5450" w:rsidRPr="00E20CEA">
        <w:t xml:space="preserve">, </w:t>
      </w:r>
      <w:r w:rsidRPr="00E20CEA">
        <w:t>včetně jejich oprav, doplnění a  náhradního dodání</w:t>
      </w:r>
      <w:r w:rsidR="002C5450" w:rsidRPr="00E20CEA">
        <w:t>,</w:t>
      </w:r>
      <w:r w:rsidRPr="00E20CEA">
        <w:t xml:space="preserve"> jsou zahrnuty v ceně za dílo a zhotovitel není oprávněn od</w:t>
      </w:r>
      <w:r w:rsidR="00EB038C" w:rsidRPr="00E20CEA">
        <w:t> </w:t>
      </w:r>
      <w:r w:rsidRPr="00E20CEA">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0" w:name="_Toc97796493"/>
      <w:r w:rsidRPr="00190269">
        <w:t>CENA A PLATEBNÍ PODMÍNKY</w:t>
      </w:r>
      <w:bookmarkEnd w:id="10"/>
    </w:p>
    <w:p w14:paraId="2A066BE5" w14:textId="373785C2" w:rsidR="00321E12" w:rsidRDefault="00612D4D" w:rsidP="00190269">
      <w:pPr>
        <w:pStyle w:val="Nadpis2"/>
      </w:pPr>
      <w:bookmarkStart w:id="11" w:name="_Ref97718147"/>
      <w:r w:rsidRPr="00132513">
        <w:t>Objednatel se zavazuje zaplatit zhotoviteli za řádné provedení díla sjednanou cenu:</w:t>
      </w:r>
      <w:bookmarkEnd w:id="11"/>
      <w:r w:rsidR="00FD7710">
        <w:t xml:space="preserve"> </w:t>
      </w:r>
    </w:p>
    <w:p w14:paraId="09378DA3" w14:textId="77777777" w:rsidR="00321E12" w:rsidRPr="008A3C8B" w:rsidRDefault="00321E12" w:rsidP="004C6515">
      <w:pPr>
        <w:pStyle w:val="Odstavecseseznamem"/>
        <w:ind w:left="709"/>
        <w:jc w:val="both"/>
        <w:rPr>
          <w:sz w:val="16"/>
          <w:szCs w:val="16"/>
        </w:rPr>
      </w:pPr>
    </w:p>
    <w:p w14:paraId="17FFFC21" w14:textId="6F07DEC8"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8F57E0">
        <w:t>710 127</w:t>
      </w:r>
      <w:r w:rsidRPr="00FE2A43">
        <w:t>,- Kč</w:t>
      </w:r>
    </w:p>
    <w:p w14:paraId="52782F71" w14:textId="32CC280C" w:rsidR="00FD7710" w:rsidRPr="00FE2A43" w:rsidRDefault="00FD7710" w:rsidP="00190269">
      <w:pPr>
        <w:ind w:left="1389" w:hanging="709"/>
      </w:pPr>
      <w:r w:rsidRPr="00FE2A43">
        <w:t xml:space="preserve">(slovy: </w:t>
      </w:r>
      <w:r w:rsidR="003009F1">
        <w:t>Sedm set deset tisíc sto dvacet sedm</w:t>
      </w:r>
      <w:r w:rsidR="000B6844" w:rsidRPr="000B6844">
        <w:rPr>
          <w:szCs w:val="22"/>
        </w:rPr>
        <w:t xml:space="preserve"> </w:t>
      </w:r>
      <w:r w:rsidRPr="00FE2A43">
        <w:t xml:space="preserve">korun českých a </w:t>
      </w:r>
      <w:r w:rsidR="00896B15">
        <w:rPr>
          <w:szCs w:val="22"/>
        </w:rPr>
        <w:t>nula</w:t>
      </w:r>
      <w:r w:rsidR="000B6844" w:rsidRPr="000B6844">
        <w:rPr>
          <w:szCs w:val="22"/>
        </w:rPr>
        <w:t xml:space="preserve"> </w:t>
      </w:r>
      <w:r w:rsidRPr="00FE2A43">
        <w:t>haléřů)</w:t>
      </w:r>
    </w:p>
    <w:p w14:paraId="67C0D764" w14:textId="4F1309DA"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497194">
        <w:rPr>
          <w:b/>
        </w:rPr>
        <w:t xml:space="preserve"> </w:t>
      </w:r>
      <w:r w:rsidRPr="000D2AAE">
        <w:rPr>
          <w:b/>
        </w:rPr>
        <w:t>%</w:t>
      </w:r>
      <w:r w:rsidR="00B63D42">
        <w:tab/>
      </w:r>
      <w:r w:rsidR="000D2AAE">
        <w:tab/>
      </w:r>
      <w:r w:rsidR="000D2AAE">
        <w:tab/>
      </w:r>
      <w:r w:rsidR="000D2AAE">
        <w:tab/>
      </w:r>
      <w:r w:rsidR="000D2AAE">
        <w:tab/>
      </w:r>
      <w:r w:rsidR="000D2AAE">
        <w:tab/>
      </w:r>
      <w:r w:rsidR="008F57E0">
        <w:t>149 127</w:t>
      </w:r>
      <w:r w:rsidRPr="00132513">
        <w:t>,- Kč</w:t>
      </w:r>
    </w:p>
    <w:p w14:paraId="6C141342" w14:textId="62B79066" w:rsidR="00FD7710" w:rsidRPr="00FE2A43" w:rsidRDefault="00FD7710" w:rsidP="00190269">
      <w:pPr>
        <w:ind w:left="1389" w:hanging="709"/>
      </w:pPr>
      <w:r w:rsidRPr="00FE2A43">
        <w:t xml:space="preserve">(slovy: </w:t>
      </w:r>
      <w:r w:rsidR="009F2EA5" w:rsidRPr="009F2EA5">
        <w:t>Sto čtyřicet devět tisíc sto dvacet sedm</w:t>
      </w:r>
      <w:r w:rsidR="000B6844" w:rsidRPr="000B6844">
        <w:rPr>
          <w:szCs w:val="22"/>
        </w:rPr>
        <w:t xml:space="preserve"> </w:t>
      </w:r>
      <w:r w:rsidRPr="00FE2A43">
        <w:t xml:space="preserve">korun českých a </w:t>
      </w:r>
      <w:r w:rsidR="000E4956">
        <w:rPr>
          <w:szCs w:val="22"/>
        </w:rPr>
        <w:t>nula</w:t>
      </w:r>
      <w:r w:rsidR="000B6844" w:rsidRPr="000B6844">
        <w:rPr>
          <w:szCs w:val="22"/>
        </w:rPr>
        <w:t xml:space="preserve"> </w:t>
      </w:r>
      <w:r w:rsidRPr="00FE2A43">
        <w:t>haléřů)</w:t>
      </w:r>
    </w:p>
    <w:p w14:paraId="5933B573" w14:textId="0A7895AF" w:rsidR="00FD7710" w:rsidRPr="00132513" w:rsidRDefault="00FD7710" w:rsidP="00190269">
      <w:pPr>
        <w:ind w:left="1389" w:hanging="709"/>
      </w:pPr>
      <w:r w:rsidRPr="000D2AAE">
        <w:rPr>
          <w:b/>
        </w:rPr>
        <w:t>Celkem cena za dílo včetně 21</w:t>
      </w:r>
      <w:r w:rsidR="00497194">
        <w:rPr>
          <w:b/>
        </w:rPr>
        <w:t xml:space="preserve"> </w:t>
      </w:r>
      <w:r w:rsidRPr="000D2AAE">
        <w:rPr>
          <w:b/>
        </w:rPr>
        <w:t>% DPH činí</w:t>
      </w:r>
      <w:r w:rsidR="00B63D42">
        <w:tab/>
      </w:r>
      <w:r w:rsidR="000D2AAE">
        <w:tab/>
      </w:r>
      <w:r w:rsidR="000D2AAE">
        <w:tab/>
      </w:r>
      <w:r w:rsidR="008F57E0">
        <w:t>859 254</w:t>
      </w:r>
      <w:r w:rsidR="000B6844">
        <w:rPr>
          <w:szCs w:val="22"/>
        </w:rPr>
        <w:t>,-</w:t>
      </w:r>
      <w:r w:rsidR="000B6844" w:rsidRPr="000B6844">
        <w:rPr>
          <w:szCs w:val="22"/>
        </w:rPr>
        <w:t xml:space="preserve"> </w:t>
      </w:r>
      <w:r w:rsidRPr="00132513">
        <w:t>Kč</w:t>
      </w:r>
    </w:p>
    <w:p w14:paraId="2FC4DAF7" w14:textId="5FE2837C" w:rsidR="00FD7710" w:rsidRPr="00FE2A43" w:rsidRDefault="00FD7710" w:rsidP="006D083E">
      <w:pPr>
        <w:spacing w:after="360"/>
        <w:ind w:left="1389" w:hanging="709"/>
      </w:pPr>
      <w:r w:rsidRPr="00FE2A43">
        <w:t xml:space="preserve">(slovy: </w:t>
      </w:r>
      <w:r w:rsidR="0025578F" w:rsidRPr="0025578F">
        <w:t>Osm set padesát devět tisíc dvě stě padesát čtyři</w:t>
      </w:r>
      <w:r w:rsidR="000B6844" w:rsidRPr="000B6844">
        <w:rPr>
          <w:szCs w:val="22"/>
        </w:rPr>
        <w:t xml:space="preserve"> </w:t>
      </w:r>
      <w:r w:rsidRPr="00FE2A43">
        <w:t xml:space="preserve">korun českých a </w:t>
      </w:r>
      <w:r w:rsidR="000E4956">
        <w:rPr>
          <w:szCs w:val="22"/>
        </w:rPr>
        <w:t>nula</w:t>
      </w:r>
      <w:r w:rsidR="000B6844" w:rsidRPr="000B6844">
        <w:rPr>
          <w:szCs w:val="22"/>
        </w:rPr>
        <w:t xml:space="preserve"> </w:t>
      </w:r>
      <w:r w:rsidRPr="00FE2A43">
        <w:t>haléřů)</w:t>
      </w:r>
    </w:p>
    <w:p w14:paraId="5FC80A43" w14:textId="48CED85B" w:rsidR="00634B2A" w:rsidRDefault="005F1EA6" w:rsidP="008A3C8B">
      <w:pPr>
        <w:pStyle w:val="Nadpis2"/>
      </w:pPr>
      <w:r w:rsidRPr="00E05271">
        <w:t xml:space="preserve">Předmět </w:t>
      </w:r>
      <w:r w:rsidR="00E05271" w:rsidRPr="00E05271">
        <w:t>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w:t>
      </w:r>
      <w:r w:rsidR="00F91363">
        <w:t>,</w:t>
      </w:r>
      <w:r w:rsidR="00E05271" w:rsidRPr="00E05271">
        <w:t xml:space="preserve"> k § 26 a k příloze č. 1 pokynu</w:t>
      </w:r>
      <w:r w:rsidR="00612D4D" w:rsidRPr="00E05271">
        <w:t>.</w:t>
      </w:r>
      <w:r w:rsidR="00E05271" w:rsidRPr="00E05271">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49198AD"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B67464">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6845CF16" w:rsidR="00FD7710" w:rsidRDefault="00612D4D" w:rsidP="000D2AAE">
      <w:pPr>
        <w:pStyle w:val="Nadpis2"/>
      </w:pPr>
      <w:r w:rsidRPr="000D2AAE">
        <w:rPr>
          <w:b/>
        </w:rPr>
        <w:lastRenderedPageBreak/>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w:t>
      </w:r>
      <w:r w:rsidRPr="00A9299D">
        <w:t>zhotovení projektové dokumentace</w:t>
      </w:r>
      <w:r w:rsidR="00F63EC1" w:rsidRPr="00A9299D">
        <w:t xml:space="preserve"> skutečného provedení</w:t>
      </w:r>
      <w:r w:rsidRPr="00A9299D">
        <w:t>;</w:t>
      </w:r>
      <w:r w:rsidRPr="008833BC">
        <w:t xml:space="preserve"> náklady na zařízení staveniště, na dopravu, na zajištění požadovaných certifikátů, osvědčení a  zkoušek; náklady za skládkovné </w:t>
      </w:r>
      <w:r w:rsidRPr="00310A5C">
        <w:t>apod.).</w:t>
      </w:r>
    </w:p>
    <w:p w14:paraId="29ECB755" w14:textId="2101EAD0" w:rsidR="00FD7710" w:rsidRPr="00132513" w:rsidRDefault="00612D4D" w:rsidP="000D2AAE">
      <w:pPr>
        <w:pStyle w:val="Nadpis2"/>
      </w:pPr>
      <w:r w:rsidRPr="00646856">
        <w:t xml:space="preserve">Úhrada ceny za dílo bude realizována na základě zhotovitelem vystavené faktury. Zhotovitel je oprávněn vystavit </w:t>
      </w:r>
      <w:r w:rsidR="00C90EF4">
        <w:t>po dokončení plnění předané zakázky,</w:t>
      </w:r>
      <w:r w:rsidRPr="00C124E2">
        <w:rPr>
          <w:color w:val="00B050"/>
        </w:rPr>
        <w:t xml:space="preserve"> </w:t>
      </w:r>
      <w:r w:rsidRPr="00D67D10">
        <w:t xml:space="preserve">fakturu (daňový doklad) na úhradu skutečně provedených prací oceněných na základě výkazu výměr, </w:t>
      </w:r>
      <w:r w:rsidRPr="00646856">
        <w:t>objednatelem předem potvrzených a odsouhlasených. Odsouhlasení provedených prací objednatelem je nez</w:t>
      </w:r>
      <w:r w:rsidRPr="008833BC">
        <w:t>bytnou podmínkou pro</w:t>
      </w:r>
      <w:r w:rsidR="00EB038C" w:rsidRPr="008833BC">
        <w:t> </w:t>
      </w:r>
      <w:r w:rsidRPr="008833BC">
        <w:t>vystavení každé faktury, když nedílnou přílohou faktury je objednatelem, či jím pověřenou osobou,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2F84A6A4" w:rsidR="00FD7710" w:rsidRPr="000D2AAE" w:rsidRDefault="00612D4D" w:rsidP="000D2AAE">
      <w:pPr>
        <w:pStyle w:val="Nadpis2"/>
      </w:pPr>
      <w:r w:rsidRPr="000D2AAE">
        <w:t>Jsou-li</w:t>
      </w:r>
      <w:r w:rsidR="005F1EA6" w:rsidRPr="000D2AAE">
        <w:t xml:space="preserve"> splněny veškeré podmínky této S</w:t>
      </w:r>
      <w:r w:rsidRPr="000D2AAE">
        <w:t xml:space="preserve">mlouvy a příslušných právních předpisů pro vystavení, činí její splatnost </w:t>
      </w:r>
      <w:r w:rsidRPr="00E20CEA">
        <w:t>třicet (30) kalendářních dnů</w:t>
      </w:r>
      <w:r w:rsidRPr="000D2AAE">
        <w:t xml:space="preserve">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688CD989" w:rsidR="00FD7710" w:rsidRPr="00696FF1" w:rsidRDefault="00612D4D" w:rsidP="000D2AAE">
      <w:pPr>
        <w:pStyle w:val="Nadpis2"/>
      </w:pPr>
      <w:bookmarkStart w:id="12" w:name="_Ref97725732"/>
      <w:r w:rsidRPr="000D2AAE">
        <w:t>Každá faktura musí být označena názvem</w:t>
      </w:r>
      <w:r w:rsidR="00D50C25" w:rsidRPr="000D2AAE">
        <w:t xml:space="preserve"> </w:t>
      </w:r>
      <w:r w:rsidR="00CE4B33">
        <w:t>poptávkového řízení</w:t>
      </w:r>
      <w:r w:rsidRPr="000D2AAE">
        <w:t xml:space="preserve">.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696FF1">
        <w:t>doručena</w:t>
      </w:r>
      <w:r w:rsidRPr="00696FF1">
        <w:t xml:space="preserve"> objednateli nejpozději do desátého (10.) dne následujícího měsíce po ukončení příslušného fakturačního období.</w:t>
      </w:r>
      <w:bookmarkEnd w:id="12"/>
    </w:p>
    <w:p w14:paraId="443ACDD0" w14:textId="3C9839FB" w:rsidR="00815C93" w:rsidRPr="000D2AAE" w:rsidRDefault="00815C93" w:rsidP="000D2AAE">
      <w:pPr>
        <w:pStyle w:val="Nadpis2"/>
      </w:pPr>
      <w:bookmarkStart w:id="13" w:name="_Ref97718675"/>
      <w:r w:rsidRPr="000D2AAE">
        <w:t>Objednatel zaplatí zhotoviteli na základě vystaven</w:t>
      </w:r>
      <w:r w:rsidR="00C90EF4">
        <w:t>é faktury</w:t>
      </w:r>
      <w:r w:rsidRPr="000D2AAE">
        <w:t xml:space="preserve"> částku až do výše 90 % celkové hodnoty díla dle čl. </w:t>
      </w:r>
      <w:r w:rsidR="00E72DE3">
        <w:fldChar w:fldCharType="begin"/>
      </w:r>
      <w:r w:rsidR="00E72DE3">
        <w:instrText xml:space="preserve"> REF _Ref97718147 \r \h </w:instrText>
      </w:r>
      <w:r w:rsidR="00E72DE3">
        <w:fldChar w:fldCharType="separate"/>
      </w:r>
      <w:r w:rsidR="00B67464">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B67464">
        <w:t>7.1</w:t>
      </w:r>
      <w:r w:rsidR="00E72DE3">
        <w:fldChar w:fldCharType="end"/>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3"/>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3D6FDA4E" w:rsidR="00FD7710" w:rsidRPr="00F33057" w:rsidRDefault="00612D4D" w:rsidP="000D2AAE">
      <w:pPr>
        <w:pStyle w:val="Nadpis2"/>
      </w:pPr>
      <w:bookmarkStart w:id="14" w:name="_Ref97718521"/>
      <w:r w:rsidRPr="00F33057">
        <w:lastRenderedPageBreak/>
        <w:t xml:space="preserve">Zhotovitel uhradí objednateli spotřebované energie, na které mu objednatel umožní napojení v souladu s čl. </w:t>
      </w:r>
      <w:r w:rsidR="00E72DE3" w:rsidRPr="00F33057">
        <w:fldChar w:fldCharType="begin"/>
      </w:r>
      <w:r w:rsidR="00E72DE3" w:rsidRPr="00F33057">
        <w:instrText xml:space="preserve"> REF _Ref97718493 \r \h </w:instrText>
      </w:r>
      <w:r w:rsidR="00E72DE3" w:rsidRPr="00F33057">
        <w:fldChar w:fldCharType="separate"/>
      </w:r>
      <w:r w:rsidR="00B67464">
        <w:t>10.3</w:t>
      </w:r>
      <w:r w:rsidR="00E72DE3" w:rsidRPr="00F33057">
        <w:fldChar w:fldCharType="end"/>
      </w:r>
      <w:r w:rsidR="0050711C" w:rsidRPr="00F33057">
        <w:t>.</w:t>
      </w:r>
      <w:r w:rsidRPr="00F33057">
        <w:t xml:space="preserve"> </w:t>
      </w:r>
      <w:r w:rsidR="00A92AB9" w:rsidRPr="00F33057">
        <w:t xml:space="preserve">Smlouvy </w:t>
      </w:r>
      <w:r w:rsidRPr="00F33057">
        <w:t>(elektrická energie, voda), na základě vyúčtování objednatele.</w:t>
      </w:r>
      <w:bookmarkEnd w:id="14"/>
    </w:p>
    <w:p w14:paraId="6E29FA7D" w14:textId="4C149FC8" w:rsidR="00FD7710" w:rsidRPr="00646856" w:rsidRDefault="00612D4D" w:rsidP="000D2AAE">
      <w:pPr>
        <w:pStyle w:val="Nadpis2"/>
      </w:pPr>
      <w:bookmarkStart w:id="15"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57AB5109" w:rsidR="00612D4D" w:rsidRPr="008833BC" w:rsidRDefault="00612D4D" w:rsidP="000D2AA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6" w:name="_Toc97796494"/>
      <w:r w:rsidRPr="000D2AAE">
        <w:t>ZÁRUKY</w:t>
      </w:r>
      <w:bookmarkEnd w:id="16"/>
    </w:p>
    <w:p w14:paraId="6ECD421A" w14:textId="25794E68" w:rsidR="002530EC" w:rsidRPr="00DA0ED3" w:rsidRDefault="002530EC" w:rsidP="002530EC">
      <w:pPr>
        <w:jc w:val="both"/>
        <w:rPr>
          <w:b/>
          <w:color w:val="FF0000"/>
        </w:rPr>
      </w:pPr>
      <w:r w:rsidRPr="00DA0ED3">
        <w:rPr>
          <w:b/>
        </w:rPr>
        <w:t>Záruky za řádné plnění:</w:t>
      </w:r>
    </w:p>
    <w:p w14:paraId="74C582E6" w14:textId="43C6F1D2" w:rsidR="002530EC" w:rsidRPr="00C81227" w:rsidRDefault="002530EC" w:rsidP="00C81227">
      <w:pPr>
        <w:pStyle w:val="Nadpis2"/>
        <w:rPr>
          <w:b/>
        </w:rPr>
      </w:pPr>
      <w:bookmarkStart w:id="17" w:name="_Ref97718375"/>
      <w:r w:rsidRPr="00C81227">
        <w:rPr>
          <w:b/>
        </w:rPr>
        <w:t>Závazek za řádné dokončení díla</w:t>
      </w:r>
      <w:bookmarkEnd w:id="17"/>
    </w:p>
    <w:p w14:paraId="583BA3D2" w14:textId="6EECD685" w:rsidR="002530EC" w:rsidRPr="00DA0ED3" w:rsidRDefault="002530EC" w:rsidP="002530EC">
      <w:pPr>
        <w:spacing w:before="240" w:after="0"/>
        <w:ind w:left="708"/>
        <w:jc w:val="both"/>
      </w:pPr>
      <w:r w:rsidRPr="00DA0ED3">
        <w:t xml:space="preserve">Objednatel má právo zadržet v souladu s čl. </w:t>
      </w:r>
      <w:r w:rsidR="00696FF1">
        <w:t xml:space="preserve">6.1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lastRenderedPageBreak/>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0324FA">
        <w:rPr>
          <w:b/>
        </w:rPr>
        <w:t>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8" w:name="_Toc97796495"/>
      <w:r w:rsidRPr="00C81227">
        <w:t>ODPOVĚDNOST ZA VADY</w:t>
      </w:r>
      <w:bookmarkEnd w:id="18"/>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05763D7"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B67464">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19" w:name="_Ref97720087"/>
      <w:r w:rsidRPr="00646856">
        <w:lastRenderedPageBreak/>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9"/>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0" w:name="_Toc97796496"/>
      <w:r w:rsidRPr="008833BC">
        <w:t>ODPOVĚDNOST ZA ŠKODU</w:t>
      </w:r>
      <w:bookmarkEnd w:id="20"/>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2A266B6D" w:rsidR="005E5A4A" w:rsidRPr="00F9173A" w:rsidRDefault="005E5A4A" w:rsidP="0010473F">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w:t>
      </w:r>
      <w:r w:rsidRPr="00F9173A">
        <w:t xml:space="preserve">Limit pojistného plnění je požadován ve výši </w:t>
      </w:r>
      <w:r w:rsidR="0010473F" w:rsidRPr="00F9173A">
        <w:t xml:space="preserve">min. </w:t>
      </w:r>
      <w:r w:rsidR="00C90EF4" w:rsidRPr="00F9173A">
        <w:t>2</w:t>
      </w:r>
      <w:r w:rsidR="0010473F" w:rsidRPr="00F9173A">
        <w:t xml:space="preserve"> 000 000,- Kč (</w:t>
      </w:r>
      <w:r w:rsidR="00F9173A" w:rsidRPr="00F9173A">
        <w:t>dva</w:t>
      </w:r>
      <w:r w:rsidR="0010473F" w:rsidRPr="00F9173A">
        <w:t xml:space="preserve"> miliony Kč).</w:t>
      </w:r>
    </w:p>
    <w:p w14:paraId="2EA2BF64" w14:textId="77777777" w:rsidR="00612D4D" w:rsidRPr="00C81227" w:rsidRDefault="00612D4D" w:rsidP="00C81227">
      <w:pPr>
        <w:pStyle w:val="Nadpis1"/>
      </w:pPr>
      <w:bookmarkStart w:id="21" w:name="_Toc97796497"/>
      <w:r w:rsidRPr="00C81227">
        <w:t>PRÁVA A POVINNOSTI OBJEDNATELE A ZHOTOVITELE</w:t>
      </w:r>
      <w:bookmarkEnd w:id="21"/>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A77A665" w:rsidR="00FF7384" w:rsidRDefault="00612D4D" w:rsidP="00C81227">
      <w:pPr>
        <w:pStyle w:val="Nadpis2"/>
      </w:pPr>
      <w:bookmarkStart w:id="22"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E72DE3">
        <w:fldChar w:fldCharType="begin"/>
      </w:r>
      <w:r w:rsidR="00E72DE3">
        <w:instrText xml:space="preserve"> REF _Ref97718521 \r \h </w:instrText>
      </w:r>
      <w:r w:rsidR="00E72DE3">
        <w:fldChar w:fldCharType="separate"/>
      </w:r>
      <w:r w:rsidR="00B67464">
        <w:t>6.13</w:t>
      </w:r>
      <w:r w:rsidR="00E72DE3">
        <w:fldChar w:fldCharType="end"/>
      </w:r>
      <w:r w:rsidRPr="00310A5C">
        <w:t>.</w:t>
      </w:r>
      <w:r w:rsidR="00EB067D" w:rsidRPr="00132513">
        <w:t xml:space="preserve"> Při </w:t>
      </w:r>
      <w:r w:rsidRPr="00132513">
        <w:t xml:space="preserve">ukončení díla bude provedeno </w:t>
      </w:r>
      <w:r w:rsidRPr="00F9173A">
        <w:t>vzájemné odsouhlasení odečtu spotřeby vody a el. energie, na jehož základě bude spotřeba objednateli zhotovitelem uhrazena</w:t>
      </w:r>
      <w:r w:rsidRPr="00132513">
        <w:t>.</w:t>
      </w:r>
      <w:bookmarkEnd w:id="22"/>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41415F8D" w:rsidR="00551CE3" w:rsidRDefault="00551CE3" w:rsidP="00C81227">
      <w:pPr>
        <w:pStyle w:val="Nadpis2"/>
      </w:pPr>
      <w:r w:rsidRPr="0097006F">
        <w:t xml:space="preserve">Zhotovitel je povinen po celou dobu  realizace díla poskytovat objednateli potřebnou součinnost v souvislosti s probíhajícím provozem v objektech školy a současně probíhajícími pracemi, které jsou </w:t>
      </w:r>
      <w:r w:rsidRPr="0097006F">
        <w:lastRenderedPageBreak/>
        <w:t>nezb</w:t>
      </w:r>
      <w:r>
        <w:t xml:space="preserve">ytné k řádnému dokončení díla. Stavební práce </w:t>
      </w:r>
      <w:r w:rsidR="00880A04">
        <w:t>mohou</w:t>
      </w:r>
      <w:r>
        <w:t xml:space="preserve"> probíhat i o víkendech a zejména o</w:t>
      </w:r>
      <w:r w:rsidR="000737D7">
        <w:t> </w:t>
      </w:r>
      <w:r>
        <w:t>školních prázdninách.</w:t>
      </w:r>
    </w:p>
    <w:p w14:paraId="3709139A" w14:textId="7558C65B" w:rsidR="000737D7" w:rsidRDefault="000737D7" w:rsidP="00C81227">
      <w:pPr>
        <w:pStyle w:val="Nadpis2"/>
      </w:pPr>
      <w:r w:rsidRPr="008833BC">
        <w:t xml:space="preserve">Zhotovitel bude plně respektovat </w:t>
      </w:r>
      <w:r w:rsidR="00EA41C2">
        <w:t xml:space="preserve">případný </w:t>
      </w:r>
      <w:r w:rsidRPr="008833BC">
        <w:t xml:space="preserve">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2A94D81C" w:rsidR="00FF7384" w:rsidRDefault="00612D4D" w:rsidP="00E651A9">
      <w:pPr>
        <w:pStyle w:val="Nadpis2"/>
      </w:pPr>
      <w:r w:rsidRPr="00646856">
        <w:t>Zhotovitel si zajistí na vlastní náklady veške</w:t>
      </w:r>
      <w:r w:rsidR="00A43F30">
        <w:t xml:space="preserve">rý stavební materiál na stavbu. </w:t>
      </w:r>
      <w:r w:rsidRPr="00646856">
        <w:t xml:space="preserve">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55650BD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7835C0">
        <w:t>objednateli</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6030C405" w:rsidR="0084504A" w:rsidRDefault="0084504A" w:rsidP="0084504A">
      <w:pPr>
        <w:pStyle w:val="Nadpis2"/>
      </w:pPr>
      <w:r>
        <w:t>Objednatel</w:t>
      </w:r>
      <w:r w:rsidRPr="00881500">
        <w:t xml:space="preserve"> si vyhradil v zadávacích podmínkách veře</w:t>
      </w:r>
      <w:r>
        <w:t xml:space="preserve">jné zakázky, konkrétně v </w:t>
      </w:r>
      <w:r w:rsidRPr="00144C16">
        <w:t>čl. 2.4</w:t>
      </w:r>
      <w:r w:rsidRPr="00881500">
        <w:t xml:space="preserve"> </w:t>
      </w:r>
      <w:r>
        <w:t>Výzvy k podání nabídek</w:t>
      </w:r>
      <w:r w:rsidRPr="00881500">
        <w:t xml:space="preserve">, </w:t>
      </w:r>
      <w:r w:rsidRPr="00696FF1">
        <w:t xml:space="preserve">změnu závazku ze smlouvy. </w:t>
      </w:r>
      <w:r>
        <w:t>Případná změna závazku se bude řídit tímto ustanovením Zadávací dokumentace nebo § 222 ZZVZ.</w:t>
      </w:r>
    </w:p>
    <w:p w14:paraId="2A3BDD75" w14:textId="77777777" w:rsidR="00B976A8" w:rsidRPr="00132513" w:rsidRDefault="00B976A8" w:rsidP="00AE5CB6">
      <w:pPr>
        <w:pStyle w:val="Nadpis1"/>
      </w:pPr>
      <w:bookmarkStart w:id="23" w:name="_Toc97796498"/>
      <w:r w:rsidRPr="00132513">
        <w:lastRenderedPageBreak/>
        <w:t>VEDENÍ STAVEBNÍHO DENÍKU</w:t>
      </w:r>
      <w:bookmarkEnd w:id="23"/>
    </w:p>
    <w:p w14:paraId="770622B0" w14:textId="028CCC56" w:rsidR="00DF2D96" w:rsidRDefault="00DF2D96" w:rsidP="00E651A9">
      <w:pPr>
        <w:pStyle w:val="Nadpis2"/>
      </w:pPr>
      <w:r w:rsidRPr="00310A5C">
        <w:t xml:space="preserve">Zhotovitel </w:t>
      </w:r>
      <w:r w:rsidRPr="00132513">
        <w:t>je povinen vést řádně, srozumitelně a dostatečně podrobně stavební deník</w:t>
      </w:r>
      <w:r w:rsidR="002E0BAF">
        <w:t xml:space="preserve"> v souladu s platnými právními předpisy.</w:t>
      </w:r>
      <w:r w:rsidRPr="00132513">
        <w:t xml:space="preserve"> </w:t>
      </w:r>
    </w:p>
    <w:p w14:paraId="416DC0A9" w14:textId="4BF0A5ED" w:rsidR="00DF2D96" w:rsidRPr="00132513" w:rsidRDefault="00DF2D96" w:rsidP="00E651A9">
      <w:pPr>
        <w:pStyle w:val="Nadpis2"/>
      </w:pPr>
      <w:r w:rsidRPr="00646856">
        <w:t xml:space="preserve">Do stavebního deníku je zhotovitel povinen kromě jiného zapisovat veškeré změny oproti schválené projektové dokumentaci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4" w:name="_Toc97796499"/>
      <w:r w:rsidRPr="008833BC">
        <w:t>PŘERUŠENÍ PRACÍ NA DÍLE</w:t>
      </w:r>
      <w:bookmarkEnd w:id="24"/>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5" w:name="_Toc97796500"/>
      <w:r w:rsidRPr="008833BC">
        <w:t>PROVÁDĚNÍ KONTROL</w:t>
      </w:r>
      <w:bookmarkEnd w:id="25"/>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6" w:name="_Toc97796501"/>
      <w:r w:rsidRPr="008833BC">
        <w:t>VLASTNICTVÍ DÍLA</w:t>
      </w:r>
      <w:bookmarkEnd w:id="26"/>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7" w:name="_Toc97796502"/>
      <w:r w:rsidRPr="008833BC">
        <w:lastRenderedPageBreak/>
        <w:t>SANKCE</w:t>
      </w:r>
      <w:bookmarkEnd w:id="27"/>
    </w:p>
    <w:p w14:paraId="6ECD493B" w14:textId="3C9DF0EB"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B67464">
        <w:t>16</w:t>
      </w:r>
      <w:r w:rsidR="00D33984">
        <w:fldChar w:fldCharType="end"/>
      </w:r>
      <w:r w:rsidRPr="002426F2">
        <w:t>. této smlouvy.</w:t>
      </w:r>
    </w:p>
    <w:p w14:paraId="238635DE" w14:textId="61CF3471" w:rsidR="009525DA" w:rsidRDefault="009525DA" w:rsidP="00E651A9">
      <w:pPr>
        <w:pStyle w:val="Nadpis2"/>
      </w:pPr>
      <w:r w:rsidRPr="007F369C">
        <w:t xml:space="preserve">Pokud zhotovitel nezahájí realizaci díla nejpozději do patnácti (15) kalendářních dnů od předání staveniště, objednatel </w:t>
      </w:r>
      <w:r w:rsidRPr="002426F2">
        <w:t>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B67464">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E51BE5">
        <w:t>bez DPH,</w:t>
      </w:r>
      <w:r w:rsidRPr="00132513">
        <w:t xml:space="preserve"> vč.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2B5EDA2" w:rsidR="00DF2D96" w:rsidRDefault="00612D4D" w:rsidP="00E651A9">
      <w:pPr>
        <w:pStyle w:val="Nadpis2"/>
      </w:pPr>
      <w:r w:rsidRPr="00646856">
        <w:t>Pokud zhotovitel nedodrží sjednaný termín pro odstranění uznané</w:t>
      </w:r>
      <w:r w:rsidR="00382673" w:rsidRPr="00646856">
        <w:t xml:space="preserve"> reklamované vady (</w:t>
      </w:r>
      <w:r w:rsidR="00382673" w:rsidRPr="00696FF1">
        <w:t xml:space="preserve">dle </w:t>
      </w:r>
      <w:r w:rsidR="0050711C" w:rsidRPr="00696FF1">
        <w:t>čl</w:t>
      </w:r>
      <w:r w:rsidR="00382673" w:rsidRPr="00696FF1">
        <w:t xml:space="preserve">. </w:t>
      </w:r>
      <w:r w:rsidR="00A21A3E" w:rsidRPr="00696FF1">
        <w:fldChar w:fldCharType="begin"/>
      </w:r>
      <w:r w:rsidR="00A21A3E" w:rsidRPr="00696FF1">
        <w:instrText xml:space="preserve"> REF _Ref97720087 \r \h </w:instrText>
      </w:r>
      <w:r w:rsidR="00A21A3E" w:rsidRPr="00696FF1">
        <w:fldChar w:fldCharType="separate"/>
      </w:r>
      <w:r w:rsidR="00B67464">
        <w:t>8.6</w:t>
      </w:r>
      <w:r w:rsidR="00A21A3E" w:rsidRPr="00696FF1">
        <w:fldChar w:fldCharType="end"/>
      </w:r>
      <w:r w:rsidR="0050711C" w:rsidRPr="00696FF1">
        <w:t>.</w:t>
      </w:r>
      <w:r w:rsidRPr="00696FF1">
        <w:t xml:space="preserve">), </w:t>
      </w:r>
      <w:r w:rsidRPr="00646856">
        <w:t xml:space="preserve">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53ECE7D8" w:rsidR="004843B3" w:rsidRDefault="004843B3" w:rsidP="00E651A9">
      <w:pPr>
        <w:pStyle w:val="Nadpis2"/>
      </w:pPr>
      <w:r w:rsidRPr="004843B3">
        <w:t>Při porušení povinnosti zhotovitele zajištění odborného vedení stavby</w:t>
      </w:r>
      <w:r w:rsidR="0041765C">
        <w:t xml:space="preserve"> odborně způsobilou osobou</w:t>
      </w:r>
      <w:r w:rsidRPr="004843B3">
        <w:t>,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w:t>
      </w:r>
      <w:r w:rsidR="0041765C">
        <w:t>pov</w:t>
      </w:r>
      <w:r w:rsidR="006E03ED">
        <w:t>ě</w:t>
      </w:r>
      <w:r w:rsidR="0041765C">
        <w:t>řenou vedením stavby</w:t>
      </w:r>
      <w:r w:rsidRPr="004843B3">
        <w:t>, technického dozoru stavebníka,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7A3C5A36" w:rsidR="00DF2D96" w:rsidRDefault="00612D4D" w:rsidP="00E651A9">
      <w:pPr>
        <w:pStyle w:val="Nadpis2"/>
      </w:pPr>
      <w:r w:rsidRPr="00132513">
        <w:lastRenderedPageBreak/>
        <w:t>Objednatel je oprávněn uplatnit více smluvních pokut samostatně vedle sebe v případě porušení více povinností.</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8" w:name="_Ref97718829"/>
      <w:bookmarkStart w:id="29" w:name="_Toc97796503"/>
      <w:r w:rsidRPr="00646856">
        <w:t>UKONČENÍ</w:t>
      </w:r>
      <w:r w:rsidR="00612D4D" w:rsidRPr="008833BC">
        <w:t xml:space="preserve"> SMLOUVY</w:t>
      </w:r>
      <w:bookmarkEnd w:id="28"/>
      <w:bookmarkEnd w:id="29"/>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0" w:name="_Ref97721769"/>
      <w:r w:rsidRPr="00050D05">
        <w:t>Smluvní strana je oprávněna Smlouvu vypovědět s okamžitou platností, pokud:</w:t>
      </w:r>
      <w:bookmarkEnd w:id="30"/>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DD52A4">
      <w:pPr>
        <w:pStyle w:val="Nadpis2"/>
      </w:pPr>
      <w:bookmarkStart w:id="31" w:name="_Ref9772180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1"/>
    </w:p>
    <w:p w14:paraId="6247A9FF" w14:textId="33C00D29"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w:t>
      </w:r>
      <w:proofErr w:type="gramStart"/>
      <w:r w:rsidR="005F1EA6" w:rsidRPr="004C6515">
        <w:t>v  čl.</w:t>
      </w:r>
      <w:proofErr w:type="gramEnd"/>
      <w:r w:rsidR="005F1EA6" w:rsidRPr="004C6515">
        <w:t xml:space="preserve"> </w:t>
      </w:r>
      <w:r w:rsidR="00C25A0B">
        <w:fldChar w:fldCharType="begin"/>
      </w:r>
      <w:r w:rsidR="00C25A0B">
        <w:instrText xml:space="preserve"> REF _Ref97711350 \r \h </w:instrText>
      </w:r>
      <w:r w:rsidR="00C25A0B">
        <w:fldChar w:fldCharType="separate"/>
      </w:r>
      <w:r w:rsidR="00B67464">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2"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2"/>
    </w:p>
    <w:p w14:paraId="7FA9A966" w14:textId="61BED21D" w:rsidR="00FD19D3" w:rsidRDefault="00612D4D" w:rsidP="00DD52A4">
      <w:pPr>
        <w:pStyle w:val="Nadpis3"/>
      </w:pPr>
      <w:bookmarkStart w:id="33" w:name="_Ref97721854"/>
      <w:r w:rsidRPr="004C6515">
        <w:lastRenderedPageBreak/>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B67464">
        <w:t>5</w:t>
      </w:r>
      <w:r w:rsidR="00C25A0B">
        <w:fldChar w:fldCharType="end"/>
      </w:r>
      <w:r w:rsidR="00F9414C" w:rsidRPr="004C6515">
        <w:t xml:space="preserve"> </w:t>
      </w:r>
      <w:r w:rsidR="005F1EA6" w:rsidRPr="004C6515">
        <w:t>této S</w:t>
      </w:r>
      <w:r w:rsidRPr="004C6515">
        <w:t>mlouvy;</w:t>
      </w:r>
      <w:bookmarkEnd w:id="33"/>
    </w:p>
    <w:p w14:paraId="7F01401A" w14:textId="6F712803" w:rsidR="00FD19D3" w:rsidRDefault="00612D4D" w:rsidP="00DD52A4">
      <w:pPr>
        <w:pStyle w:val="Nadpis3"/>
      </w:pPr>
      <w:bookmarkStart w:id="34"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4"/>
    </w:p>
    <w:p w14:paraId="68575E88" w14:textId="77777777" w:rsidR="00FD19D3" w:rsidRDefault="00612D4D" w:rsidP="00DD52A4">
      <w:pPr>
        <w:pStyle w:val="Nadpis3"/>
      </w:pPr>
      <w:bookmarkStart w:id="35" w:name="_Ref97721864"/>
      <w:r w:rsidRPr="004C6515">
        <w:t>ze zákonem stanovených důvodů.</w:t>
      </w:r>
      <w:bookmarkEnd w:id="35"/>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6" w:name="_Toc97796504"/>
      <w:r w:rsidRPr="008833BC">
        <w:t>KOMUNIKACE MEZI SMLUVNÍMI STRANAMI</w:t>
      </w:r>
      <w:bookmarkEnd w:id="36"/>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053A5116" w:rsidR="00FD19D3" w:rsidRPr="009527D3" w:rsidRDefault="00FD19D3" w:rsidP="004C6515">
            <w:pPr>
              <w:rPr>
                <w:sz w:val="22"/>
                <w:szCs w:val="22"/>
              </w:rPr>
            </w:pP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29455A69" w:rsidR="00FD19D3" w:rsidRPr="009527D3" w:rsidRDefault="00FD19D3" w:rsidP="004C6515">
            <w:pPr>
              <w:rPr>
                <w:sz w:val="22"/>
                <w:szCs w:val="22"/>
              </w:rPr>
            </w:pP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64AA486E" w:rsidR="00FD19D3" w:rsidRPr="003B4CBA" w:rsidRDefault="00FD19D3" w:rsidP="004C6515">
            <w:pPr>
              <w:rPr>
                <w:sz w:val="22"/>
                <w:szCs w:val="22"/>
              </w:rPr>
            </w:pP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73A99F71" w:rsidR="00FD19D3" w:rsidRPr="009527D3" w:rsidRDefault="00FD19D3" w:rsidP="004C6515">
            <w:pPr>
              <w:rPr>
                <w:sz w:val="22"/>
                <w:szCs w:val="22"/>
              </w:rPr>
            </w:pP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4D569914" w:rsidR="00FD19D3" w:rsidRPr="009527D3" w:rsidRDefault="00FD19D3" w:rsidP="004C6515">
            <w:pPr>
              <w:rPr>
                <w:sz w:val="22"/>
                <w:szCs w:val="22"/>
              </w:rPr>
            </w:pP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0E3B64D1"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17976385" w:rsidR="00FD19D3" w:rsidRPr="009527D3" w:rsidRDefault="00FD19D3" w:rsidP="004C6515">
            <w:pPr>
              <w:rPr>
                <w:sz w:val="22"/>
                <w:szCs w:val="22"/>
              </w:rPr>
            </w:pPr>
          </w:p>
        </w:tc>
      </w:tr>
      <w:tr w:rsidR="00FD19D3" w:rsidRPr="009527D3" w14:paraId="6E2BA63E" w14:textId="77777777" w:rsidTr="00E676F8">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25D1A4A2" w:rsidR="00FD19D3" w:rsidRPr="009527D3" w:rsidRDefault="00FD19D3" w:rsidP="004C6515">
            <w:pPr>
              <w:rPr>
                <w:sz w:val="22"/>
                <w:szCs w:val="22"/>
              </w:rPr>
            </w:pPr>
          </w:p>
        </w:tc>
      </w:tr>
      <w:tr w:rsidR="00FD19D3" w:rsidRPr="009527D3" w14:paraId="1525AF21" w14:textId="77777777" w:rsidTr="00E676F8">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76A5A0FB" w:rsidR="00FD19D3" w:rsidRPr="009527D3" w:rsidRDefault="00FD19D3" w:rsidP="004C6515">
            <w:pPr>
              <w:rPr>
                <w:sz w:val="22"/>
                <w:szCs w:val="22"/>
              </w:rPr>
            </w:pP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4B1DBDFC" w:rsidR="00FD19D3" w:rsidRPr="009527D3" w:rsidRDefault="00FD19D3" w:rsidP="004C6515">
            <w:pPr>
              <w:rPr>
                <w:sz w:val="22"/>
                <w:szCs w:val="22"/>
              </w:rPr>
            </w:pP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4F0E4FAD" w:rsidR="00FD19D3" w:rsidRPr="009527D3" w:rsidRDefault="00FD19D3" w:rsidP="004C6515">
            <w:pPr>
              <w:rPr>
                <w:sz w:val="22"/>
                <w:szCs w:val="22"/>
              </w:rPr>
            </w:pP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73138599"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lastRenderedPageBreak/>
              <w:t>za objednatele:</w:t>
            </w:r>
          </w:p>
        </w:tc>
        <w:tc>
          <w:tcPr>
            <w:tcW w:w="4275" w:type="dxa"/>
            <w:shd w:val="clear" w:color="auto" w:fill="auto"/>
          </w:tcPr>
          <w:p w14:paraId="2C52DFD3" w14:textId="4EF9320C" w:rsidR="00FD19D3" w:rsidRPr="006B5A3F" w:rsidRDefault="00FD19D3" w:rsidP="004C6515">
            <w:pPr>
              <w:rPr>
                <w:iCs/>
                <w:sz w:val="22"/>
                <w:szCs w:val="22"/>
              </w:rPr>
            </w:pPr>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4901CCC0" w:rsidR="00FD19D3" w:rsidRPr="006B5A3F" w:rsidRDefault="00FD19D3" w:rsidP="004C6515">
            <w:pPr>
              <w:rPr>
                <w:iCs/>
                <w:sz w:val="22"/>
                <w:szCs w:val="22"/>
              </w:rPr>
            </w:pPr>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6518CC25" w:rsidR="00FD19D3" w:rsidRPr="006B5A3F" w:rsidRDefault="00FD19D3" w:rsidP="004C6515">
            <w:pPr>
              <w:rPr>
                <w:iCs/>
                <w:sz w:val="22"/>
                <w:szCs w:val="22"/>
              </w:rPr>
            </w:pPr>
          </w:p>
        </w:tc>
      </w:tr>
    </w:tbl>
    <w:p w14:paraId="2884A219" w14:textId="77777777" w:rsidR="00FD19D3" w:rsidRPr="009527D3" w:rsidRDefault="00FD19D3" w:rsidP="004C6515">
      <w:pPr>
        <w:rPr>
          <w:szCs w:val="22"/>
        </w:rPr>
      </w:pPr>
    </w:p>
    <w:p w14:paraId="2249C575" w14:textId="452C3BA5" w:rsidR="00FD19D3" w:rsidRDefault="00FD19D3" w:rsidP="00FD19D3">
      <w:pPr>
        <w:ind w:left="4678"/>
      </w:pPr>
    </w:p>
    <w:p w14:paraId="3664081B" w14:textId="77777777" w:rsidR="00FD19D3" w:rsidRDefault="00AD7D59" w:rsidP="00DD52A4">
      <w:pPr>
        <w:pStyle w:val="Nadpis2"/>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7" w:name="_Toc97796505"/>
      <w:r w:rsidRPr="008833BC">
        <w:t>ZÁVĚREČNÁ UJEDNÁNÍ</w:t>
      </w:r>
      <w:bookmarkEnd w:id="37"/>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7ECA3A88" w:rsidR="006B663B" w:rsidRDefault="006B663B" w:rsidP="00696FF1">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čl. </w:t>
      </w:r>
      <w:r w:rsidR="00696FF1">
        <w:t xml:space="preserve">6.1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 xml:space="preserve">ZZVZ. Zpracování těchto osobních údajů je nezbytné pro splnění právní povinnosti správce, tedy </w:t>
      </w:r>
      <w:r w:rsidRPr="00132513">
        <w:lastRenderedPageBreak/>
        <w:t>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16D5E6D4" w14:textId="04A5102F" w:rsidR="00612D4D" w:rsidRPr="00A22562" w:rsidRDefault="006A4CCB" w:rsidP="004C6515">
      <w:pPr>
        <w:rPr>
          <w:b/>
        </w:rPr>
      </w:pPr>
      <w:r>
        <w:rPr>
          <w:b/>
        </w:rPr>
        <w:br/>
      </w:r>
      <w:r>
        <w:rPr>
          <w:b/>
        </w:rPr>
        <w:br/>
      </w:r>
      <w:r>
        <w:rPr>
          <w:b/>
        </w:rPr>
        <w:br/>
      </w:r>
      <w:r>
        <w:rPr>
          <w:b/>
        </w:rPr>
        <w:br/>
      </w:r>
      <w:r w:rsidR="005F1EA6" w:rsidRPr="00A22562">
        <w:rPr>
          <w:b/>
        </w:rPr>
        <w:t>Přílohy ke S</w:t>
      </w:r>
      <w:r w:rsidR="00612D4D" w:rsidRPr="00A22562">
        <w:rPr>
          <w:b/>
        </w:rPr>
        <w:t>mlouvě:</w:t>
      </w:r>
    </w:p>
    <w:p w14:paraId="27CDED3E" w14:textId="3B86B9C1" w:rsidR="00A22562" w:rsidRDefault="00A22562" w:rsidP="00A22562">
      <w:r w:rsidRPr="006A4CCB">
        <w:t xml:space="preserve">Příloha č. 1 – rozpočet v souladu s nabídkou dodavatele </w:t>
      </w:r>
      <w:r>
        <w:t>(krycí list rozpočtu a</w:t>
      </w:r>
      <w:r w:rsidR="00FA0F0B">
        <w:t xml:space="preserve"> výkaz výměr</w:t>
      </w:r>
      <w:r>
        <w:t xml:space="preserve">) </w:t>
      </w:r>
    </w:p>
    <w:p w14:paraId="27050C0A" w14:textId="037D1C61" w:rsidR="00612D4D" w:rsidRPr="004C6515" w:rsidRDefault="00612D4D" w:rsidP="004C6515">
      <w:pPr>
        <w:rPr>
          <w:highlight w:val="yellow"/>
        </w:rPr>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02FAD6BC" w14:textId="180B07AB" w:rsidR="00612D4D" w:rsidRPr="009527D3" w:rsidRDefault="006A4CCB" w:rsidP="004C6515">
            <w:pPr>
              <w:rPr>
                <w:sz w:val="22"/>
                <w:szCs w:val="22"/>
              </w:rPr>
            </w:pPr>
            <w:r>
              <w:rPr>
                <w:sz w:val="22"/>
                <w:szCs w:val="22"/>
              </w:rPr>
              <w:t>V</w:t>
            </w:r>
            <w:r w:rsidR="00A22562">
              <w:rPr>
                <w:sz w:val="22"/>
                <w:szCs w:val="22"/>
              </w:rPr>
              <w:t xml:space="preserve"> Sušici</w:t>
            </w:r>
          </w:p>
          <w:p w14:paraId="6C0C95FA" w14:textId="77777777" w:rsidR="00612D4D" w:rsidRDefault="00612D4D" w:rsidP="004C6515">
            <w:pPr>
              <w:rPr>
                <w:sz w:val="22"/>
                <w:szCs w:val="22"/>
              </w:rPr>
            </w:pPr>
          </w:p>
          <w:p w14:paraId="09CFD3D4" w14:textId="77777777" w:rsidR="00A22562" w:rsidRDefault="00A22562" w:rsidP="004C6515">
            <w:pPr>
              <w:rPr>
                <w:sz w:val="22"/>
                <w:szCs w:val="22"/>
              </w:rPr>
            </w:pPr>
          </w:p>
          <w:p w14:paraId="04FE26EA" w14:textId="6ABDEF5F" w:rsidR="00A22562" w:rsidRPr="009527D3" w:rsidRDefault="00A22562" w:rsidP="004C6515">
            <w:pPr>
              <w:rPr>
                <w:sz w:val="22"/>
                <w:szCs w:val="22"/>
              </w:rPr>
            </w:pPr>
            <w:r>
              <w:rPr>
                <w:sz w:val="22"/>
                <w:szCs w:val="22"/>
              </w:rPr>
              <w:t>……………………………………..</w:t>
            </w:r>
          </w:p>
          <w:p w14:paraId="39E2940E" w14:textId="6C1F55AE" w:rsidR="00612D4D" w:rsidRPr="008A3C8B" w:rsidRDefault="008A3C8B" w:rsidP="004C6515">
            <w:pPr>
              <w:rPr>
                <w:b/>
                <w:sz w:val="22"/>
                <w:szCs w:val="22"/>
              </w:rPr>
            </w:pPr>
            <w:r w:rsidRPr="008A3C8B">
              <w:rPr>
                <w:b/>
                <w:sz w:val="22"/>
                <w:szCs w:val="22"/>
              </w:rPr>
              <w:t xml:space="preserve">Ing. Jaromír Kolář </w:t>
            </w:r>
          </w:p>
          <w:p w14:paraId="4456ADC9" w14:textId="5A533E83" w:rsidR="00612D4D" w:rsidRPr="009527D3" w:rsidRDefault="008A3C8B" w:rsidP="004C6515">
            <w:pPr>
              <w:rPr>
                <w:sz w:val="22"/>
                <w:szCs w:val="22"/>
              </w:rPr>
            </w:pPr>
            <w:r>
              <w:rPr>
                <w:sz w:val="22"/>
                <w:szCs w:val="22"/>
              </w:rPr>
              <w:t>ředitel</w:t>
            </w:r>
          </w:p>
          <w:p w14:paraId="113BAF4C" w14:textId="05EB2715" w:rsidR="00612D4D" w:rsidRPr="008A3C8B" w:rsidRDefault="008A3C8B" w:rsidP="004C6515">
            <w:pPr>
              <w:rPr>
                <w:sz w:val="22"/>
                <w:szCs w:val="22"/>
              </w:rPr>
            </w:pPr>
            <w:r w:rsidRPr="008A3C8B">
              <w:rPr>
                <w:sz w:val="22"/>
                <w:szCs w:val="22"/>
              </w:rPr>
              <w:t>Střední odborná škola a Střední odborné učiliště, Sušice, U Kapličky761</w:t>
            </w: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5D87E93A" w14:textId="6ED465FE" w:rsidR="00612D4D" w:rsidRPr="009527D3" w:rsidRDefault="006A4CCB" w:rsidP="00DD52A4">
            <w:pPr>
              <w:ind w:right="-260"/>
              <w:rPr>
                <w:sz w:val="22"/>
                <w:szCs w:val="22"/>
              </w:rPr>
            </w:pPr>
            <w:r>
              <w:rPr>
                <w:sz w:val="22"/>
                <w:szCs w:val="22"/>
              </w:rPr>
              <w:t>V</w:t>
            </w:r>
            <w:r w:rsidR="00612D4D" w:rsidRPr="009527D3">
              <w:rPr>
                <w:sz w:val="22"/>
                <w:szCs w:val="22"/>
              </w:rPr>
              <w:t xml:space="preserve"> </w:t>
            </w:r>
            <w:r w:rsidR="000E4956">
              <w:rPr>
                <w:sz w:val="22"/>
                <w:szCs w:val="22"/>
              </w:rPr>
              <w:t>Sušici</w:t>
            </w:r>
          </w:p>
          <w:p w14:paraId="420B4424" w14:textId="77777777" w:rsidR="00612D4D" w:rsidRDefault="00612D4D" w:rsidP="004C6515">
            <w:pPr>
              <w:rPr>
                <w:sz w:val="22"/>
                <w:szCs w:val="22"/>
              </w:rPr>
            </w:pPr>
          </w:p>
          <w:p w14:paraId="252789A5" w14:textId="77777777" w:rsidR="00A22562" w:rsidRDefault="00A22562" w:rsidP="004C6515">
            <w:pPr>
              <w:rPr>
                <w:sz w:val="22"/>
                <w:szCs w:val="22"/>
              </w:rPr>
            </w:pPr>
          </w:p>
          <w:p w14:paraId="78D83FFA" w14:textId="1F442BBA" w:rsidR="00A22562" w:rsidRPr="009527D3" w:rsidRDefault="00A22562" w:rsidP="004C6515">
            <w:pPr>
              <w:rPr>
                <w:sz w:val="22"/>
                <w:szCs w:val="22"/>
              </w:rPr>
            </w:pPr>
            <w:r w:rsidRPr="00A22562">
              <w:rPr>
                <w:sz w:val="22"/>
                <w:szCs w:val="22"/>
              </w:rPr>
              <w:t>……………………………………..</w:t>
            </w:r>
          </w:p>
          <w:p w14:paraId="4541EC66" w14:textId="604D7B5C" w:rsidR="00612D4D" w:rsidRPr="009527D3" w:rsidRDefault="000E4956" w:rsidP="004C6515">
            <w:pPr>
              <w:rPr>
                <w:sz w:val="22"/>
                <w:szCs w:val="22"/>
              </w:rPr>
            </w:pPr>
            <w:r>
              <w:rPr>
                <w:sz w:val="22"/>
                <w:szCs w:val="22"/>
              </w:rPr>
              <w:t>Petr Diviš</w:t>
            </w:r>
          </w:p>
          <w:p w14:paraId="0D16DE4C" w14:textId="443339ED" w:rsidR="00612D4D" w:rsidRPr="009527D3" w:rsidRDefault="000E4956" w:rsidP="004C6515">
            <w:pPr>
              <w:rPr>
                <w:sz w:val="22"/>
                <w:szCs w:val="22"/>
              </w:rPr>
            </w:pPr>
            <w:r>
              <w:rPr>
                <w:sz w:val="22"/>
                <w:szCs w:val="22"/>
              </w:rPr>
              <w:t>jednatel</w:t>
            </w:r>
          </w:p>
          <w:p w14:paraId="5300508C" w14:textId="22510494" w:rsidR="00612D4D" w:rsidRPr="009527D3" w:rsidRDefault="000E4956" w:rsidP="004C6515">
            <w:pPr>
              <w:rPr>
                <w:sz w:val="22"/>
                <w:szCs w:val="22"/>
              </w:rPr>
            </w:pPr>
            <w:r>
              <w:rPr>
                <w:sz w:val="22"/>
                <w:szCs w:val="22"/>
              </w:rPr>
              <w:t>„SUŠICKÁ STAVEBNÍ,</w:t>
            </w:r>
            <w:r w:rsidR="00594A41">
              <w:rPr>
                <w:sz w:val="22"/>
                <w:szCs w:val="22"/>
              </w:rPr>
              <w:t xml:space="preserve"> </w:t>
            </w:r>
            <w:r>
              <w:rPr>
                <w:sz w:val="22"/>
                <w:szCs w:val="22"/>
              </w:rPr>
              <w:t>s.r.o.“</w:t>
            </w:r>
          </w:p>
          <w:p w14:paraId="15C7AFB5" w14:textId="77777777" w:rsidR="00612D4D" w:rsidRPr="009527D3" w:rsidRDefault="00612D4D" w:rsidP="004C6515">
            <w:pPr>
              <w:rPr>
                <w:sz w:val="22"/>
                <w:szCs w:val="22"/>
              </w:rPr>
            </w:pPr>
            <w:r w:rsidRPr="009527D3">
              <w:rPr>
                <w:sz w:val="22"/>
                <w:szCs w:val="22"/>
              </w:rPr>
              <w:t>za zhotovitele</w:t>
            </w:r>
          </w:p>
          <w:p w14:paraId="28AC63C2" w14:textId="5CACA67F" w:rsidR="00612D4D" w:rsidRPr="009527D3" w:rsidRDefault="000E4956" w:rsidP="004C6515">
            <w:pPr>
              <w:rPr>
                <w:sz w:val="22"/>
                <w:szCs w:val="22"/>
              </w:rPr>
            </w:pPr>
            <w:r>
              <w:rPr>
                <w:sz w:val="22"/>
                <w:szCs w:val="22"/>
              </w:rPr>
              <w:t xml:space="preserve">                      </w:t>
            </w:r>
          </w:p>
        </w:tc>
      </w:tr>
      <w:tr w:rsidR="00594A41" w:rsidRPr="008833BC" w14:paraId="3F45AB96" w14:textId="77777777" w:rsidTr="006D083E">
        <w:trPr>
          <w:trHeight w:val="1568"/>
        </w:trPr>
        <w:tc>
          <w:tcPr>
            <w:tcW w:w="4536" w:type="dxa"/>
          </w:tcPr>
          <w:p w14:paraId="06519667" w14:textId="65AC5704" w:rsidR="00594A41" w:rsidRDefault="00594A41" w:rsidP="00594A41">
            <w:pPr>
              <w:rPr>
                <w:szCs w:val="22"/>
              </w:rPr>
            </w:pPr>
          </w:p>
        </w:tc>
        <w:tc>
          <w:tcPr>
            <w:tcW w:w="5103" w:type="dxa"/>
          </w:tcPr>
          <w:p w14:paraId="0303AE63" w14:textId="77777777" w:rsidR="00594A41" w:rsidRDefault="00594A41" w:rsidP="00DD52A4">
            <w:pPr>
              <w:ind w:right="-260"/>
              <w:rPr>
                <w:szCs w:val="22"/>
              </w:rPr>
            </w:pPr>
          </w:p>
        </w:tc>
      </w:tr>
    </w:tbl>
    <w:p w14:paraId="0ADAD8AF" w14:textId="77777777" w:rsidR="00612D4D" w:rsidRPr="008833BC" w:rsidRDefault="00612D4D" w:rsidP="006D083E"/>
    <w:sectPr w:rsidR="00612D4D" w:rsidRPr="008833BC" w:rsidSect="00AF2333">
      <w:headerReference w:type="default" r:id="rId8"/>
      <w:footerReference w:type="default" r:id="rId9"/>
      <w:headerReference w:type="first" r:id="rId10"/>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69EB" w14:textId="77777777" w:rsidR="00BC066E" w:rsidRDefault="00BC066E" w:rsidP="005C54F7">
      <w:pPr>
        <w:spacing w:after="0"/>
      </w:pPr>
      <w:r>
        <w:separator/>
      </w:r>
    </w:p>
    <w:p w14:paraId="173F5070" w14:textId="77777777" w:rsidR="00BC066E" w:rsidRDefault="00BC066E"/>
  </w:endnote>
  <w:endnote w:type="continuationSeparator" w:id="0">
    <w:p w14:paraId="060AC102" w14:textId="77777777" w:rsidR="00BC066E" w:rsidRDefault="00BC066E" w:rsidP="005C54F7">
      <w:pPr>
        <w:spacing w:after="0"/>
      </w:pPr>
      <w:r>
        <w:continuationSeparator/>
      </w:r>
    </w:p>
    <w:p w14:paraId="659B21B2" w14:textId="77777777" w:rsidR="00BC066E" w:rsidRDefault="00BC0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896B15" w:rsidRDefault="00896B15">
            <w:pPr>
              <w:pStyle w:val="Zpat"/>
              <w:jc w:val="right"/>
            </w:pPr>
            <w:r>
              <w:t xml:space="preserve">Stránka </w:t>
            </w:r>
            <w:r>
              <w:rPr>
                <w:b/>
                <w:bCs/>
                <w:sz w:val="24"/>
              </w:rPr>
              <w:fldChar w:fldCharType="begin"/>
            </w:r>
            <w:r>
              <w:rPr>
                <w:b/>
                <w:bCs/>
              </w:rPr>
              <w:instrText>PAGE</w:instrText>
            </w:r>
            <w:r>
              <w:rPr>
                <w:b/>
                <w:bCs/>
                <w:sz w:val="24"/>
              </w:rPr>
              <w:fldChar w:fldCharType="separate"/>
            </w:r>
            <w:r w:rsidR="002F3C4E">
              <w:rPr>
                <w:b/>
                <w:bCs/>
                <w:noProof/>
              </w:rPr>
              <w:t>11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2F3C4E">
              <w:rPr>
                <w:b/>
                <w:bCs/>
                <w:noProof/>
              </w:rPr>
              <w:t>18</w:t>
            </w:r>
            <w:r>
              <w:rPr>
                <w:b/>
                <w:bCs/>
                <w:sz w:val="24"/>
              </w:rPr>
              <w:fldChar w:fldCharType="end"/>
            </w:r>
          </w:p>
        </w:sdtContent>
      </w:sdt>
    </w:sdtContent>
  </w:sdt>
  <w:p w14:paraId="33EA6A4C" w14:textId="77777777" w:rsidR="00896B15" w:rsidRDefault="00896B15">
    <w:pPr>
      <w:pStyle w:val="Zpat"/>
    </w:pPr>
  </w:p>
  <w:p w14:paraId="0F4CA4A5" w14:textId="77777777" w:rsidR="00896B15" w:rsidRDefault="00896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DE7A" w14:textId="77777777" w:rsidR="00BC066E" w:rsidRDefault="00BC066E" w:rsidP="005C54F7">
      <w:pPr>
        <w:spacing w:after="0"/>
      </w:pPr>
      <w:r>
        <w:separator/>
      </w:r>
    </w:p>
    <w:p w14:paraId="6267D3FF" w14:textId="77777777" w:rsidR="00BC066E" w:rsidRDefault="00BC066E"/>
  </w:footnote>
  <w:footnote w:type="continuationSeparator" w:id="0">
    <w:p w14:paraId="6B2354CA" w14:textId="77777777" w:rsidR="00BC066E" w:rsidRDefault="00BC066E" w:rsidP="005C54F7">
      <w:pPr>
        <w:spacing w:after="0"/>
      </w:pPr>
      <w:r>
        <w:continuationSeparator/>
      </w:r>
    </w:p>
    <w:p w14:paraId="4578AC70" w14:textId="77777777" w:rsidR="00BC066E" w:rsidRDefault="00BC0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3291" w14:textId="7F8BF8D3" w:rsidR="00896B15" w:rsidRPr="009C33CC" w:rsidRDefault="00896B15" w:rsidP="00EB13B1">
    <w:pPr>
      <w:pStyle w:val="Zhlav"/>
      <w:jc w:val="center"/>
    </w:pPr>
    <w:r>
      <w:tab/>
    </w:r>
    <w:r>
      <w:tab/>
    </w:r>
  </w:p>
  <w:p w14:paraId="5835C936" w14:textId="77777777" w:rsidR="00896B15" w:rsidRDefault="00896B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AE72" w14:textId="3DE109F1" w:rsidR="00896B15" w:rsidRPr="0057231A" w:rsidRDefault="00896B15" w:rsidP="00933466">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1966427071">
    <w:abstractNumId w:val="0"/>
  </w:num>
  <w:num w:numId="2" w16cid:durableId="1449010810">
    <w:abstractNumId w:val="1"/>
  </w:num>
  <w:num w:numId="3" w16cid:durableId="230698489">
    <w:abstractNumId w:val="3"/>
  </w:num>
  <w:num w:numId="4" w16cid:durableId="1920213113">
    <w:abstractNumId w:val="2"/>
  </w:num>
  <w:num w:numId="5" w16cid:durableId="389309329">
    <w:abstractNumId w:val="4"/>
  </w:num>
  <w:num w:numId="6" w16cid:durableId="404298320">
    <w:abstractNumId w:val="3"/>
    <w:lvlOverride w:ilvl="0">
      <w:startOverride w:val="1"/>
    </w:lvlOverride>
  </w:num>
  <w:num w:numId="7" w16cid:durableId="1561207281">
    <w:abstractNumId w:val="3"/>
    <w:lvlOverride w:ilvl="0">
      <w:startOverride w:val="1"/>
    </w:lvlOverride>
  </w:num>
  <w:num w:numId="8" w16cid:durableId="911357240">
    <w:abstractNumId w:val="3"/>
    <w:lvlOverride w:ilvl="0">
      <w:startOverride w:val="1"/>
    </w:lvlOverride>
  </w:num>
  <w:num w:numId="9" w16cid:durableId="953025002">
    <w:abstractNumId w:val="3"/>
    <w:lvlOverride w:ilvl="0">
      <w:startOverride w:val="1"/>
    </w:lvlOverride>
  </w:num>
  <w:num w:numId="10" w16cid:durableId="2107453803">
    <w:abstractNumId w:val="3"/>
    <w:lvlOverride w:ilvl="0">
      <w:startOverride w:val="1"/>
    </w:lvlOverride>
  </w:num>
  <w:num w:numId="11" w16cid:durableId="77347710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4D"/>
    <w:rsid w:val="000001CA"/>
    <w:rsid w:val="00002D9C"/>
    <w:rsid w:val="00003CC0"/>
    <w:rsid w:val="00003EDA"/>
    <w:rsid w:val="00023289"/>
    <w:rsid w:val="000324FA"/>
    <w:rsid w:val="000330C7"/>
    <w:rsid w:val="00035273"/>
    <w:rsid w:val="00041102"/>
    <w:rsid w:val="00055938"/>
    <w:rsid w:val="00062E2B"/>
    <w:rsid w:val="00072082"/>
    <w:rsid w:val="000737D7"/>
    <w:rsid w:val="000870A3"/>
    <w:rsid w:val="000900B7"/>
    <w:rsid w:val="00091425"/>
    <w:rsid w:val="0009167E"/>
    <w:rsid w:val="000A5E45"/>
    <w:rsid w:val="000A7C68"/>
    <w:rsid w:val="000B2D5E"/>
    <w:rsid w:val="000B5F5B"/>
    <w:rsid w:val="000B6844"/>
    <w:rsid w:val="000C3861"/>
    <w:rsid w:val="000C3CF6"/>
    <w:rsid w:val="000D2AAE"/>
    <w:rsid w:val="000E08FD"/>
    <w:rsid w:val="000E13E2"/>
    <w:rsid w:val="000E4956"/>
    <w:rsid w:val="000E7921"/>
    <w:rsid w:val="000F0E9F"/>
    <w:rsid w:val="000F271E"/>
    <w:rsid w:val="000F4285"/>
    <w:rsid w:val="001023DD"/>
    <w:rsid w:val="0010473F"/>
    <w:rsid w:val="001079BA"/>
    <w:rsid w:val="001204AB"/>
    <w:rsid w:val="001276F5"/>
    <w:rsid w:val="00132513"/>
    <w:rsid w:val="00144C16"/>
    <w:rsid w:val="00182488"/>
    <w:rsid w:val="00183BBC"/>
    <w:rsid w:val="00186DCE"/>
    <w:rsid w:val="00190269"/>
    <w:rsid w:val="0019753B"/>
    <w:rsid w:val="001A1665"/>
    <w:rsid w:val="001B62F1"/>
    <w:rsid w:val="001B7DFC"/>
    <w:rsid w:val="001C1B29"/>
    <w:rsid w:val="001E5723"/>
    <w:rsid w:val="001F1024"/>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78F"/>
    <w:rsid w:val="002559C7"/>
    <w:rsid w:val="00255D2E"/>
    <w:rsid w:val="00256E43"/>
    <w:rsid w:val="00261484"/>
    <w:rsid w:val="00262A1B"/>
    <w:rsid w:val="002632AD"/>
    <w:rsid w:val="00264202"/>
    <w:rsid w:val="002710BC"/>
    <w:rsid w:val="00285669"/>
    <w:rsid w:val="00290FA0"/>
    <w:rsid w:val="002A17E7"/>
    <w:rsid w:val="002A23E4"/>
    <w:rsid w:val="002A77C4"/>
    <w:rsid w:val="002B6375"/>
    <w:rsid w:val="002C5450"/>
    <w:rsid w:val="002C73A6"/>
    <w:rsid w:val="002D2CA8"/>
    <w:rsid w:val="002E0BAF"/>
    <w:rsid w:val="002F3C4E"/>
    <w:rsid w:val="003009F1"/>
    <w:rsid w:val="00303134"/>
    <w:rsid w:val="00310A5C"/>
    <w:rsid w:val="00312948"/>
    <w:rsid w:val="00321E12"/>
    <w:rsid w:val="003361C4"/>
    <w:rsid w:val="003422C1"/>
    <w:rsid w:val="00356D67"/>
    <w:rsid w:val="0036551B"/>
    <w:rsid w:val="00375EE5"/>
    <w:rsid w:val="003767B5"/>
    <w:rsid w:val="00376D3F"/>
    <w:rsid w:val="00380962"/>
    <w:rsid w:val="00381D99"/>
    <w:rsid w:val="00382673"/>
    <w:rsid w:val="00383D4C"/>
    <w:rsid w:val="003A5BB0"/>
    <w:rsid w:val="003B4CBA"/>
    <w:rsid w:val="003B4D7B"/>
    <w:rsid w:val="003D382A"/>
    <w:rsid w:val="003D58CA"/>
    <w:rsid w:val="003E6F5D"/>
    <w:rsid w:val="003F39C5"/>
    <w:rsid w:val="00402F7C"/>
    <w:rsid w:val="004042DE"/>
    <w:rsid w:val="00410D36"/>
    <w:rsid w:val="0041765C"/>
    <w:rsid w:val="00417D19"/>
    <w:rsid w:val="00422A68"/>
    <w:rsid w:val="00423180"/>
    <w:rsid w:val="004231D2"/>
    <w:rsid w:val="00424414"/>
    <w:rsid w:val="004329EB"/>
    <w:rsid w:val="00436BCC"/>
    <w:rsid w:val="00440F4D"/>
    <w:rsid w:val="004434EB"/>
    <w:rsid w:val="00444C94"/>
    <w:rsid w:val="0044653C"/>
    <w:rsid w:val="00454345"/>
    <w:rsid w:val="00461173"/>
    <w:rsid w:val="00463742"/>
    <w:rsid w:val="0046438C"/>
    <w:rsid w:val="0046590D"/>
    <w:rsid w:val="00471AFB"/>
    <w:rsid w:val="00474E27"/>
    <w:rsid w:val="004843B3"/>
    <w:rsid w:val="00486CF6"/>
    <w:rsid w:val="00493F8E"/>
    <w:rsid w:val="00496E52"/>
    <w:rsid w:val="00497194"/>
    <w:rsid w:val="00497F82"/>
    <w:rsid w:val="004A6D62"/>
    <w:rsid w:val="004B7B43"/>
    <w:rsid w:val="004C16CC"/>
    <w:rsid w:val="004C6515"/>
    <w:rsid w:val="004C7205"/>
    <w:rsid w:val="004D7F9A"/>
    <w:rsid w:val="004E102E"/>
    <w:rsid w:val="004F74AE"/>
    <w:rsid w:val="00502FD5"/>
    <w:rsid w:val="00504316"/>
    <w:rsid w:val="0050711C"/>
    <w:rsid w:val="00512B4E"/>
    <w:rsid w:val="005139D2"/>
    <w:rsid w:val="00521765"/>
    <w:rsid w:val="00522DE7"/>
    <w:rsid w:val="00532ADA"/>
    <w:rsid w:val="00540C57"/>
    <w:rsid w:val="00542437"/>
    <w:rsid w:val="005508F4"/>
    <w:rsid w:val="00551CE3"/>
    <w:rsid w:val="00556CEC"/>
    <w:rsid w:val="00557A89"/>
    <w:rsid w:val="0057231A"/>
    <w:rsid w:val="00574F0A"/>
    <w:rsid w:val="00580CBA"/>
    <w:rsid w:val="005875BE"/>
    <w:rsid w:val="005919F5"/>
    <w:rsid w:val="00594A41"/>
    <w:rsid w:val="005A3696"/>
    <w:rsid w:val="005A4019"/>
    <w:rsid w:val="005B4D4A"/>
    <w:rsid w:val="005B551A"/>
    <w:rsid w:val="005B691F"/>
    <w:rsid w:val="005C4DAA"/>
    <w:rsid w:val="005C54F7"/>
    <w:rsid w:val="005D2684"/>
    <w:rsid w:val="005E5A4A"/>
    <w:rsid w:val="005F1EA6"/>
    <w:rsid w:val="00612D4D"/>
    <w:rsid w:val="006137FB"/>
    <w:rsid w:val="00615E1C"/>
    <w:rsid w:val="0063461C"/>
    <w:rsid w:val="00634B2A"/>
    <w:rsid w:val="00646856"/>
    <w:rsid w:val="00663FBC"/>
    <w:rsid w:val="00665B5E"/>
    <w:rsid w:val="00673576"/>
    <w:rsid w:val="006806AE"/>
    <w:rsid w:val="006853D3"/>
    <w:rsid w:val="0069138C"/>
    <w:rsid w:val="00696096"/>
    <w:rsid w:val="00696FF1"/>
    <w:rsid w:val="006A4CCB"/>
    <w:rsid w:val="006A7909"/>
    <w:rsid w:val="006B44BD"/>
    <w:rsid w:val="006B4571"/>
    <w:rsid w:val="006B5A3F"/>
    <w:rsid w:val="006B663B"/>
    <w:rsid w:val="006C4AC0"/>
    <w:rsid w:val="006C5E3F"/>
    <w:rsid w:val="006D083E"/>
    <w:rsid w:val="006D26AE"/>
    <w:rsid w:val="006D51A3"/>
    <w:rsid w:val="006E03ED"/>
    <w:rsid w:val="006E2D7A"/>
    <w:rsid w:val="006E6F1E"/>
    <w:rsid w:val="006F0ECA"/>
    <w:rsid w:val="006F4C75"/>
    <w:rsid w:val="0070642B"/>
    <w:rsid w:val="0072536D"/>
    <w:rsid w:val="00731F4A"/>
    <w:rsid w:val="00742A09"/>
    <w:rsid w:val="00745A52"/>
    <w:rsid w:val="00762113"/>
    <w:rsid w:val="0077427D"/>
    <w:rsid w:val="007835C0"/>
    <w:rsid w:val="007A6275"/>
    <w:rsid w:val="007B59A2"/>
    <w:rsid w:val="007C611D"/>
    <w:rsid w:val="007D2262"/>
    <w:rsid w:val="007D3576"/>
    <w:rsid w:val="007D3BB6"/>
    <w:rsid w:val="007E32A6"/>
    <w:rsid w:val="007F369C"/>
    <w:rsid w:val="007F7C36"/>
    <w:rsid w:val="00800CEB"/>
    <w:rsid w:val="008056AE"/>
    <w:rsid w:val="00807964"/>
    <w:rsid w:val="00815C93"/>
    <w:rsid w:val="00815FD1"/>
    <w:rsid w:val="00820EA8"/>
    <w:rsid w:val="00821CF1"/>
    <w:rsid w:val="00825BF2"/>
    <w:rsid w:val="00840B98"/>
    <w:rsid w:val="0084504A"/>
    <w:rsid w:val="00853CF2"/>
    <w:rsid w:val="008577F0"/>
    <w:rsid w:val="00862A35"/>
    <w:rsid w:val="00862B25"/>
    <w:rsid w:val="00862BFF"/>
    <w:rsid w:val="00871866"/>
    <w:rsid w:val="00874153"/>
    <w:rsid w:val="00880A04"/>
    <w:rsid w:val="00882B91"/>
    <w:rsid w:val="008833BC"/>
    <w:rsid w:val="008869AB"/>
    <w:rsid w:val="00891C8A"/>
    <w:rsid w:val="00893FF2"/>
    <w:rsid w:val="00894D66"/>
    <w:rsid w:val="0089534A"/>
    <w:rsid w:val="00896B15"/>
    <w:rsid w:val="008A19E9"/>
    <w:rsid w:val="008A3BAB"/>
    <w:rsid w:val="008A3C8B"/>
    <w:rsid w:val="008A40FF"/>
    <w:rsid w:val="008B1349"/>
    <w:rsid w:val="008C2BEA"/>
    <w:rsid w:val="008C371A"/>
    <w:rsid w:val="008D58B2"/>
    <w:rsid w:val="008D62D7"/>
    <w:rsid w:val="008F57E0"/>
    <w:rsid w:val="008F7CFB"/>
    <w:rsid w:val="00903F6C"/>
    <w:rsid w:val="009127EE"/>
    <w:rsid w:val="0091290E"/>
    <w:rsid w:val="00920AF3"/>
    <w:rsid w:val="00927764"/>
    <w:rsid w:val="0093131B"/>
    <w:rsid w:val="00932A83"/>
    <w:rsid w:val="00933466"/>
    <w:rsid w:val="009415F2"/>
    <w:rsid w:val="009525DA"/>
    <w:rsid w:val="009527D3"/>
    <w:rsid w:val="00954EFF"/>
    <w:rsid w:val="009562E2"/>
    <w:rsid w:val="0096100C"/>
    <w:rsid w:val="00963051"/>
    <w:rsid w:val="0096334D"/>
    <w:rsid w:val="00973660"/>
    <w:rsid w:val="00992E91"/>
    <w:rsid w:val="00996B0C"/>
    <w:rsid w:val="009A212B"/>
    <w:rsid w:val="009B6DCB"/>
    <w:rsid w:val="009C2373"/>
    <w:rsid w:val="009C33CC"/>
    <w:rsid w:val="009C638D"/>
    <w:rsid w:val="009D0A04"/>
    <w:rsid w:val="009E01CA"/>
    <w:rsid w:val="009E04B6"/>
    <w:rsid w:val="009E23E0"/>
    <w:rsid w:val="009F2EA5"/>
    <w:rsid w:val="009F3FFA"/>
    <w:rsid w:val="009F4463"/>
    <w:rsid w:val="00A01B86"/>
    <w:rsid w:val="00A14B6A"/>
    <w:rsid w:val="00A21A3E"/>
    <w:rsid w:val="00A22562"/>
    <w:rsid w:val="00A27F03"/>
    <w:rsid w:val="00A34A20"/>
    <w:rsid w:val="00A43F30"/>
    <w:rsid w:val="00A45134"/>
    <w:rsid w:val="00A45E7E"/>
    <w:rsid w:val="00A52956"/>
    <w:rsid w:val="00A553C7"/>
    <w:rsid w:val="00A576BD"/>
    <w:rsid w:val="00A60F7C"/>
    <w:rsid w:val="00A61D1D"/>
    <w:rsid w:val="00A64571"/>
    <w:rsid w:val="00A7195D"/>
    <w:rsid w:val="00A75E84"/>
    <w:rsid w:val="00A800CE"/>
    <w:rsid w:val="00A81E18"/>
    <w:rsid w:val="00A82DCC"/>
    <w:rsid w:val="00A83786"/>
    <w:rsid w:val="00A846B5"/>
    <w:rsid w:val="00A8598A"/>
    <w:rsid w:val="00A905C8"/>
    <w:rsid w:val="00A9299D"/>
    <w:rsid w:val="00A92AB9"/>
    <w:rsid w:val="00A9642B"/>
    <w:rsid w:val="00AA02B0"/>
    <w:rsid w:val="00AB7A0D"/>
    <w:rsid w:val="00AC51E3"/>
    <w:rsid w:val="00AC5BBE"/>
    <w:rsid w:val="00AD2D83"/>
    <w:rsid w:val="00AD3F8B"/>
    <w:rsid w:val="00AD7D59"/>
    <w:rsid w:val="00AE391A"/>
    <w:rsid w:val="00AE5CB6"/>
    <w:rsid w:val="00AF1836"/>
    <w:rsid w:val="00AF2333"/>
    <w:rsid w:val="00AF6739"/>
    <w:rsid w:val="00B04A0E"/>
    <w:rsid w:val="00B6188F"/>
    <w:rsid w:val="00B62D87"/>
    <w:rsid w:val="00B63D42"/>
    <w:rsid w:val="00B67464"/>
    <w:rsid w:val="00B67A2B"/>
    <w:rsid w:val="00B9086C"/>
    <w:rsid w:val="00B94889"/>
    <w:rsid w:val="00B96284"/>
    <w:rsid w:val="00B976A8"/>
    <w:rsid w:val="00BA01F2"/>
    <w:rsid w:val="00BA5590"/>
    <w:rsid w:val="00BB1C6E"/>
    <w:rsid w:val="00BC066E"/>
    <w:rsid w:val="00BE17EB"/>
    <w:rsid w:val="00BE5884"/>
    <w:rsid w:val="00BF4AB2"/>
    <w:rsid w:val="00C05552"/>
    <w:rsid w:val="00C10004"/>
    <w:rsid w:val="00C10A4C"/>
    <w:rsid w:val="00C124E2"/>
    <w:rsid w:val="00C14FCF"/>
    <w:rsid w:val="00C163F6"/>
    <w:rsid w:val="00C21D1D"/>
    <w:rsid w:val="00C25A0B"/>
    <w:rsid w:val="00C2650A"/>
    <w:rsid w:val="00C27213"/>
    <w:rsid w:val="00C442C2"/>
    <w:rsid w:val="00C47F48"/>
    <w:rsid w:val="00C51AC8"/>
    <w:rsid w:val="00C7189C"/>
    <w:rsid w:val="00C81227"/>
    <w:rsid w:val="00C82758"/>
    <w:rsid w:val="00C90EF4"/>
    <w:rsid w:val="00C95A2B"/>
    <w:rsid w:val="00C97D15"/>
    <w:rsid w:val="00CA5847"/>
    <w:rsid w:val="00CB03DE"/>
    <w:rsid w:val="00CC0DF3"/>
    <w:rsid w:val="00CC32E1"/>
    <w:rsid w:val="00CC563A"/>
    <w:rsid w:val="00CC7AF5"/>
    <w:rsid w:val="00CD1385"/>
    <w:rsid w:val="00CD453B"/>
    <w:rsid w:val="00CD76C5"/>
    <w:rsid w:val="00CE4B33"/>
    <w:rsid w:val="00CE5B81"/>
    <w:rsid w:val="00D02218"/>
    <w:rsid w:val="00D05892"/>
    <w:rsid w:val="00D17091"/>
    <w:rsid w:val="00D171A1"/>
    <w:rsid w:val="00D2156F"/>
    <w:rsid w:val="00D23BA9"/>
    <w:rsid w:val="00D24BC6"/>
    <w:rsid w:val="00D33984"/>
    <w:rsid w:val="00D4244B"/>
    <w:rsid w:val="00D44E76"/>
    <w:rsid w:val="00D50C25"/>
    <w:rsid w:val="00D51492"/>
    <w:rsid w:val="00D576B1"/>
    <w:rsid w:val="00D666A1"/>
    <w:rsid w:val="00D67D10"/>
    <w:rsid w:val="00D712C3"/>
    <w:rsid w:val="00D72B27"/>
    <w:rsid w:val="00D752E3"/>
    <w:rsid w:val="00D801A4"/>
    <w:rsid w:val="00DA67B3"/>
    <w:rsid w:val="00DA6CD4"/>
    <w:rsid w:val="00DC1E88"/>
    <w:rsid w:val="00DC52D5"/>
    <w:rsid w:val="00DD1AD7"/>
    <w:rsid w:val="00DD52A4"/>
    <w:rsid w:val="00DD5554"/>
    <w:rsid w:val="00DD6E77"/>
    <w:rsid w:val="00DF15FA"/>
    <w:rsid w:val="00DF2D96"/>
    <w:rsid w:val="00DF67EF"/>
    <w:rsid w:val="00E0193D"/>
    <w:rsid w:val="00E05271"/>
    <w:rsid w:val="00E1662D"/>
    <w:rsid w:val="00E20CEA"/>
    <w:rsid w:val="00E2266C"/>
    <w:rsid w:val="00E27F61"/>
    <w:rsid w:val="00E374B0"/>
    <w:rsid w:val="00E51BE5"/>
    <w:rsid w:val="00E61E30"/>
    <w:rsid w:val="00E6224A"/>
    <w:rsid w:val="00E651A9"/>
    <w:rsid w:val="00E676F8"/>
    <w:rsid w:val="00E70785"/>
    <w:rsid w:val="00E719CB"/>
    <w:rsid w:val="00E7263A"/>
    <w:rsid w:val="00E72DE3"/>
    <w:rsid w:val="00E81402"/>
    <w:rsid w:val="00EA207C"/>
    <w:rsid w:val="00EA41C2"/>
    <w:rsid w:val="00EB038C"/>
    <w:rsid w:val="00EB067D"/>
    <w:rsid w:val="00EB13B1"/>
    <w:rsid w:val="00EB4D87"/>
    <w:rsid w:val="00EC7681"/>
    <w:rsid w:val="00ED74FC"/>
    <w:rsid w:val="00EE505E"/>
    <w:rsid w:val="00EF0EBA"/>
    <w:rsid w:val="00F0362A"/>
    <w:rsid w:val="00F12E91"/>
    <w:rsid w:val="00F14D03"/>
    <w:rsid w:val="00F165B9"/>
    <w:rsid w:val="00F20A94"/>
    <w:rsid w:val="00F33057"/>
    <w:rsid w:val="00F340C2"/>
    <w:rsid w:val="00F46A00"/>
    <w:rsid w:val="00F55014"/>
    <w:rsid w:val="00F621BD"/>
    <w:rsid w:val="00F63EC1"/>
    <w:rsid w:val="00F717D8"/>
    <w:rsid w:val="00F849E9"/>
    <w:rsid w:val="00F91363"/>
    <w:rsid w:val="00F9173A"/>
    <w:rsid w:val="00F9414C"/>
    <w:rsid w:val="00FA01F1"/>
    <w:rsid w:val="00FA0F0B"/>
    <w:rsid w:val="00FA54DB"/>
    <w:rsid w:val="00FA60FA"/>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79E415"/>
  <w15:docId w15:val="{DBE71540-EB43-4CE7-89C1-FE74955C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table" w:customStyle="1" w:styleId="Mkatabulky1">
    <w:name w:val="Mřížka tabulky1"/>
    <w:basedOn w:val="Normlntabulka"/>
    <w:next w:val="Mkatabulky"/>
    <w:uiPriority w:val="39"/>
    <w:rsid w:val="000A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BC24-317C-46C6-A94A-BED7E1DA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7281</Words>
  <Characters>42958</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Ježabek</dc:creator>
  <cp:lastModifiedBy>Pavla Holmanová, Ing.</cp:lastModifiedBy>
  <cp:revision>2</cp:revision>
  <cp:lastPrinted>2025-06-23T06:04:00Z</cp:lastPrinted>
  <dcterms:created xsi:type="dcterms:W3CDTF">2025-06-23T06:45:00Z</dcterms:created>
  <dcterms:modified xsi:type="dcterms:W3CDTF">2025-06-23T06:45:00Z</dcterms:modified>
</cp:coreProperties>
</file>