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2DC0" w14:textId="17E37860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831A87">
        <w:rPr>
          <w:spacing w:val="0"/>
          <w:kern w:val="0"/>
          <w:sz w:val="24"/>
          <w:szCs w:val="24"/>
        </w:rPr>
        <w:t>1</w:t>
      </w:r>
    </w:p>
    <w:p w14:paraId="2E2E395D" w14:textId="4ECD917E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31A87">
        <w:rPr>
          <w:spacing w:val="0"/>
          <w:kern w:val="0"/>
          <w:sz w:val="24"/>
          <w:szCs w:val="24"/>
        </w:rPr>
        <w:t>15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37E92F88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8D23C1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07D14841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1699C08A" w14:textId="77777777" w:rsidR="00831A87" w:rsidRDefault="00831A87" w:rsidP="00831A87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Konsorcium Tekies a COPS</w:t>
      </w:r>
    </w:p>
    <w:p w14:paraId="237C3B03" w14:textId="77777777" w:rsidR="00831A87" w:rsidRPr="00022068" w:rsidRDefault="00831A87" w:rsidP="00831A87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r w:rsidRPr="00022068">
        <w:rPr>
          <w:rFonts w:cs="Arial"/>
          <w:b/>
          <w:bCs/>
          <w:szCs w:val="20"/>
        </w:rPr>
        <w:t>Tekies s.r.o.</w:t>
      </w:r>
      <w:bookmarkEnd w:id="2"/>
    </w:p>
    <w:p w14:paraId="6FF0A380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7DBD554A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637DF862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72AEB538" w14:textId="5C6918EB" w:rsidR="00831A87" w:rsidRDefault="00831A87" w:rsidP="00831A87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721BC0" w:rsidRPr="00721BC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36B1B95" w14:textId="2BB6AE0E" w:rsidR="00831A87" w:rsidRDefault="00831A87" w:rsidP="00831A87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721BC0" w:rsidRPr="00721BC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F0DEEE2" w14:textId="40C415D0" w:rsidR="00831A87" w:rsidRPr="00022068" w:rsidRDefault="00831A87" w:rsidP="00831A87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846C2B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846C2B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846C2B">
        <w:rPr>
          <w:rFonts w:cs="Arial"/>
          <w:szCs w:val="20"/>
        </w:rPr>
        <w:t>em</w:t>
      </w:r>
    </w:p>
    <w:p w14:paraId="44922014" w14:textId="77777777" w:rsidR="00831A87" w:rsidRPr="00022068" w:rsidRDefault="00831A87" w:rsidP="00831A87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34E58026" w14:textId="77777777" w:rsidR="00831A87" w:rsidRPr="00022068" w:rsidRDefault="00831A87" w:rsidP="00831A87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286973CC" w14:textId="653BA863" w:rsidR="00831A87" w:rsidRPr="00C85B9C" w:rsidRDefault="00831A87" w:rsidP="00C85B9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85B9C">
        <w:rPr>
          <w:rFonts w:ascii="Arial" w:hAnsi="Arial" w:cs="Arial"/>
          <w:b/>
          <w:bCs/>
          <w:sz w:val="20"/>
          <w:szCs w:val="20"/>
        </w:rPr>
        <w:t>Poskytovatel:</w:t>
      </w:r>
      <w:r w:rsidRPr="00C85B9C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C85B9C">
        <w:rPr>
          <w:rFonts w:ascii="Arial" w:hAnsi="Arial" w:cs="Arial"/>
          <w:b/>
          <w:bCs/>
          <w:sz w:val="20"/>
          <w:szCs w:val="20"/>
        </w:rPr>
        <w:tab/>
      </w:r>
      <w:bookmarkStart w:id="3" w:name="_Hlk138757758"/>
      <w:r w:rsidR="00C85B9C" w:rsidRPr="00C85B9C">
        <w:rPr>
          <w:rFonts w:ascii="Arial" w:hAnsi="Arial" w:cs="Arial"/>
          <w:b/>
          <w:bCs/>
          <w:color w:val="000000"/>
          <w:sz w:val="20"/>
          <w:szCs w:val="20"/>
        </w:rPr>
        <w:t xml:space="preserve">COPS </w:t>
      </w:r>
      <w:proofErr w:type="spellStart"/>
      <w:r w:rsidR="00C85B9C" w:rsidRPr="00C85B9C">
        <w:rPr>
          <w:rFonts w:ascii="Arial" w:hAnsi="Arial" w:cs="Arial"/>
          <w:b/>
          <w:bCs/>
          <w:color w:val="000000"/>
          <w:sz w:val="20"/>
          <w:szCs w:val="20"/>
        </w:rPr>
        <w:t>Solutions</w:t>
      </w:r>
      <w:proofErr w:type="spellEnd"/>
      <w:r w:rsidR="00C85B9C" w:rsidRPr="00C85B9C"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  <w:r w:rsidR="00C85B9C" w:rsidRPr="00C85B9C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2"/>
      </w:r>
      <w:r w:rsidR="00C85B9C" w:rsidRPr="00C85B9C">
        <w:rPr>
          <w:rFonts w:ascii="Arial" w:hAnsi="Arial" w:cs="Arial"/>
          <w:color w:val="000000"/>
          <w:sz w:val="20"/>
          <w:szCs w:val="20"/>
        </w:rPr>
        <w:br/>
      </w:r>
      <w:bookmarkEnd w:id="3"/>
      <w:r w:rsidRPr="00C85B9C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="00C85B9C" w:rsidRPr="00C85B9C">
        <w:rPr>
          <w:rFonts w:ascii="Arial" w:hAnsi="Arial" w:cs="Arial"/>
          <w:color w:val="000000"/>
          <w:sz w:val="20"/>
          <w:szCs w:val="20"/>
        </w:rPr>
        <w:t>Thámova 16, 186 00 Praha 8, Karlín</w:t>
      </w:r>
      <w:r w:rsidR="00C85B9C" w:rsidRPr="00C85B9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08C242F" w14:textId="77777777" w:rsidR="00831A87" w:rsidRPr="00C85B9C" w:rsidRDefault="00831A87" w:rsidP="00C85B9C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IČO: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62913883</w:t>
      </w:r>
      <w:r w:rsidRPr="00C85B9C">
        <w:rPr>
          <w:rFonts w:cs="Arial"/>
          <w:bCs/>
          <w:color w:val="000000"/>
          <w:szCs w:val="20"/>
        </w:rPr>
        <w:tab/>
      </w:r>
    </w:p>
    <w:p w14:paraId="4B551F6D" w14:textId="77777777" w:rsidR="00831A87" w:rsidRPr="00C85B9C" w:rsidRDefault="00831A87" w:rsidP="00C85B9C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DIČ: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CZ62913883</w:t>
      </w:r>
    </w:p>
    <w:p w14:paraId="1BA37849" w14:textId="26640C54" w:rsidR="00831A87" w:rsidRPr="00C85B9C" w:rsidRDefault="00831A87" w:rsidP="00C85B9C">
      <w:pPr>
        <w:spacing w:after="0"/>
        <w:jc w:val="both"/>
        <w:rPr>
          <w:rFonts w:eastAsia="Arial" w:cs="Arial"/>
          <w:szCs w:val="20"/>
        </w:rPr>
      </w:pPr>
      <w:r w:rsidRPr="00C85B9C">
        <w:rPr>
          <w:rFonts w:eastAsia="Arial" w:cs="Arial"/>
          <w:szCs w:val="20"/>
        </w:rPr>
        <w:t xml:space="preserve">bankovní spojení: </w:t>
      </w:r>
      <w:r w:rsidRPr="00C85B9C">
        <w:rPr>
          <w:rFonts w:eastAsia="Arial" w:cs="Arial"/>
          <w:szCs w:val="20"/>
        </w:rPr>
        <w:tab/>
      </w:r>
      <w:r w:rsidR="00721BC0" w:rsidRPr="00721BC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94A3A45" w14:textId="095692A8" w:rsidR="00831A87" w:rsidRPr="00C85B9C" w:rsidRDefault="00831A87" w:rsidP="00831A87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C85B9C">
        <w:rPr>
          <w:rFonts w:cs="Arial"/>
          <w:bCs/>
          <w:color w:val="000000"/>
          <w:szCs w:val="20"/>
        </w:rPr>
        <w:t>zastoupen: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  <w:t>Ondřej</w:t>
      </w:r>
      <w:r w:rsidR="00846C2B" w:rsidRPr="00C85B9C">
        <w:rPr>
          <w:rFonts w:cs="Arial"/>
          <w:bCs/>
          <w:color w:val="000000"/>
          <w:szCs w:val="20"/>
        </w:rPr>
        <w:t>em</w:t>
      </w:r>
      <w:r w:rsidRPr="00C85B9C">
        <w:rPr>
          <w:rFonts w:cs="Arial"/>
          <w:bCs/>
          <w:color w:val="000000"/>
          <w:szCs w:val="20"/>
        </w:rPr>
        <w:t xml:space="preserve"> Dvořák</w:t>
      </w:r>
      <w:r w:rsidR="00846C2B" w:rsidRPr="00C85B9C">
        <w:rPr>
          <w:rFonts w:cs="Arial"/>
          <w:bCs/>
          <w:color w:val="000000"/>
          <w:szCs w:val="20"/>
        </w:rPr>
        <w:t>em</w:t>
      </w:r>
      <w:r w:rsidRPr="00C85B9C">
        <w:rPr>
          <w:rFonts w:cs="Arial"/>
          <w:bCs/>
          <w:color w:val="000000"/>
          <w:szCs w:val="20"/>
        </w:rPr>
        <w:t>, Ph.D., jednatel</w:t>
      </w:r>
      <w:r w:rsidR="00846C2B" w:rsidRPr="00C85B9C">
        <w:rPr>
          <w:rFonts w:cs="Arial"/>
          <w:bCs/>
          <w:color w:val="000000"/>
          <w:szCs w:val="20"/>
        </w:rPr>
        <w:t>em</w:t>
      </w:r>
    </w:p>
    <w:p w14:paraId="5FAA5A48" w14:textId="77777777" w:rsidR="00831A87" w:rsidRPr="00022068" w:rsidRDefault="00831A87" w:rsidP="00831A87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2556679B" w14:textId="77777777" w:rsidR="00831A87" w:rsidRPr="00A16B28" w:rsidRDefault="00831A87" w:rsidP="00831A87">
      <w:pPr>
        <w:spacing w:before="120" w:after="0" w:line="280" w:lineRule="atLeast"/>
        <w:rPr>
          <w:rFonts w:cs="Arial"/>
          <w:bCs/>
          <w:szCs w:val="20"/>
        </w:rPr>
      </w:pPr>
      <w:r w:rsidRPr="00A16B28">
        <w:rPr>
          <w:rFonts w:cs="Arial"/>
          <w:iCs/>
          <w:szCs w:val="20"/>
        </w:rPr>
        <w:t>(</w:t>
      </w:r>
      <w:r w:rsidRPr="00A16B28">
        <w:rPr>
          <w:rFonts w:cs="Arial"/>
          <w:szCs w:val="20"/>
        </w:rPr>
        <w:t xml:space="preserve">dále </w:t>
      </w:r>
      <w:r w:rsidRPr="00A16B28">
        <w:rPr>
          <w:rFonts w:cs="Arial"/>
          <w:bCs/>
          <w:szCs w:val="20"/>
        </w:rPr>
        <w:t xml:space="preserve">jen </w:t>
      </w:r>
      <w:r w:rsidRPr="00A16B28">
        <w:rPr>
          <w:rFonts w:cs="Arial"/>
          <w:b/>
          <w:szCs w:val="20"/>
        </w:rPr>
        <w:t>„Poskytovatel“</w:t>
      </w:r>
      <w:r w:rsidRPr="00A16B28">
        <w:rPr>
          <w:rFonts w:cs="Arial"/>
          <w:bCs/>
          <w:szCs w:val="20"/>
        </w:rPr>
        <w:t>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556F6735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831A87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712479">
        <w:rPr>
          <w:rFonts w:cs="Arial"/>
          <w:szCs w:val="22"/>
          <w:lang w:eastAsia="en-US"/>
        </w:rPr>
        <w:t>15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712479">
        <w:rPr>
          <w:rFonts w:cs="Arial"/>
          <w:szCs w:val="22"/>
          <w:lang w:eastAsia="en-US"/>
        </w:rPr>
        <w:t xml:space="preserve">uzavřené dne </w:t>
      </w:r>
      <w:r w:rsidR="00712479" w:rsidRPr="00712479">
        <w:rPr>
          <w:rFonts w:cs="Arial"/>
          <w:szCs w:val="22"/>
          <w:lang w:eastAsia="en-US"/>
        </w:rPr>
        <w:t>12</w:t>
      </w:r>
      <w:r w:rsidR="00C6357A" w:rsidRPr="00712479">
        <w:rPr>
          <w:rFonts w:cs="Arial"/>
          <w:szCs w:val="22"/>
          <w:lang w:eastAsia="en-US"/>
        </w:rPr>
        <w:t>. </w:t>
      </w:r>
      <w:r w:rsidR="00712479" w:rsidRPr="00712479">
        <w:rPr>
          <w:rFonts w:cs="Arial"/>
          <w:szCs w:val="22"/>
          <w:lang w:eastAsia="en-US"/>
        </w:rPr>
        <w:t>7</w:t>
      </w:r>
      <w:r w:rsidR="00C6357A" w:rsidRPr="00712479">
        <w:rPr>
          <w:rFonts w:cs="Arial"/>
          <w:szCs w:val="22"/>
          <w:lang w:eastAsia="en-US"/>
        </w:rPr>
        <w:t>. 202</w:t>
      </w:r>
      <w:r w:rsidR="00712479" w:rsidRPr="00712479">
        <w:rPr>
          <w:rFonts w:cs="Arial"/>
          <w:szCs w:val="22"/>
          <w:lang w:eastAsia="en-US"/>
        </w:rPr>
        <w:t>4</w:t>
      </w:r>
      <w:r w:rsidR="00E972F8" w:rsidRPr="00712479">
        <w:rPr>
          <w:rFonts w:cs="Arial"/>
          <w:szCs w:val="22"/>
          <w:lang w:eastAsia="en-US"/>
        </w:rPr>
        <w:t xml:space="preserve"> </w:t>
      </w:r>
      <w:r w:rsidRPr="00712479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831A87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7E947AA4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831A87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831A87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831A87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6DE1682C" w14:textId="01EC9FAB" w:rsidR="00712479" w:rsidRPr="00712479" w:rsidRDefault="00C6357A" w:rsidP="0071247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</w:t>
      </w:r>
      <w:r w:rsidRPr="00712479">
        <w:rPr>
          <w:rFonts w:cs="Arial"/>
          <w:szCs w:val="22"/>
          <w:lang w:val="cs-CZ" w:eastAsia="en-US"/>
        </w:rPr>
        <w:t>uzavřely dne 12</w:t>
      </w:r>
      <w:r w:rsidRPr="00712479">
        <w:rPr>
          <w:rFonts w:cs="Arial"/>
          <w:szCs w:val="22"/>
          <w:lang w:eastAsia="en-US"/>
        </w:rPr>
        <w:t xml:space="preserve">. </w:t>
      </w:r>
      <w:r w:rsidR="00712479" w:rsidRPr="00712479">
        <w:rPr>
          <w:rFonts w:cs="Arial"/>
          <w:szCs w:val="22"/>
          <w:lang w:eastAsia="en-US"/>
        </w:rPr>
        <w:t>7</w:t>
      </w:r>
      <w:r w:rsidRPr="00712479">
        <w:rPr>
          <w:rFonts w:cs="Arial"/>
          <w:szCs w:val="22"/>
          <w:lang w:eastAsia="en-US"/>
        </w:rPr>
        <w:t>. 202</w:t>
      </w:r>
      <w:r w:rsidR="00712479" w:rsidRPr="00712479">
        <w:rPr>
          <w:rFonts w:cs="Arial"/>
          <w:szCs w:val="22"/>
          <w:lang w:eastAsia="en-US"/>
        </w:rPr>
        <w:t>4</w:t>
      </w:r>
      <w:r w:rsidRPr="00712479">
        <w:rPr>
          <w:rFonts w:cs="Arial"/>
          <w:szCs w:val="22"/>
          <w:lang w:eastAsia="en-US"/>
        </w:rPr>
        <w:t xml:space="preserve"> Dílčí smlouv</w:t>
      </w:r>
      <w:r w:rsidRPr="00712479">
        <w:rPr>
          <w:rFonts w:cs="Arial"/>
          <w:szCs w:val="22"/>
          <w:lang w:val="cs-CZ" w:eastAsia="en-US"/>
        </w:rPr>
        <w:t>u</w:t>
      </w:r>
      <w:r w:rsidRPr="00712479">
        <w:rPr>
          <w:rFonts w:cs="Arial"/>
          <w:szCs w:val="22"/>
          <w:lang w:eastAsia="en-US"/>
        </w:rPr>
        <w:t xml:space="preserve"> č. </w:t>
      </w:r>
      <w:r w:rsidR="00831A87" w:rsidRPr="00712479">
        <w:rPr>
          <w:rFonts w:cs="Arial"/>
          <w:szCs w:val="22"/>
          <w:lang w:val="cs-CZ" w:eastAsia="en-US"/>
        </w:rPr>
        <w:t>15</w:t>
      </w:r>
      <w:r w:rsidRPr="00712479">
        <w:rPr>
          <w:rFonts w:cs="Arial"/>
          <w:szCs w:val="22"/>
          <w:lang w:eastAsia="en-US"/>
        </w:rPr>
        <w:t xml:space="preserve"> o poskytování</w:t>
      </w:r>
      <w:r>
        <w:rPr>
          <w:rFonts w:cs="Arial"/>
          <w:szCs w:val="22"/>
          <w:lang w:eastAsia="en-US"/>
        </w:rPr>
        <w:t xml:space="preserve">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</w:t>
      </w:r>
      <w:r w:rsidR="00831A87">
        <w:rPr>
          <w:rFonts w:cs="Arial"/>
          <w:b/>
          <w:bCs/>
          <w:szCs w:val="22"/>
          <w:lang w:val="cs-CZ" w:eastAsia="en-US"/>
        </w:rPr>
        <w:t>15</w:t>
      </w:r>
      <w:r>
        <w:rPr>
          <w:rFonts w:cs="Arial"/>
          <w:szCs w:val="22"/>
          <w:lang w:val="cs-CZ" w:eastAsia="en-US"/>
        </w:rPr>
        <w:t>“)</w:t>
      </w:r>
      <w:r w:rsidR="00A33DEF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A33DEF">
        <w:rPr>
          <w:rFonts w:cs="Arial"/>
          <w:szCs w:val="22"/>
          <w:lang w:val="cs-CZ" w:eastAsia="en-US"/>
        </w:rPr>
        <w:t xml:space="preserve">výsledku </w:t>
      </w:r>
      <w:proofErr w:type="spellStart"/>
      <w:r>
        <w:rPr>
          <w:rFonts w:cs="Arial"/>
          <w:szCs w:val="22"/>
          <w:lang w:val="cs-CZ" w:eastAsia="en-US"/>
        </w:rPr>
        <w:t>minitendru</w:t>
      </w:r>
      <w:proofErr w:type="spellEnd"/>
      <w:r>
        <w:rPr>
          <w:rFonts w:cs="Arial"/>
          <w:szCs w:val="22"/>
          <w:lang w:val="cs-CZ" w:eastAsia="en-US"/>
        </w:rPr>
        <w:t xml:space="preserve"> s názvem „</w:t>
      </w:r>
      <w:r w:rsidR="00712479" w:rsidRPr="00712479">
        <w:rPr>
          <w:rFonts w:cs="Arial"/>
          <w:i/>
          <w:iCs/>
          <w:szCs w:val="22"/>
          <w:lang w:val="cs-CZ" w:eastAsia="en-US"/>
        </w:rPr>
        <w:t xml:space="preserve">DE-M-15) Poskytování implementačních služeb k projektu DWH – Data Analytik - </w:t>
      </w:r>
      <w:proofErr w:type="spellStart"/>
      <w:r w:rsidR="00712479" w:rsidRPr="00712479">
        <w:rPr>
          <w:rFonts w:cs="Arial"/>
          <w:i/>
          <w:iCs/>
          <w:szCs w:val="22"/>
          <w:lang w:val="cs-CZ" w:eastAsia="en-US"/>
        </w:rPr>
        <w:t>PowerBI</w:t>
      </w:r>
      <w:proofErr w:type="spellEnd"/>
      <w:r w:rsidR="00712479" w:rsidRPr="00712479">
        <w:rPr>
          <w:rFonts w:cs="Arial"/>
          <w:i/>
          <w:iCs/>
          <w:szCs w:val="22"/>
          <w:lang w:val="cs-CZ" w:eastAsia="en-US"/>
        </w:rPr>
        <w:t xml:space="preserve"> 1</w:t>
      </w:r>
      <w:r w:rsidRPr="00076F3A">
        <w:rPr>
          <w:rFonts w:cs="Arial"/>
          <w:i/>
          <w:iCs/>
          <w:szCs w:val="22"/>
          <w:lang w:eastAsia="en-US"/>
        </w:rPr>
        <w:t>“</w:t>
      </w:r>
      <w:r>
        <w:rPr>
          <w:rFonts w:cs="Arial"/>
          <w:i/>
          <w:iCs/>
          <w:szCs w:val="22"/>
          <w:lang w:eastAsia="en-US"/>
        </w:rPr>
        <w:t xml:space="preserve"> </w:t>
      </w:r>
      <w:r w:rsidRPr="00B3197A">
        <w:rPr>
          <w:rFonts w:cs="Arial"/>
          <w:szCs w:val="22"/>
          <w:lang w:eastAsia="en-US"/>
        </w:rPr>
        <w:t>(dále jen</w:t>
      </w:r>
      <w:r w:rsidR="00C2237F">
        <w:rPr>
          <w:rFonts w:cs="Arial"/>
          <w:szCs w:val="22"/>
          <w:lang w:val="cs-CZ" w:eastAsia="en-US"/>
        </w:rPr>
        <w:t xml:space="preserve"> „</w:t>
      </w:r>
      <w:r w:rsidRPr="00B3197A">
        <w:rPr>
          <w:rFonts w:cs="Arial"/>
          <w:b/>
          <w:bCs/>
          <w:szCs w:val="22"/>
          <w:lang w:eastAsia="en-US"/>
        </w:rPr>
        <w:t>Minitendr</w:t>
      </w:r>
      <w:r w:rsidRPr="00B3197A">
        <w:rPr>
          <w:rFonts w:cs="Arial"/>
          <w:szCs w:val="22"/>
          <w:lang w:eastAsia="en-US"/>
        </w:rPr>
        <w:t>”).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</w:t>
      </w:r>
      <w:r w:rsidR="00712479">
        <w:rPr>
          <w:rFonts w:cs="Arial"/>
          <w:szCs w:val="20"/>
          <w:lang w:val="cs-CZ"/>
        </w:rPr>
        <w:t>15</w:t>
      </w:r>
      <w:r>
        <w:rPr>
          <w:rFonts w:cs="Arial"/>
          <w:szCs w:val="20"/>
          <w:lang w:val="cs-CZ"/>
        </w:rPr>
        <w:t xml:space="preserve">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</w:t>
      </w:r>
      <w:r w:rsidR="00712479" w:rsidRPr="00712479">
        <w:rPr>
          <w:rFonts w:cs="Arial"/>
          <w:szCs w:val="20"/>
          <w:lang w:eastAsia="en-US"/>
        </w:rPr>
        <w:t xml:space="preserve">v zajištění kapacit IT odborníka (Datového analytika) pro realizaci implementačních služeb pro projekt Data </w:t>
      </w:r>
      <w:proofErr w:type="spellStart"/>
      <w:r w:rsidR="00712479" w:rsidRPr="00712479">
        <w:rPr>
          <w:rFonts w:cs="Arial"/>
          <w:szCs w:val="20"/>
          <w:lang w:eastAsia="en-US"/>
        </w:rPr>
        <w:t>Warehouse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(DWH), který se </w:t>
      </w:r>
      <w:r w:rsidR="00712479">
        <w:rPr>
          <w:rFonts w:cs="Arial"/>
          <w:szCs w:val="20"/>
          <w:lang w:eastAsia="en-US"/>
        </w:rPr>
        <w:t>podílí</w:t>
      </w:r>
      <w:r w:rsidR="00712479" w:rsidRPr="00712479">
        <w:rPr>
          <w:rFonts w:cs="Arial"/>
          <w:szCs w:val="20"/>
          <w:lang w:eastAsia="en-US"/>
        </w:rPr>
        <w:t xml:space="preserve"> na stavbě, provozu a uživatelském používání datového skladu, který integr</w:t>
      </w:r>
      <w:r w:rsidR="00712479">
        <w:rPr>
          <w:rFonts w:cs="Arial"/>
          <w:szCs w:val="20"/>
          <w:lang w:eastAsia="en-US"/>
        </w:rPr>
        <w:t xml:space="preserve">uje </w:t>
      </w:r>
      <w:r w:rsidR="00712479" w:rsidRPr="00712479">
        <w:rPr>
          <w:rFonts w:cs="Arial"/>
          <w:szCs w:val="20"/>
          <w:lang w:eastAsia="en-US"/>
        </w:rPr>
        <w:t xml:space="preserve">data agendových systémů s cílem zajistit reporting a analytiku nad daty MPSV. DWH se nachází v Azure </w:t>
      </w:r>
      <w:proofErr w:type="spellStart"/>
      <w:r w:rsidR="00712479" w:rsidRPr="00712479">
        <w:rPr>
          <w:rFonts w:cs="Arial"/>
          <w:szCs w:val="20"/>
          <w:lang w:eastAsia="en-US"/>
        </w:rPr>
        <w:t>Databricks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a jako reportovací nástroj se používá 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. Datový analytik se </w:t>
      </w:r>
      <w:r w:rsidR="00712479">
        <w:rPr>
          <w:rFonts w:cs="Arial"/>
          <w:szCs w:val="20"/>
          <w:lang w:eastAsia="en-US"/>
        </w:rPr>
        <w:t>podílí</w:t>
      </w:r>
      <w:r w:rsidR="00712479" w:rsidRPr="00712479">
        <w:rPr>
          <w:rFonts w:cs="Arial"/>
          <w:szCs w:val="20"/>
          <w:lang w:eastAsia="en-US"/>
        </w:rPr>
        <w:t xml:space="preserve"> na tvorbě </w:t>
      </w:r>
      <w:proofErr w:type="spellStart"/>
      <w:r w:rsidR="00712479" w:rsidRPr="00712479">
        <w:rPr>
          <w:rFonts w:cs="Arial"/>
          <w:szCs w:val="20"/>
          <w:lang w:eastAsia="en-US"/>
        </w:rPr>
        <w:t>managerského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informačního systému, který využívá na moderní reportingové a analytické nástroje v rámci platformy DWH a dalších kolaborujících BI nástrojů jako jsou 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nebo nástroje pro tvorbu statistických modelů. Data analytik </w:t>
      </w:r>
      <w:r w:rsidR="00712479">
        <w:rPr>
          <w:rFonts w:cs="Arial"/>
          <w:szCs w:val="20"/>
          <w:lang w:eastAsia="en-US"/>
        </w:rPr>
        <w:t xml:space="preserve">je </w:t>
      </w:r>
      <w:r w:rsidR="00712479" w:rsidRPr="00712479">
        <w:rPr>
          <w:rFonts w:cs="Arial"/>
          <w:szCs w:val="20"/>
          <w:lang w:eastAsia="en-US"/>
        </w:rPr>
        <w:t xml:space="preserve">zodpovědný za přípravu dat pomocí SQL v rámci datového skladu a vizualizací dat pomocí 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>,</w:t>
      </w:r>
      <w:r w:rsidR="00CE4C2E">
        <w:rPr>
          <w:rFonts w:cs="Arial"/>
          <w:szCs w:val="20"/>
          <w:lang w:eastAsia="en-US"/>
        </w:rPr>
        <w:t xml:space="preserve"> </w:t>
      </w:r>
      <w:r w:rsidR="00712479" w:rsidRPr="00712479">
        <w:rPr>
          <w:rFonts w:cs="Arial"/>
          <w:szCs w:val="20"/>
          <w:lang w:eastAsia="en-US"/>
        </w:rPr>
        <w:t>vytvář</w:t>
      </w:r>
      <w:r w:rsidR="00CE4C2E">
        <w:rPr>
          <w:rFonts w:cs="Arial"/>
          <w:szCs w:val="20"/>
          <w:lang w:eastAsia="en-US"/>
        </w:rPr>
        <w:t>í</w:t>
      </w:r>
      <w:r w:rsidR="00712479" w:rsidRPr="00712479">
        <w:rPr>
          <w:rFonts w:cs="Arial"/>
          <w:szCs w:val="20"/>
          <w:lang w:eastAsia="en-US"/>
        </w:rPr>
        <w:t xml:space="preserve"> pokročilé vizualizace v </w:t>
      </w:r>
      <w:proofErr w:type="spellStart"/>
      <w:r w:rsidR="00712479" w:rsidRPr="00712479">
        <w:rPr>
          <w:rFonts w:cs="Arial"/>
          <w:szCs w:val="20"/>
          <w:lang w:eastAsia="en-US"/>
        </w:rPr>
        <w:t>PowerBI</w:t>
      </w:r>
      <w:proofErr w:type="spellEnd"/>
      <w:r w:rsidR="00712479" w:rsidRPr="00712479">
        <w:rPr>
          <w:rFonts w:cs="Arial"/>
          <w:szCs w:val="20"/>
          <w:lang w:eastAsia="en-US"/>
        </w:rPr>
        <w:t>, komunik</w:t>
      </w:r>
      <w:r w:rsidR="00CE4C2E">
        <w:rPr>
          <w:rFonts w:cs="Arial"/>
          <w:szCs w:val="20"/>
          <w:lang w:eastAsia="en-US"/>
        </w:rPr>
        <w:t>uje</w:t>
      </w:r>
      <w:r w:rsidR="00712479" w:rsidRPr="00712479">
        <w:rPr>
          <w:rFonts w:cs="Arial"/>
          <w:szCs w:val="20"/>
          <w:lang w:eastAsia="en-US"/>
        </w:rPr>
        <w:t xml:space="preserve"> s odbornými sekcemi zadavatele, pro jejichž potřeby tyto vizualizace/reporty vytváří, připrav</w:t>
      </w:r>
      <w:r w:rsidR="00CE4C2E">
        <w:rPr>
          <w:rFonts w:cs="Arial"/>
          <w:szCs w:val="20"/>
          <w:lang w:eastAsia="en-US"/>
        </w:rPr>
        <w:t>uje</w:t>
      </w:r>
      <w:r w:rsidR="00712479" w:rsidRPr="00712479">
        <w:rPr>
          <w:rFonts w:cs="Arial"/>
          <w:szCs w:val="20"/>
          <w:lang w:eastAsia="en-US"/>
        </w:rPr>
        <w:t xml:space="preserve"> data pomocí SQL a úlohy </w:t>
      </w:r>
      <w:proofErr w:type="spellStart"/>
      <w:r w:rsidR="00712479" w:rsidRPr="00712479">
        <w:rPr>
          <w:rFonts w:cs="Arial"/>
          <w:szCs w:val="20"/>
          <w:lang w:eastAsia="en-US"/>
        </w:rPr>
        <w:t>prototyp</w:t>
      </w:r>
      <w:r w:rsidR="00CE4C2E">
        <w:rPr>
          <w:rFonts w:cs="Arial"/>
          <w:szCs w:val="20"/>
          <w:lang w:eastAsia="en-US"/>
        </w:rPr>
        <w:t>uje</w:t>
      </w:r>
      <w:proofErr w:type="spellEnd"/>
      <w:r w:rsidR="00712479" w:rsidRPr="00712479">
        <w:rPr>
          <w:rFonts w:cs="Arial"/>
          <w:szCs w:val="20"/>
          <w:lang w:eastAsia="en-US"/>
        </w:rPr>
        <w:t xml:space="preserve"> a postupně převád</w:t>
      </w:r>
      <w:r w:rsidR="00CE4C2E">
        <w:rPr>
          <w:rFonts w:cs="Arial"/>
          <w:szCs w:val="20"/>
          <w:lang w:eastAsia="en-US"/>
        </w:rPr>
        <w:t>í</w:t>
      </w:r>
      <w:r w:rsidR="00712479" w:rsidRPr="00712479">
        <w:rPr>
          <w:rFonts w:cs="Arial"/>
          <w:szCs w:val="20"/>
          <w:lang w:eastAsia="en-US"/>
        </w:rPr>
        <w:t xml:space="preserve"> do produkčního prostředí (dále</w:t>
      </w:r>
      <w:r w:rsidR="00712479" w:rsidRPr="00712479">
        <w:rPr>
          <w:rFonts w:cs="Arial"/>
          <w:szCs w:val="20"/>
        </w:rPr>
        <w:t xml:space="preserve"> jen „</w:t>
      </w:r>
      <w:r w:rsidR="00712479" w:rsidRPr="00712479">
        <w:rPr>
          <w:rFonts w:cs="Arial"/>
          <w:b/>
          <w:bCs/>
          <w:szCs w:val="20"/>
        </w:rPr>
        <w:t>Služby</w:t>
      </w:r>
      <w:r w:rsidR="00712479" w:rsidRPr="00712479">
        <w:rPr>
          <w:rFonts w:cs="Arial"/>
          <w:szCs w:val="20"/>
        </w:rPr>
        <w:t>“).</w:t>
      </w:r>
    </w:p>
    <w:p w14:paraId="3788B068" w14:textId="7BEA1022" w:rsidR="00C6357A" w:rsidRPr="00C6357A" w:rsidRDefault="00C6357A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CE4C2E">
        <w:rPr>
          <w:szCs w:val="22"/>
          <w:lang w:val="cs-CZ" w:eastAsia="en-US"/>
        </w:rPr>
        <w:t>15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>, která byla uzavřena dne 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A33DEF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>
        <w:rPr>
          <w:rFonts w:cs="Arial"/>
          <w:i/>
          <w:iCs/>
          <w:snapToGrid w:val="0"/>
          <w:szCs w:val="22"/>
        </w:rPr>
        <w:t>delivery</w:t>
      </w:r>
      <w:proofErr w:type="spellEnd"/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A33DEF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CE4C2E">
        <w:rPr>
          <w:rFonts w:cs="Arial"/>
          <w:szCs w:val="20"/>
          <w:lang w:val="cs-CZ"/>
        </w:rPr>
        <w:t>15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3B09232A" w14:textId="610A9BE0" w:rsidR="004563DF" w:rsidRPr="004563DF" w:rsidRDefault="004563DF" w:rsidP="006A693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4563DF">
        <w:rPr>
          <w:rFonts w:cs="Arial"/>
          <w:szCs w:val="22"/>
        </w:rPr>
        <w:t xml:space="preserve"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</w:t>
      </w:r>
      <w:proofErr w:type="spellStart"/>
      <w:r w:rsidRPr="004563DF">
        <w:rPr>
          <w:rFonts w:cs="Arial"/>
          <w:szCs w:val="22"/>
        </w:rPr>
        <w:t>REPowerEU</w:t>
      </w:r>
      <w:proofErr w:type="spellEnd"/>
      <w:r w:rsidRPr="004563DF">
        <w:rPr>
          <w:rFonts w:cs="Arial"/>
          <w:szCs w:val="22"/>
        </w:rPr>
        <w:t xml:space="preserve">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 optimalizaci administrativních procesů poskytovaných služeb v rámci Rámcové dohody a dílčích smluv uzavíraných na jejím základě tak, aby bylo umožněno efektivní využití finančních prostředků z Nástroje na podporu a oživení a odolnosti, resp. Národního plánu obnovy Českou republikou.</w:t>
      </w:r>
      <w:r w:rsidRPr="004563DF">
        <w:rPr>
          <w:rFonts w:cs="Arial"/>
          <w:szCs w:val="20"/>
        </w:rPr>
        <w:t xml:space="preserve"> </w:t>
      </w:r>
    </w:p>
    <w:p w14:paraId="053B4EAB" w14:textId="5E1997E7" w:rsidR="004563DF" w:rsidRPr="004563DF" w:rsidRDefault="004563DF" w:rsidP="004563D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odst. 1.</w:t>
      </w:r>
      <w:r w:rsidR="00CE4C2E">
        <w:rPr>
          <w:rFonts w:eastAsia="Calibri"/>
          <w:lang w:val="cs-CZ"/>
        </w:rPr>
        <w:t>3</w:t>
      </w:r>
      <w:r>
        <w:rPr>
          <w:rFonts w:eastAsia="Calibri"/>
          <w:lang w:val="cs-CZ"/>
        </w:rPr>
        <w:t xml:space="preserve"> tohoto Dodatku č. </w:t>
      </w:r>
      <w:r w:rsidR="00831A87">
        <w:rPr>
          <w:rFonts w:eastAsia="Calibri"/>
          <w:lang w:val="cs-CZ"/>
        </w:rPr>
        <w:t>1</w:t>
      </w:r>
      <w:r>
        <w:rPr>
          <w:rFonts w:eastAsia="Calibri"/>
          <w:lang w:val="cs-CZ"/>
        </w:rPr>
        <w:t xml:space="preserve">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</w:t>
      </w:r>
      <w:r>
        <w:rPr>
          <w:rFonts w:eastAsia="Calibri"/>
          <w:lang w:val="cs-CZ"/>
        </w:rPr>
        <w:t xml:space="preserve">Dílčí smlouvy č. </w:t>
      </w:r>
      <w:r w:rsidR="00CE4C2E">
        <w:rPr>
          <w:rFonts w:eastAsia="Calibri"/>
          <w:lang w:val="cs-CZ"/>
        </w:rPr>
        <w:t>15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831A87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16E5627F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CE4C2E">
        <w:rPr>
          <w:rFonts w:cs="Arial"/>
          <w:lang w:val="cs-CZ"/>
        </w:rPr>
        <w:t>1</w:t>
      </w:r>
    </w:p>
    <w:p w14:paraId="2B69B7AD" w14:textId="790052FD" w:rsidR="004563DF" w:rsidRPr="004563DF" w:rsidRDefault="004563DF" w:rsidP="004563D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dohodly, že </w:t>
      </w:r>
      <w:r>
        <w:rPr>
          <w:rFonts w:cs="Arial"/>
        </w:rPr>
        <w:t xml:space="preserve">tímto Dodatkem č. </w:t>
      </w:r>
      <w:r w:rsidR="00831A87">
        <w:rPr>
          <w:rFonts w:cs="Arial"/>
        </w:rPr>
        <w:t>1</w:t>
      </w:r>
      <w:r w:rsidRPr="004563DF">
        <w:rPr>
          <w:rFonts w:cs="Arial"/>
        </w:rPr>
        <w:t xml:space="preserve"> vkládají do Dílčí smlouvy č. </w:t>
      </w:r>
      <w:r w:rsidR="00CE4C2E">
        <w:rPr>
          <w:rFonts w:cs="Arial"/>
        </w:rPr>
        <w:t>15</w:t>
      </w:r>
      <w:r w:rsidRPr="004563DF">
        <w:rPr>
          <w:rFonts w:cs="Arial"/>
        </w:rPr>
        <w:t xml:space="preserve"> nový čl. 5, který zní následovně:  </w:t>
      </w:r>
    </w:p>
    <w:p w14:paraId="11B839BF" w14:textId="77777777" w:rsidR="004563DF" w:rsidRPr="00365F4A" w:rsidRDefault="004563DF" w:rsidP="004563DF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638C1C51" w14:textId="77777777" w:rsidR="004563DF" w:rsidRPr="00CF1752" w:rsidRDefault="004563DF" w:rsidP="004563DF">
      <w:pPr>
        <w:pStyle w:val="RLTextlnkuslovan"/>
        <w:numPr>
          <w:ilvl w:val="1"/>
          <w:numId w:val="14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 xml:space="preserve">Poskytovatel se </w:t>
      </w:r>
      <w:r w:rsidRPr="00CF1752">
        <w:rPr>
          <w:i/>
          <w:iCs/>
        </w:rPr>
        <w:t>zavazuje, že faktura ve smyslu odst. 6.3 Rámcové dohody a rovněž akceptační protokol ve smyslu odst. 9.4 Rámcové dohody budou obsahovat následující údaje a informace:</w:t>
      </w:r>
    </w:p>
    <w:p w14:paraId="112737A7" w14:textId="77777777" w:rsidR="004563DF" w:rsidRPr="00E977C1" w:rsidRDefault="004563DF" w:rsidP="004563DF">
      <w:pPr>
        <w:pStyle w:val="RLTextlnkuslovan"/>
        <w:numPr>
          <w:ilvl w:val="0"/>
          <w:numId w:val="15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szCs w:val="20"/>
        </w:rPr>
      </w:pPr>
      <w:r w:rsidRPr="00E977C1">
        <w:rPr>
          <w:rFonts w:cs="Arial"/>
          <w:i/>
          <w:iCs/>
          <w:lang w:eastAsia="en-US"/>
        </w:rPr>
        <w:t xml:space="preserve">Formulace: „Služby byly poskytnuty pro potřeby projektu </w:t>
      </w:r>
      <w:r w:rsidRPr="00E977C1">
        <w:rPr>
          <w:rFonts w:cs="Arial"/>
          <w:i/>
          <w:iCs/>
        </w:rPr>
        <w:t>„Vytvoření nového datového skladu spolu s analytickým a BI prostředním“</w:t>
      </w:r>
      <w:r>
        <w:rPr>
          <w:rFonts w:cs="Arial"/>
          <w:i/>
          <w:iCs/>
        </w:rPr>
        <w:t xml:space="preserve">, </w:t>
      </w:r>
      <w:r w:rsidRPr="00E977C1">
        <w:rPr>
          <w:rFonts w:cs="Arial"/>
          <w:i/>
          <w:iCs/>
          <w:lang w:eastAsia="en-US"/>
        </w:rPr>
        <w:t>který je realizován</w:t>
      </w:r>
      <w:r>
        <w:rPr>
          <w:rFonts w:cs="Arial"/>
          <w:i/>
          <w:iCs/>
          <w:lang w:eastAsia="en-US"/>
        </w:rPr>
        <w:t xml:space="preserve"> </w:t>
      </w:r>
      <w:r w:rsidRPr="00E977C1">
        <w:rPr>
          <w:rFonts w:cs="Arial"/>
          <w:i/>
          <w:iCs/>
          <w:lang w:eastAsia="en-US"/>
        </w:rPr>
        <w:t>a financován v rámci NPO, komponenty 1.2 s názvem „</w:t>
      </w:r>
      <w:r w:rsidRPr="00E977C1">
        <w:rPr>
          <w:rFonts w:cs="Arial"/>
          <w:i/>
          <w:iCs/>
        </w:rPr>
        <w:t>Digitální systémy veřejné správy</w:t>
      </w:r>
      <w:r w:rsidRPr="00E977C1">
        <w:rPr>
          <w:rFonts w:cs="Arial"/>
          <w:i/>
          <w:iCs/>
          <w:lang w:eastAsia="en-US"/>
        </w:rPr>
        <w:t>“</w:t>
      </w:r>
      <w:r w:rsidRPr="00E977C1">
        <w:rPr>
          <w:rFonts w:cs="Arial"/>
          <w:i/>
          <w:iCs/>
        </w:rPr>
        <w:t>, a</w:t>
      </w:r>
    </w:p>
    <w:p w14:paraId="288ECE8C" w14:textId="77777777" w:rsidR="004563DF" w:rsidRPr="00E977C1" w:rsidRDefault="004563DF" w:rsidP="004563DF">
      <w:pPr>
        <w:pStyle w:val="RLTextlnkuslovan"/>
        <w:numPr>
          <w:ilvl w:val="0"/>
          <w:numId w:val="15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lang w:eastAsia="en-US"/>
        </w:rPr>
      </w:pPr>
      <w:r w:rsidRPr="00E977C1">
        <w:rPr>
          <w:rFonts w:cs="Arial"/>
          <w:i/>
          <w:iCs/>
        </w:rPr>
        <w:t xml:space="preserve">číslo </w:t>
      </w:r>
      <w:r>
        <w:rPr>
          <w:rFonts w:cs="Arial"/>
          <w:i/>
          <w:iCs/>
        </w:rPr>
        <w:t>p</w:t>
      </w:r>
      <w:r w:rsidRPr="00E977C1">
        <w:rPr>
          <w:rFonts w:cs="Arial"/>
          <w:i/>
          <w:iCs/>
        </w:rPr>
        <w:t>rojektu: CZ.31.2.0/0.0/0.0/23_090/0010638.</w:t>
      </w:r>
    </w:p>
    <w:p w14:paraId="09969247" w14:textId="77777777" w:rsidR="004563DF" w:rsidRPr="00B46150" w:rsidRDefault="004563DF" w:rsidP="004563DF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707650DB" w14:textId="77777777" w:rsidR="004563DF" w:rsidRPr="00B46150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cs="Arial"/>
          <w:i/>
          <w:iCs/>
          <w:szCs w:val="20"/>
          <w:lang w:eastAsia="en-US"/>
        </w:rPr>
        <w:t>pr</w:t>
      </w:r>
      <w:r w:rsidRPr="00B46150">
        <w:rPr>
          <w:rFonts w:cs="Arial"/>
          <w:i/>
          <w:iCs/>
          <w:szCs w:val="20"/>
          <w:lang w:eastAsia="en-US"/>
        </w:rPr>
        <w:t>ojektu. Pokud je v českých právních předpisech stanovena lhůta delší, Poskytovatel se zavazuje ji použít.</w:t>
      </w:r>
    </w:p>
    <w:p w14:paraId="0608E211" w14:textId="77777777" w:rsidR="004563DF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DD54712" w14:textId="77777777" w:rsidR="004563DF" w:rsidRPr="009B614E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>
        <w:rPr>
          <w:rFonts w:cs="Arial"/>
          <w:bCs/>
          <w:i/>
          <w:iCs/>
          <w:szCs w:val="20"/>
        </w:rPr>
        <w:t xml:space="preserve">se zavazuje </w:t>
      </w:r>
      <w:r w:rsidRPr="009B614E">
        <w:rPr>
          <w:rFonts w:cs="Arial"/>
          <w:bCs/>
          <w:i/>
          <w:iCs/>
          <w:szCs w:val="20"/>
        </w:rPr>
        <w:t>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1A144D6A" w14:textId="77777777" w:rsidR="004563DF" w:rsidRPr="009B614E" w:rsidRDefault="004563DF" w:rsidP="004563DF">
      <w:pPr>
        <w:pStyle w:val="RLTextlnkuslovan"/>
        <w:numPr>
          <w:ilvl w:val="1"/>
          <w:numId w:val="14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 xml:space="preserve">musí být splňována zásada DNSH - „Do No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Significant</w:t>
      </w:r>
      <w:proofErr w:type="spellEnd"/>
      <w:r w:rsidRPr="009B614E">
        <w:rPr>
          <w:rFonts w:cs="Arial"/>
          <w:i/>
          <w:iCs/>
          <w:szCs w:val="20"/>
          <w:lang w:eastAsia="en-US"/>
        </w:rPr>
        <w:t xml:space="preserve">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Harm</w:t>
      </w:r>
      <w:proofErr w:type="spellEnd"/>
      <w:r w:rsidRPr="009B614E">
        <w:rPr>
          <w:rFonts w:cs="Arial"/>
          <w:i/>
          <w:iCs/>
          <w:szCs w:val="20"/>
          <w:lang w:eastAsia="en-US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European</w:t>
      </w:r>
      <w:proofErr w:type="spellEnd"/>
      <w:r w:rsidRPr="009B614E">
        <w:rPr>
          <w:rFonts w:cs="Arial"/>
          <w:i/>
          <w:iCs/>
          <w:szCs w:val="20"/>
          <w:lang w:eastAsia="en-US"/>
        </w:rPr>
        <w:t xml:space="preserve"> Green </w:t>
      </w:r>
      <w:proofErr w:type="spellStart"/>
      <w:r w:rsidRPr="009B614E">
        <w:rPr>
          <w:rFonts w:cs="Arial"/>
          <w:i/>
          <w:iCs/>
          <w:szCs w:val="20"/>
          <w:lang w:eastAsia="en-US"/>
        </w:rPr>
        <w:t>Deal</w:t>
      </w:r>
      <w:proofErr w:type="spellEnd"/>
      <w:r w:rsidRPr="009B614E">
        <w:rPr>
          <w:rFonts w:cs="Arial"/>
          <w:i/>
          <w:iCs/>
          <w:szCs w:val="20"/>
          <w:lang w:eastAsia="en-US"/>
        </w:rPr>
        <w:t>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3C44E109" w14:textId="1C7C9E3C" w:rsidR="004563DF" w:rsidRPr="004563DF" w:rsidRDefault="004563DF" w:rsidP="004563D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CE4C2E">
        <w:rPr>
          <w:rFonts w:cs="Arial"/>
        </w:rPr>
        <w:t>15</w:t>
      </w:r>
      <w:r>
        <w:rPr>
          <w:rFonts w:cs="Arial"/>
        </w:rPr>
        <w:t>.</w:t>
      </w:r>
    </w:p>
    <w:p w14:paraId="3BD681D7" w14:textId="2C62EF30" w:rsidR="00E720C5" w:rsidRDefault="00E720C5" w:rsidP="00C2237F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68563A31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CE4C2E">
        <w:rPr>
          <w:rFonts w:cs="Arial"/>
          <w:szCs w:val="22"/>
          <w:lang w:val="cs-CZ" w:eastAsia="en-US"/>
        </w:rPr>
        <w:t>15</w:t>
      </w:r>
      <w:r w:rsidR="00C06547">
        <w:rPr>
          <w:rFonts w:cs="Arial"/>
          <w:szCs w:val="22"/>
          <w:lang w:val="cs-CZ" w:eastAsia="en-US"/>
        </w:rPr>
        <w:t>,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831A87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4A0C6FCD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831A87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CE4C2E">
        <w:rPr>
          <w:rFonts w:cs="Arial"/>
          <w:szCs w:val="22"/>
          <w:lang w:val="cs-CZ" w:eastAsia="en-US"/>
        </w:rPr>
        <w:t>15</w:t>
      </w:r>
      <w:r w:rsidR="00C06547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5A29ED07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831A87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</w:t>
      </w:r>
      <w:r w:rsidR="00F65D3B" w:rsidRPr="00C06547">
        <w:rPr>
          <w:rFonts w:cs="Arial"/>
          <w:szCs w:val="22"/>
          <w:lang w:val="cs-CZ" w:eastAsia="en-US"/>
        </w:rPr>
        <w:t>ZZVZ</w:t>
      </w:r>
      <w:r w:rsidRPr="00015496">
        <w:rPr>
          <w:rFonts w:cs="Arial"/>
          <w:szCs w:val="22"/>
          <w:lang w:val="cs-CZ" w:eastAsia="en-US"/>
        </w:rPr>
        <w:t>.</w:t>
      </w:r>
      <w:r w:rsidR="0013447F" w:rsidRPr="0013447F">
        <w:t xml:space="preserve"> </w:t>
      </w:r>
      <w:r w:rsidR="00C2237F" w:rsidRPr="00C2237F">
        <w:t>Práva a povinnost</w:t>
      </w:r>
      <w:r w:rsidR="00C2237F">
        <w:t>i</w:t>
      </w:r>
      <w:r w:rsidR="00C2237F" w:rsidRPr="00C2237F">
        <w:t xml:space="preserve"> ve vztahu k NPO jsou dodatečně sjednáván</w:t>
      </w:r>
      <w:r w:rsidR="000E7689">
        <w:t>y</w:t>
      </w:r>
      <w:r w:rsidR="00C2237F" w:rsidRPr="00C2237F">
        <w:t xml:space="preserve"> v souladu s § 222 odst. 3 ZZVZ s tím, že předmětné doplnění smluvních </w:t>
      </w:r>
      <w:r w:rsidR="00C2237F" w:rsidRPr="00C2237F">
        <w:lastRenderedPageBreak/>
        <w:t xml:space="preserve">podmínek nemohlo mít vliv na účast jiných dodavatelů, nemohlo ovlivnit výběr dodavatele </w:t>
      </w:r>
      <w:r w:rsidR="000E7689">
        <w:br/>
      </w:r>
      <w:r w:rsidR="00C2237F" w:rsidRPr="00C2237F">
        <w:t xml:space="preserve">v </w:t>
      </w:r>
      <w:proofErr w:type="spellStart"/>
      <w:r w:rsidR="00C2237F" w:rsidRPr="00C2237F">
        <w:t>Minitendru</w:t>
      </w:r>
      <w:proofErr w:type="spellEnd"/>
      <w:r w:rsidR="00C2237F" w:rsidRPr="00C2237F">
        <w:t xml:space="preserve">, nemění ekonomickou rovnováhu závazku z Dílčí smlouvy č. </w:t>
      </w:r>
      <w:r w:rsidR="00CE4C2E">
        <w:t>15</w:t>
      </w:r>
      <w:r w:rsidR="00C2237F" w:rsidRPr="00C2237F">
        <w:t xml:space="preserve"> a nevede ani k rozšíření rozsahu plnění </w:t>
      </w:r>
      <w:proofErr w:type="spellStart"/>
      <w:r w:rsidR="00C2237F" w:rsidRPr="00C2237F">
        <w:t>Minitendru</w:t>
      </w:r>
      <w:proofErr w:type="spellEnd"/>
      <w:r w:rsidR="00C2237F" w:rsidRPr="00C2237F">
        <w:t>.</w:t>
      </w:r>
    </w:p>
    <w:p w14:paraId="6EEF7D35" w14:textId="541AA20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831A87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1CC64880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831A87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4AF5A055" w14:textId="159F0067" w:rsidR="00831A87" w:rsidRDefault="00831A87" w:rsidP="00831A87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č. </w:t>
      </w:r>
      <w:r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 xml:space="preserve"> přečetly, že s jeho obsahem souhlasí a na důkaz toho k němu připojují svoje podpisy.</w:t>
      </w:r>
    </w:p>
    <w:p w14:paraId="4C14B55E" w14:textId="77777777" w:rsidR="00831A87" w:rsidRDefault="00831A87" w:rsidP="00831A87">
      <w:pPr>
        <w:pStyle w:val="RLProhlensmluvnchstran"/>
        <w:spacing w:after="0"/>
        <w:rPr>
          <w:rFonts w:cs="Arial"/>
          <w:lang w:val="cs-CZ"/>
        </w:rPr>
      </w:pPr>
    </w:p>
    <w:p w14:paraId="517EC4D8" w14:textId="77777777" w:rsidR="00831A87" w:rsidRDefault="00831A87" w:rsidP="00831A87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831A87" w14:paraId="5473BD4E" w14:textId="77777777" w:rsidTr="002B3E7B">
        <w:tc>
          <w:tcPr>
            <w:tcW w:w="4589" w:type="dxa"/>
          </w:tcPr>
          <w:p w14:paraId="07526950" w14:textId="60F1DB77" w:rsidR="00831A87" w:rsidRPr="00A16B28" w:rsidRDefault="00846C2B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831A87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7F9EE98A" w14:textId="77777777" w:rsidR="00831A87" w:rsidRPr="00E07D66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0E725E47" w14:textId="37DA6F79" w:rsidR="00831A87" w:rsidRPr="00A16B28" w:rsidRDefault="00846C2B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831A87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5497891B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831A87" w14:paraId="5B48332F" w14:textId="77777777" w:rsidTr="002B3E7B">
        <w:tc>
          <w:tcPr>
            <w:tcW w:w="4589" w:type="dxa"/>
          </w:tcPr>
          <w:p w14:paraId="773233C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BF915FC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DCD437A" w14:textId="77777777" w:rsidR="00831A87" w:rsidRPr="00A16B28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6A2A4D8" w14:textId="01F64C85" w:rsidR="00831A87" w:rsidRPr="00A16B28" w:rsidRDefault="00831A87" w:rsidP="002B3E7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846C2B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846C2B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13D0D911" w14:textId="6739BF51" w:rsidR="00831A87" w:rsidRPr="00796AF1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4E241B6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A3BD0B3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3C24928" w14:textId="77777777" w:rsidR="00831A87" w:rsidRPr="00A16B28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F7D4D1D" w14:textId="77777777" w:rsidR="00831A87" w:rsidRDefault="00831A87" w:rsidP="002B3E7B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18633D31" w14:textId="51FD3464" w:rsidR="00831A87" w:rsidRPr="00796AF1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</w:p>
          <w:p w14:paraId="322F4A7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831A87" w14:paraId="153F92E3" w14:textId="77777777" w:rsidTr="002B3E7B">
        <w:tc>
          <w:tcPr>
            <w:tcW w:w="4589" w:type="dxa"/>
          </w:tcPr>
          <w:p w14:paraId="7BE07341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6CB27501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831A87" w14:paraId="463B9183" w14:textId="77777777" w:rsidTr="002B3E7B">
        <w:tc>
          <w:tcPr>
            <w:tcW w:w="4589" w:type="dxa"/>
          </w:tcPr>
          <w:p w14:paraId="42F2DB1E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9CCE0C4" w14:textId="53EA628F" w:rsidR="00831A87" w:rsidRPr="00A16B28" w:rsidRDefault="00846C2B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831A87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3D7BB5C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831A87" w14:paraId="52AC4AF1" w14:textId="77777777" w:rsidTr="002B3E7B">
        <w:tc>
          <w:tcPr>
            <w:tcW w:w="4589" w:type="dxa"/>
          </w:tcPr>
          <w:p w14:paraId="764A274D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5D2B793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FD94CF5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E6A2294" w14:textId="77777777" w:rsidR="00831A87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BD5DDC" w14:textId="77777777" w:rsidR="00831A87" w:rsidRPr="00A16B28" w:rsidRDefault="00831A87" w:rsidP="002B3E7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3C68F73" w14:textId="44CE9AB6" w:rsidR="00831A87" w:rsidRDefault="00831A87" w:rsidP="002B3E7B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 w:rsidR="00C85B9C">
              <w:rPr>
                <w:rFonts w:cs="Arial"/>
                <w:b/>
                <w:bCs/>
                <w:szCs w:val="20"/>
              </w:rPr>
              <w:t>solutions</w:t>
            </w:r>
            <w:proofErr w:type="spellEnd"/>
            <w:r w:rsidR="00C85B9C"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27FA917E" w14:textId="24326BA6" w:rsidR="00831A87" w:rsidRDefault="00831A87" w:rsidP="002B3E7B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</w:tbl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p w14:paraId="053B03BF" w14:textId="16F827C1" w:rsidR="005F3175" w:rsidRDefault="005F3175" w:rsidP="00C2237F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F1AC" w14:textId="77777777" w:rsidR="008729D5" w:rsidRDefault="008729D5">
      <w:r>
        <w:separator/>
      </w:r>
    </w:p>
  </w:endnote>
  <w:endnote w:type="continuationSeparator" w:id="0">
    <w:p w14:paraId="5462DD27" w14:textId="77777777" w:rsidR="008729D5" w:rsidRDefault="008729D5">
      <w:r>
        <w:continuationSeparator/>
      </w:r>
    </w:p>
  </w:endnote>
  <w:endnote w:type="continuationNotice" w:id="1">
    <w:p w14:paraId="58995292" w14:textId="77777777" w:rsidR="008729D5" w:rsidRDefault="0087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12843"/>
      <w:docPartObj>
        <w:docPartGallery w:val="Page Numbers (Bottom of Page)"/>
        <w:docPartUnique/>
      </w:docPartObj>
    </w:sdtPr>
    <w:sdtEndPr/>
    <w:sdtContent>
      <w:p w14:paraId="60D337BF" w14:textId="348A9D60" w:rsidR="00FE46A0" w:rsidRDefault="00FE46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C546FFF" w14:textId="77777777" w:rsidR="00FE46A0" w:rsidRDefault="00FE46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34B2" w14:textId="77777777" w:rsidR="008729D5" w:rsidRDefault="008729D5">
      <w:r>
        <w:separator/>
      </w:r>
    </w:p>
  </w:footnote>
  <w:footnote w:type="continuationSeparator" w:id="0">
    <w:p w14:paraId="299E0DFC" w14:textId="77777777" w:rsidR="008729D5" w:rsidRDefault="008729D5">
      <w:r>
        <w:continuationSeparator/>
      </w:r>
    </w:p>
  </w:footnote>
  <w:footnote w:type="continuationNotice" w:id="1">
    <w:p w14:paraId="0D9DDB3D" w14:textId="77777777" w:rsidR="008729D5" w:rsidRDefault="008729D5">
      <w:pPr>
        <w:spacing w:after="0" w:line="240" w:lineRule="auto"/>
      </w:pPr>
    </w:p>
  </w:footnote>
  <w:footnote w:id="2">
    <w:p w14:paraId="09F946A7" w14:textId="0D00306D" w:rsidR="00C85B9C" w:rsidRPr="00C85B9C" w:rsidRDefault="00C85B9C">
      <w:pPr>
        <w:pStyle w:val="Textpoznpodarou"/>
        <w:rPr>
          <w:i/>
          <w:iCs/>
          <w:sz w:val="16"/>
          <w:szCs w:val="16"/>
          <w:lang w:val="cs-CZ"/>
        </w:rPr>
      </w:pPr>
      <w:r w:rsidRPr="00C85B9C">
        <w:rPr>
          <w:rStyle w:val="Znakapoznpodarou"/>
          <w:i/>
          <w:iCs/>
          <w:sz w:val="16"/>
          <w:szCs w:val="16"/>
        </w:rPr>
        <w:footnoteRef/>
      </w:r>
      <w:r w:rsidRPr="00C85B9C">
        <w:rPr>
          <w:i/>
          <w:iCs/>
          <w:sz w:val="16"/>
          <w:szCs w:val="16"/>
        </w:rPr>
        <w:t xml:space="preserve"> </w:t>
      </w:r>
      <w:r w:rsidRPr="00C85B9C">
        <w:rPr>
          <w:i/>
          <w:iCs/>
          <w:sz w:val="16"/>
          <w:szCs w:val="16"/>
          <w:lang w:val="cs-CZ"/>
        </w:rPr>
        <w:t>Ke dni 7. 1. 2025 došlo ke změně názvu a sídla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594E" w14:textId="77777777" w:rsidR="00E6161B" w:rsidRPr="00E13383" w:rsidRDefault="00E6161B" w:rsidP="00E6161B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  <w:r w:rsidRPr="00E13383">
      <w:rPr>
        <w:rFonts w:ascii="Calibri" w:hAnsi="Calibri"/>
        <w:noProof/>
        <w:sz w:val="22"/>
        <w:szCs w:val="20"/>
        <w:lang w:val="en-US"/>
      </w:rPr>
      <w:drawing>
        <wp:inline distT="0" distB="0" distL="0" distR="0" wp14:anchorId="3300DCC7" wp14:editId="43229728">
          <wp:extent cx="3859949" cy="482600"/>
          <wp:effectExtent l="0" t="0" r="7620" b="0"/>
          <wp:docPr id="190797995" name="Obrázek 19079799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6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1139689782">
    <w:abstractNumId w:val="11"/>
  </w:num>
  <w:num w:numId="13" w16cid:durableId="546574228">
    <w:abstractNumId w:val="13"/>
  </w:num>
  <w:num w:numId="14" w16cid:durableId="2007780034">
    <w:abstractNumId w:val="15"/>
  </w:num>
  <w:num w:numId="15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64C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AF1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0351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1314"/>
    <w:rsid w:val="000E20CB"/>
    <w:rsid w:val="000E22A5"/>
    <w:rsid w:val="000E2916"/>
    <w:rsid w:val="000E3032"/>
    <w:rsid w:val="000E415A"/>
    <w:rsid w:val="000E4774"/>
    <w:rsid w:val="000E4D04"/>
    <w:rsid w:val="000E69A5"/>
    <w:rsid w:val="000E72EF"/>
    <w:rsid w:val="000E7689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47F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456D8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77E55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8F3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089B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0444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C91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3DF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3F1D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479"/>
    <w:rsid w:val="00712648"/>
    <w:rsid w:val="00714713"/>
    <w:rsid w:val="0071540B"/>
    <w:rsid w:val="00716548"/>
    <w:rsid w:val="00716D00"/>
    <w:rsid w:val="0072011A"/>
    <w:rsid w:val="0072094A"/>
    <w:rsid w:val="00720E64"/>
    <w:rsid w:val="007218EA"/>
    <w:rsid w:val="007219E1"/>
    <w:rsid w:val="00721BC0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244E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407A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199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25E"/>
    <w:rsid w:val="00830E11"/>
    <w:rsid w:val="008314CD"/>
    <w:rsid w:val="00831A87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46C2B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C0A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29D5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23C1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5E07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3DEF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52D8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547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37F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5B9C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C2E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2DAB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40C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792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A59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1EE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161B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0B98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EE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6A0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styleId="Normlnweb">
    <w:name w:val="Normal (Web)"/>
    <w:basedOn w:val="Normln"/>
    <w:uiPriority w:val="99"/>
    <w:unhideWhenUsed/>
    <w:rsid w:val="00C85B9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1403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9508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Gergelová Vendula</cp:lastModifiedBy>
  <cp:revision>5</cp:revision>
  <cp:lastPrinted>2025-05-22T13:45:00Z</cp:lastPrinted>
  <dcterms:created xsi:type="dcterms:W3CDTF">2025-05-22T13:44:00Z</dcterms:created>
  <dcterms:modified xsi:type="dcterms:W3CDTF">2025-06-20T07:46:00Z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2ac85243ddf8ef4181fdbffa8f80b039297d3bb684c985e318d2a01cfe3cd4e4</vt:lpwstr>
  </property>
</Properties>
</file>