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C6" w:rsidRDefault="003E49C6">
      <w:pPr>
        <w:pStyle w:val="Nadpis10"/>
        <w:keepNext/>
        <w:keepLines/>
      </w:pPr>
      <w:bookmarkStart w:id="0" w:name="_GoBack"/>
      <w:bookmarkEnd w:id="0"/>
    </w:p>
    <w:p w:rsidR="003E49C6" w:rsidRDefault="00FB7F96">
      <w:pPr>
        <w:pStyle w:val="Zkladntext30"/>
        <w:ind w:right="1120"/>
      </w:pPr>
      <w:r>
        <w:rPr>
          <w:rStyle w:val="Zkladntext3"/>
        </w:rPr>
        <w:t>2025004745</w:t>
      </w:r>
    </w:p>
    <w:p w:rsidR="003E49C6" w:rsidRDefault="00FB7F96">
      <w:pPr>
        <w:pStyle w:val="Nadpis20"/>
        <w:keepNext/>
        <w:keepLines/>
      </w:pPr>
      <w:bookmarkStart w:id="1" w:name="bookmark2"/>
      <w:r>
        <w:rPr>
          <w:rStyle w:val="Nadpis2"/>
        </w:rPr>
        <w:t>Dodatek č. 2 ke smlouvě o dílo</w:t>
      </w:r>
      <w:bookmarkEnd w:id="1"/>
    </w:p>
    <w:p w:rsidR="003E49C6" w:rsidRDefault="00FB7F96">
      <w:pPr>
        <w:pStyle w:val="Zkladntext1"/>
        <w:spacing w:after="100" w:line="240" w:lineRule="auto"/>
        <w:ind w:firstLine="400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na servisní zabezpečení nepřerušitelných záložních systémů elektrické energie</w:t>
      </w:r>
    </w:p>
    <w:p w:rsidR="003E49C6" w:rsidRDefault="00FB7F96">
      <w:pPr>
        <w:pStyle w:val="Zkladntext1"/>
        <w:spacing w:after="480" w:line="240" w:lineRule="auto"/>
        <w:ind w:left="520" w:hanging="160"/>
      </w:pPr>
      <w:r>
        <w:rPr>
          <w:rStyle w:val="Zkladntext"/>
        </w:rPr>
        <w:t xml:space="preserve">uzavřená v souladu s ustanovením §2586 a násl. zák č.89/2012 Sb. občanského zákoníku a ve smyslu příslušných právních předpisů </w:t>
      </w:r>
      <w:r>
        <w:rPr>
          <w:rStyle w:val="Zkladntext"/>
        </w:rPr>
        <w:t>souvisejících mezi následujícími smluvními stranami</w:t>
      </w:r>
    </w:p>
    <w:p w:rsidR="003E49C6" w:rsidRDefault="00FB7F96">
      <w:pPr>
        <w:pStyle w:val="Nadpis30"/>
        <w:keepNext/>
        <w:keepLines/>
        <w:numPr>
          <w:ilvl w:val="0"/>
          <w:numId w:val="1"/>
        </w:numPr>
        <w:tabs>
          <w:tab w:val="left" w:pos="320"/>
        </w:tabs>
      </w:pPr>
      <w:bookmarkStart w:id="2" w:name="bookmark4"/>
      <w:r>
        <w:rPr>
          <w:rStyle w:val="Nadpis3"/>
          <w:b/>
          <w:bCs/>
        </w:rPr>
        <w:t>SMLUVNÍ STRANY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4277"/>
      </w:tblGrid>
      <w:tr w:rsidR="003E49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466" w:type="dxa"/>
            <w:gridSpan w:val="2"/>
            <w:shd w:val="clear" w:color="auto" w:fill="auto"/>
            <w:vAlign w:val="bottom"/>
          </w:tcPr>
          <w:p w:rsidR="003E49C6" w:rsidRDefault="00FB7F96">
            <w:pPr>
              <w:pStyle w:val="Jin0"/>
              <w:framePr w:w="6466" w:h="1186" w:hSpace="293" w:vSpace="5" w:wrap="notBeside" w:vAnchor="text" w:hAnchor="text" w:x="1403" w:y="6"/>
              <w:spacing w:line="240" w:lineRule="auto"/>
              <w:ind w:firstLine="0"/>
            </w:pPr>
            <w:r>
              <w:rPr>
                <w:rStyle w:val="Jin"/>
                <w:b/>
                <w:bCs/>
              </w:rPr>
              <w:t>Zdravotnická záchranná služba Jihomoravského kraje, příspěvková</w:t>
            </w: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89" w:type="dxa"/>
            <w:shd w:val="clear" w:color="auto" w:fill="auto"/>
            <w:vAlign w:val="bottom"/>
          </w:tcPr>
          <w:p w:rsidR="003E49C6" w:rsidRDefault="00FB7F96">
            <w:pPr>
              <w:pStyle w:val="Jin0"/>
              <w:framePr w:w="6466" w:h="1186" w:hSpace="293" w:vSpace="5" w:wrap="notBeside" w:vAnchor="text" w:hAnchor="text" w:x="1403" w:y="6"/>
              <w:spacing w:line="240" w:lineRule="auto"/>
              <w:ind w:firstLine="0"/>
            </w:pPr>
            <w:r>
              <w:rPr>
                <w:rStyle w:val="Jin"/>
                <w:b/>
                <w:bCs/>
              </w:rPr>
              <w:t>organizace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3E49C6" w:rsidRDefault="00FB7F96">
            <w:pPr>
              <w:pStyle w:val="Jin0"/>
              <w:framePr w:w="6466" w:h="1186" w:hSpace="293" w:vSpace="5" w:wrap="notBeside" w:vAnchor="text" w:hAnchor="text" w:x="1403" w:y="6"/>
              <w:spacing w:line="240" w:lineRule="auto"/>
              <w:ind w:firstLine="640"/>
            </w:pPr>
            <w:r>
              <w:rPr>
                <w:rStyle w:val="Jin"/>
              </w:rPr>
              <w:t>Kamenice 798/1d, 625 00, Brno</w:t>
            </w: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89" w:type="dxa"/>
            <w:shd w:val="clear" w:color="auto" w:fill="auto"/>
            <w:vAlign w:val="bottom"/>
          </w:tcPr>
          <w:p w:rsidR="003E49C6" w:rsidRDefault="00FB7F96">
            <w:pPr>
              <w:pStyle w:val="Jin0"/>
              <w:framePr w:w="6466" w:h="1186" w:hSpace="293" w:vSpace="5" w:wrap="notBeside" w:vAnchor="text" w:hAnchor="text" w:x="1403" w:y="6"/>
              <w:spacing w:line="240" w:lineRule="auto"/>
              <w:ind w:firstLine="0"/>
            </w:pPr>
            <w:r>
              <w:rPr>
                <w:rStyle w:val="Jin"/>
              </w:rPr>
              <w:t>Zastoupena: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3E49C6" w:rsidRDefault="00FB7F96">
            <w:pPr>
              <w:pStyle w:val="Jin0"/>
              <w:framePr w:w="6466" w:h="1186" w:hSpace="293" w:vSpace="5" w:wrap="notBeside" w:vAnchor="text" w:hAnchor="text" w:x="1403" w:y="6"/>
              <w:spacing w:line="240" w:lineRule="auto"/>
              <w:ind w:firstLine="640"/>
              <w:jc w:val="both"/>
            </w:pPr>
            <w:r>
              <w:rPr>
                <w:rStyle w:val="Jin"/>
              </w:rPr>
              <w:t>MUDr. Hanou Albrechtovou, ředitelkou</w:t>
            </w: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89" w:type="dxa"/>
            <w:shd w:val="clear" w:color="auto" w:fill="auto"/>
          </w:tcPr>
          <w:p w:rsidR="003E49C6" w:rsidRDefault="00FB7F96">
            <w:pPr>
              <w:pStyle w:val="Jin0"/>
              <w:framePr w:w="6466" w:h="1186" w:hSpace="293" w:vSpace="5" w:wrap="notBeside" w:vAnchor="text" w:hAnchor="text" w:x="1403" w:y="6"/>
              <w:spacing w:line="240" w:lineRule="auto"/>
              <w:ind w:firstLine="0"/>
            </w:pPr>
            <w:r>
              <w:rPr>
                <w:rStyle w:val="Jin"/>
              </w:rPr>
              <w:t>IČO: 00346292</w:t>
            </w:r>
          </w:p>
        </w:tc>
        <w:tc>
          <w:tcPr>
            <w:tcW w:w="4277" w:type="dxa"/>
            <w:shd w:val="clear" w:color="auto" w:fill="auto"/>
          </w:tcPr>
          <w:p w:rsidR="003E49C6" w:rsidRDefault="00FB7F96">
            <w:pPr>
              <w:pStyle w:val="Jin0"/>
              <w:framePr w:w="6466" w:h="1186" w:hSpace="293" w:vSpace="5" w:wrap="notBeside" w:vAnchor="text" w:hAnchor="text" w:x="1403" w:y="6"/>
              <w:spacing w:line="240" w:lineRule="auto"/>
              <w:ind w:firstLine="640"/>
            </w:pPr>
            <w:r>
              <w:rPr>
                <w:rStyle w:val="Jin"/>
              </w:rPr>
              <w:t>DIČ: CZ00346292</w:t>
            </w: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189" w:type="dxa"/>
            <w:shd w:val="clear" w:color="auto" w:fill="auto"/>
            <w:vAlign w:val="bottom"/>
          </w:tcPr>
          <w:p w:rsidR="003E49C6" w:rsidRDefault="00FB7F96">
            <w:pPr>
              <w:pStyle w:val="Jin0"/>
              <w:framePr w:w="6466" w:h="1186" w:hSpace="293" w:vSpace="5" w:wrap="notBeside" w:vAnchor="text" w:hAnchor="text" w:x="1403" w:y="6"/>
              <w:spacing w:line="240" w:lineRule="auto"/>
              <w:ind w:firstLine="0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4277" w:type="dxa"/>
            <w:shd w:val="clear" w:color="auto" w:fill="auto"/>
            <w:vAlign w:val="bottom"/>
          </w:tcPr>
          <w:p w:rsidR="003E49C6" w:rsidRDefault="00FB7F96">
            <w:pPr>
              <w:pStyle w:val="Jin0"/>
              <w:framePr w:w="6466" w:h="1186" w:hSpace="293" w:vSpace="5" w:wrap="notBeside" w:vAnchor="text" w:hAnchor="text" w:x="1403" w:y="6"/>
              <w:spacing w:line="240" w:lineRule="auto"/>
              <w:ind w:firstLine="640"/>
            </w:pPr>
            <w:r>
              <w:rPr>
                <w:rStyle w:val="Jin"/>
              </w:rPr>
              <w:t>Moneta Money Bank, a.s.</w:t>
            </w:r>
          </w:p>
        </w:tc>
      </w:tr>
    </w:tbl>
    <w:p w:rsidR="003E49C6" w:rsidRDefault="00FB7F96">
      <w:pPr>
        <w:pStyle w:val="Titulektabulky0"/>
        <w:framePr w:w="1138" w:h="245" w:hSpace="8568" w:wrap="notBeside" w:vAnchor="text" w:hAnchor="text" w:y="1"/>
      </w:pPr>
      <w:r>
        <w:rPr>
          <w:rStyle w:val="Titulektabulky"/>
          <w:b/>
          <w:bCs/>
        </w:rPr>
        <w:t>Objednatel:</w:t>
      </w:r>
    </w:p>
    <w:p w:rsidR="003E49C6" w:rsidRDefault="00FB7F96">
      <w:pPr>
        <w:pStyle w:val="Titulektabulky0"/>
        <w:framePr w:w="6754" w:h="480" w:hSpace="2952" w:wrap="notBeside" w:vAnchor="text" w:hAnchor="text" w:x="1408" w:y="1172"/>
        <w:ind w:left="2860"/>
      </w:pPr>
      <w:r>
        <w:rPr>
          <w:rStyle w:val="Titulektabulky"/>
        </w:rPr>
        <w:t>č.účtu: 117203514/0600</w:t>
      </w:r>
    </w:p>
    <w:p w:rsidR="003E49C6" w:rsidRDefault="00FB7F96">
      <w:pPr>
        <w:pStyle w:val="Titulektabulky0"/>
        <w:framePr w:w="6754" w:h="480" w:hSpace="2952" w:wrap="notBeside" w:vAnchor="text" w:hAnchor="text" w:x="1408" w:y="1172"/>
        <w:jc w:val="both"/>
      </w:pPr>
      <w:r>
        <w:rPr>
          <w:rStyle w:val="Titulektabulky"/>
        </w:rPr>
        <w:t>zapsána do OR dne 1.10. 2003, Pr 1245 vedená u Krajského soudu v Brně</w:t>
      </w:r>
    </w:p>
    <w:p w:rsidR="003E49C6" w:rsidRDefault="003E49C6">
      <w:pPr>
        <w:spacing w:line="1" w:lineRule="exact"/>
      </w:pPr>
    </w:p>
    <w:p w:rsidR="003E49C6" w:rsidRDefault="00FB7F96">
      <w:pPr>
        <w:pStyle w:val="Zkladntext1"/>
        <w:spacing w:after="480" w:line="240" w:lineRule="auto"/>
        <w:ind w:left="1420" w:firstLine="0"/>
      </w:pPr>
      <w:r>
        <w:rPr>
          <w:rStyle w:val="Zkladntext"/>
        </w:rPr>
        <w:t xml:space="preserve">dále jen </w:t>
      </w:r>
      <w:r>
        <w:rPr>
          <w:rStyle w:val="Zkladntext"/>
          <w:b/>
          <w:bCs/>
        </w:rPr>
        <w:t xml:space="preserve">„objednatel“ </w:t>
      </w:r>
      <w:r>
        <w:rPr>
          <w:rStyle w:val="Zkladntext"/>
        </w:rPr>
        <w:t>na straně jedné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2227"/>
        <w:gridCol w:w="5314"/>
      </w:tblGrid>
      <w:tr w:rsidR="003E49C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24" w:type="dxa"/>
            <w:shd w:val="clear" w:color="auto" w:fill="auto"/>
          </w:tcPr>
          <w:p w:rsidR="003E49C6" w:rsidRDefault="00FB7F96">
            <w:pPr>
              <w:pStyle w:val="Jin0"/>
              <w:spacing w:line="240" w:lineRule="auto"/>
              <w:ind w:firstLine="0"/>
            </w:pPr>
            <w:r>
              <w:rPr>
                <w:rStyle w:val="Jin"/>
                <w:b/>
                <w:bCs/>
              </w:rPr>
              <w:t>Zhotovitel:</w:t>
            </w:r>
          </w:p>
        </w:tc>
        <w:tc>
          <w:tcPr>
            <w:tcW w:w="2227" w:type="dxa"/>
            <w:shd w:val="clear" w:color="auto" w:fill="auto"/>
          </w:tcPr>
          <w:p w:rsidR="003E49C6" w:rsidRDefault="00FB7F96">
            <w:pPr>
              <w:pStyle w:val="Jin0"/>
              <w:spacing w:line="240" w:lineRule="auto"/>
              <w:ind w:firstLine="180"/>
            </w:pPr>
            <w:r>
              <w:rPr>
                <w:rStyle w:val="Jin"/>
                <w:b/>
                <w:bCs/>
              </w:rPr>
              <w:t>UPS Technology a.s.</w:t>
            </w:r>
          </w:p>
        </w:tc>
        <w:tc>
          <w:tcPr>
            <w:tcW w:w="5314" w:type="dxa"/>
            <w:shd w:val="clear" w:color="auto" w:fill="auto"/>
          </w:tcPr>
          <w:p w:rsidR="003E49C6" w:rsidRDefault="00FB7F96">
            <w:pPr>
              <w:pStyle w:val="Jin0"/>
              <w:spacing w:line="240" w:lineRule="auto"/>
              <w:ind w:firstLine="800"/>
            </w:pPr>
            <w:r>
              <w:rPr>
                <w:rStyle w:val="Jin"/>
                <w:b/>
                <w:bCs/>
              </w:rPr>
              <w:t>Olomoucká 3419/7, 617 00 Brno</w:t>
            </w: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24" w:type="dxa"/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auto"/>
            <w:vAlign w:val="bottom"/>
          </w:tcPr>
          <w:p w:rsidR="003E49C6" w:rsidRDefault="00FB7F96">
            <w:pPr>
              <w:pStyle w:val="Jin0"/>
              <w:spacing w:line="240" w:lineRule="auto"/>
              <w:ind w:firstLine="180"/>
            </w:pPr>
            <w:r>
              <w:rPr>
                <w:rStyle w:val="Jin"/>
              </w:rPr>
              <w:t>zastoupený :</w:t>
            </w:r>
          </w:p>
        </w:tc>
        <w:tc>
          <w:tcPr>
            <w:tcW w:w="5314" w:type="dxa"/>
            <w:shd w:val="clear" w:color="auto" w:fill="auto"/>
            <w:vAlign w:val="bottom"/>
          </w:tcPr>
          <w:p w:rsidR="003E49C6" w:rsidRDefault="00FB7F96">
            <w:pPr>
              <w:pStyle w:val="Jin0"/>
              <w:spacing w:line="240" w:lineRule="auto"/>
              <w:ind w:firstLine="800"/>
            </w:pPr>
            <w:r>
              <w:rPr>
                <w:rStyle w:val="Jin"/>
              </w:rPr>
              <w:t>Ing. Martinem Odehnalem, členem představenstva</w:t>
            </w: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24" w:type="dxa"/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auto"/>
          </w:tcPr>
          <w:p w:rsidR="003E49C6" w:rsidRDefault="00FB7F96">
            <w:pPr>
              <w:pStyle w:val="Jin0"/>
              <w:spacing w:line="240" w:lineRule="auto"/>
              <w:ind w:firstLine="180"/>
            </w:pPr>
            <w:r>
              <w:rPr>
                <w:rStyle w:val="Jin"/>
              </w:rPr>
              <w:t>IČO : 21300798</w:t>
            </w:r>
          </w:p>
        </w:tc>
        <w:tc>
          <w:tcPr>
            <w:tcW w:w="5314" w:type="dxa"/>
            <w:shd w:val="clear" w:color="auto" w:fill="auto"/>
          </w:tcPr>
          <w:p w:rsidR="003E49C6" w:rsidRDefault="00FB7F96">
            <w:pPr>
              <w:pStyle w:val="Jin0"/>
              <w:spacing w:line="240" w:lineRule="auto"/>
              <w:ind w:firstLine="800"/>
            </w:pPr>
            <w:r>
              <w:rPr>
                <w:rStyle w:val="Jin"/>
              </w:rPr>
              <w:t>DIČ : CZ 21300798</w:t>
            </w: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224" w:type="dxa"/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auto"/>
          </w:tcPr>
          <w:p w:rsidR="003E49C6" w:rsidRDefault="00FB7F96">
            <w:pPr>
              <w:pStyle w:val="Jin0"/>
              <w:spacing w:line="240" w:lineRule="auto"/>
              <w:ind w:firstLine="180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5314" w:type="dxa"/>
            <w:shd w:val="clear" w:color="auto" w:fill="auto"/>
            <w:vAlign w:val="bottom"/>
          </w:tcPr>
          <w:p w:rsidR="003E49C6" w:rsidRDefault="00FB7F96">
            <w:pPr>
              <w:pStyle w:val="Jin0"/>
              <w:spacing w:line="264" w:lineRule="auto"/>
              <w:ind w:left="800" w:firstLine="0"/>
            </w:pPr>
            <w:r>
              <w:rPr>
                <w:rStyle w:val="Jin"/>
              </w:rPr>
              <w:t>UniCredit Bank Czech Republic, a.s., Brno č. účtu : 1736067501/2700</w:t>
            </w: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24" w:type="dxa"/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auto"/>
            <w:vAlign w:val="bottom"/>
          </w:tcPr>
          <w:p w:rsidR="003E49C6" w:rsidRDefault="00FB7F96">
            <w:pPr>
              <w:pStyle w:val="Jin0"/>
              <w:spacing w:line="240" w:lineRule="auto"/>
              <w:ind w:firstLine="180"/>
            </w:pPr>
            <w:r>
              <w:rPr>
                <w:rStyle w:val="Jin"/>
              </w:rPr>
              <w:t>zapsána do OR dne 1.</w:t>
            </w:r>
          </w:p>
        </w:tc>
        <w:tc>
          <w:tcPr>
            <w:tcW w:w="5314" w:type="dxa"/>
            <w:shd w:val="clear" w:color="auto" w:fill="auto"/>
            <w:vAlign w:val="bottom"/>
          </w:tcPr>
          <w:p w:rsidR="003E49C6" w:rsidRDefault="00FB7F96">
            <w:pPr>
              <w:pStyle w:val="Jin0"/>
              <w:spacing w:line="240" w:lineRule="auto"/>
              <w:ind w:firstLine="0"/>
            </w:pPr>
            <w:r>
              <w:rPr>
                <w:rStyle w:val="Jin"/>
              </w:rPr>
              <w:t xml:space="preserve">března 2024, B 9007 vedená u Krajského soudu v </w:t>
            </w:r>
            <w:r>
              <w:rPr>
                <w:rStyle w:val="Jin"/>
              </w:rPr>
              <w:t>Brně</w:t>
            </w:r>
          </w:p>
        </w:tc>
      </w:tr>
    </w:tbl>
    <w:p w:rsidR="003E49C6" w:rsidRDefault="00FB7F96">
      <w:pPr>
        <w:pStyle w:val="Titulektabulky0"/>
        <w:jc w:val="center"/>
      </w:pPr>
      <w:r>
        <w:rPr>
          <w:rStyle w:val="Titulektabulky"/>
          <w:b/>
          <w:bCs/>
        </w:rPr>
        <w:t>dále jen „zhotovitel“ na straně druhé</w:t>
      </w:r>
    </w:p>
    <w:p w:rsidR="003E49C6" w:rsidRDefault="003E49C6">
      <w:pPr>
        <w:spacing w:after="639" w:line="1" w:lineRule="exact"/>
      </w:pPr>
    </w:p>
    <w:p w:rsidR="003E49C6" w:rsidRDefault="00FB7F96">
      <w:pPr>
        <w:pStyle w:val="Nadpis30"/>
        <w:keepNext/>
        <w:keepLines/>
        <w:numPr>
          <w:ilvl w:val="0"/>
          <w:numId w:val="1"/>
        </w:numPr>
        <w:tabs>
          <w:tab w:val="left" w:pos="358"/>
        </w:tabs>
        <w:spacing w:line="221" w:lineRule="auto"/>
      </w:pPr>
      <w:bookmarkStart w:id="3" w:name="bookmark6"/>
      <w:r>
        <w:rPr>
          <w:rStyle w:val="Nadpis3"/>
          <w:b/>
          <w:bCs/>
        </w:rPr>
        <w:t>ÚČEL DODATKU</w:t>
      </w:r>
      <w:bookmarkEnd w:id="3"/>
    </w:p>
    <w:p w:rsidR="003E49C6" w:rsidRDefault="00FB7F96">
      <w:pPr>
        <w:pStyle w:val="Zkladntext1"/>
        <w:spacing w:after="560" w:line="240" w:lineRule="auto"/>
        <w:ind w:left="140" w:firstLine="580"/>
      </w:pPr>
      <w:r>
        <w:rPr>
          <w:rStyle w:val="Zkladntext"/>
        </w:rPr>
        <w:t xml:space="preserve">Účelem tohoto dodatku je úprava seznamu pravidelného ročního servisu záložních zdrojů MTG umístěných v objektech </w:t>
      </w:r>
      <w:r>
        <w:rPr>
          <w:rStyle w:val="Zkladntext"/>
          <w:b/>
          <w:bCs/>
        </w:rPr>
        <w:t xml:space="preserve">ZZS Hodonín, </w:t>
      </w:r>
      <w:r>
        <w:rPr>
          <w:rStyle w:val="Zkladntext"/>
        </w:rPr>
        <w:t>podle přílohy č. 1</w:t>
      </w:r>
    </w:p>
    <w:p w:rsidR="003E49C6" w:rsidRDefault="00FB7F96">
      <w:pPr>
        <w:pStyle w:val="Nadpis30"/>
        <w:keepNext/>
        <w:keepLines/>
        <w:spacing w:after="100" w:line="221" w:lineRule="auto"/>
      </w:pPr>
      <w:bookmarkStart w:id="4" w:name="bookmark8"/>
      <w:r>
        <w:rPr>
          <w:rStyle w:val="Nadpis3"/>
          <w:b/>
          <w:bCs/>
        </w:rPr>
        <w:t>V. CENA</w:t>
      </w:r>
      <w:bookmarkEnd w:id="4"/>
    </w:p>
    <w:p w:rsidR="003E49C6" w:rsidRDefault="00FB7F96">
      <w:pPr>
        <w:pStyle w:val="Zkladntext1"/>
        <w:numPr>
          <w:ilvl w:val="0"/>
          <w:numId w:val="2"/>
        </w:numPr>
        <w:tabs>
          <w:tab w:val="left" w:pos="700"/>
        </w:tabs>
        <w:spacing w:after="40" w:line="240" w:lineRule="auto"/>
        <w:ind w:left="340"/>
      </w:pPr>
      <w:r>
        <w:rPr>
          <w:rStyle w:val="Zkladntext"/>
        </w:rPr>
        <w:t xml:space="preserve">Cena za řádně zhotovitelem provedená plnění </w:t>
      </w:r>
      <w:r>
        <w:rPr>
          <w:rStyle w:val="Zkladntext"/>
        </w:rPr>
        <w:t>dle ustanovení čl.lll. této smlouvy se sjednává dohodou smluvních stran dle ustanovení § 2 odst. 2 zákona č. 526/1990 Sb., o cenách, v platném znění jako:</w:t>
      </w:r>
    </w:p>
    <w:p w:rsidR="003E49C6" w:rsidRDefault="00FB7F96">
      <w:pPr>
        <w:pStyle w:val="Zkladntext1"/>
        <w:spacing w:after="480" w:line="240" w:lineRule="auto"/>
        <w:ind w:left="1980" w:firstLine="0"/>
      </w:pPr>
      <w:r>
        <w:rPr>
          <w:rStyle w:val="Zkladntext"/>
        </w:rPr>
        <w:t>Cena plnění dle článku III.2.1 této smlouvy je 3 420,-Kč bez DPH za rok.</w:t>
      </w:r>
    </w:p>
    <w:p w:rsidR="003E49C6" w:rsidRDefault="00FB7F96">
      <w:pPr>
        <w:pStyle w:val="Zkladntext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4671695</wp:posOffset>
                </wp:positionH>
                <wp:positionV relativeFrom="paragraph">
                  <wp:posOffset>749300</wp:posOffset>
                </wp:positionV>
                <wp:extent cx="1256030" cy="2559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9C6" w:rsidRDefault="00FB7F96">
                            <w:pPr>
                              <w:pStyle w:val="Zkladntext1"/>
                              <w:spacing w:before="80" w:line="240" w:lineRule="auto"/>
                              <w:ind w:firstLine="0"/>
                            </w:pPr>
                            <w:r>
                              <w:rPr>
                                <w:rStyle w:val="Zkladntext"/>
                              </w:rPr>
                              <w:t xml:space="preserve">V Brně, dne </w:t>
                            </w:r>
                            <w:r>
                              <w:rPr>
                                <w:rStyle w:val="Zkladntext"/>
                                <w:color w:val="6364A7"/>
                              </w:rPr>
                              <w:t>&gt; £&gt;,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7.85000000000002pt;margin-top:59.pt;width:98.900000000000006pt;height:20.15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8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V Brně, dne </w:t>
                      </w:r>
                      <w:r>
                        <w:rPr>
                          <w:rStyle w:val="CharStyle3"/>
                          <w:color w:val="6364A7"/>
                        </w:rPr>
                        <w:t>&gt; £&gt;,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2"/>
          <w:i/>
          <w:iCs/>
        </w:rPr>
        <w:t>Tento d</w:t>
      </w:r>
      <w:r>
        <w:rPr>
          <w:rStyle w:val="Zkladntext2"/>
          <w:i/>
          <w:iCs/>
        </w:rPr>
        <w:t>odatek ke smlouvě upravuje pouze výše uvedené body této smlouvy, ostatní ujednání zůstávají platná v původním znění smlouvy.</w:t>
      </w:r>
    </w:p>
    <w:p w:rsidR="003E49C6" w:rsidRDefault="00FB7F96">
      <w:pPr>
        <w:pStyle w:val="Zkladntext1"/>
        <w:spacing w:after="720" w:line="240" w:lineRule="auto"/>
        <w:ind w:firstLine="700"/>
        <w:jc w:val="both"/>
      </w:pPr>
      <w:r>
        <w:rPr>
          <w:noProof/>
          <w:lang w:bidi="ar-SA"/>
        </w:rPr>
        <w:drawing>
          <wp:anchor distT="0" distB="338455" distL="114300" distR="114300" simplePos="0" relativeHeight="125829380" behindDoc="0" locked="0" layoutInCell="1" allowOverlap="1">
            <wp:simplePos x="0" y="0"/>
            <wp:positionH relativeFrom="page">
              <wp:posOffset>1071880</wp:posOffset>
            </wp:positionH>
            <wp:positionV relativeFrom="paragraph">
              <wp:posOffset>622300</wp:posOffset>
            </wp:positionV>
            <wp:extent cx="1755775" cy="420370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5577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1322070</wp:posOffset>
                </wp:positionH>
                <wp:positionV relativeFrom="paragraph">
                  <wp:posOffset>1231900</wp:posOffset>
                </wp:positionV>
                <wp:extent cx="807720" cy="14922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9C6" w:rsidRDefault="00FB7F96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04.10000000000001pt;margin-top:97.pt;width:63.600000000000001pt;height:11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za zhotovitele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"/>
        </w:rPr>
        <w:t xml:space="preserve">V Brně, dne </w:t>
      </w:r>
      <w:r>
        <w:rPr>
          <w:rStyle w:val="Zkladntext"/>
          <w:color w:val="3380DF"/>
        </w:rPr>
        <w:t>//. £</w:t>
      </w:r>
    </w:p>
    <w:p w:rsidR="003E49C6" w:rsidRDefault="00FB7F96">
      <w:pPr>
        <w:pStyle w:val="Nadpis30"/>
        <w:keepNext/>
        <w:keepLines/>
        <w:spacing w:after="0" w:line="226" w:lineRule="auto"/>
        <w:ind w:left="2480"/>
        <w:jc w:val="left"/>
      </w:pPr>
      <w:bookmarkStart w:id="5" w:name="bookmark10"/>
      <w:r>
        <w:rPr>
          <w:rStyle w:val="Nadpis3"/>
          <w:b/>
          <w:bCs/>
          <w:color w:val="3380DF"/>
          <w:w w:val="70"/>
        </w:rPr>
        <w:t>Zdravotnická záchrannájíluž:</w:t>
      </w:r>
      <w:bookmarkEnd w:id="5"/>
    </w:p>
    <w:p w:rsidR="003E49C6" w:rsidRDefault="00FB7F96">
      <w:pPr>
        <w:pStyle w:val="Zkladntext1"/>
        <w:spacing w:line="226" w:lineRule="auto"/>
        <w:ind w:right="1460" w:firstLine="0"/>
        <w:jc w:val="right"/>
        <w:rPr>
          <w:sz w:val="18"/>
          <w:szCs w:val="18"/>
        </w:rPr>
      </w:pPr>
      <w:r>
        <w:rPr>
          <w:rStyle w:val="Zkladntext"/>
          <w:color w:val="3380DF"/>
          <w:sz w:val="18"/>
          <w:szCs w:val="18"/>
        </w:rPr>
        <w:t>\xo.</w:t>
      </w:r>
    </w:p>
    <w:p w:rsidR="003E49C6" w:rsidRDefault="00FB7F96">
      <w:pPr>
        <w:pStyle w:val="Zkladntext1"/>
        <w:spacing w:after="40" w:line="204" w:lineRule="auto"/>
        <w:ind w:left="2480" w:firstLine="0"/>
        <w:rPr>
          <w:sz w:val="18"/>
          <w:szCs w:val="18"/>
        </w:rPr>
      </w:pPr>
      <w:r>
        <w:rPr>
          <w:rStyle w:val="Zkladntext"/>
          <w:color w:val="3380DF"/>
          <w:sz w:val="18"/>
          <w:szCs w:val="18"/>
        </w:rPr>
        <w:t>.KamedftÍ7TS8/i j</w:t>
      </w:r>
      <w:r>
        <w:rPr>
          <w:rStyle w:val="Zkladntext"/>
          <w:sz w:val="18"/>
          <w:szCs w:val="18"/>
        </w:rPr>
        <w:t xml:space="preserve">. </w:t>
      </w:r>
      <w:r>
        <w:rPr>
          <w:rStyle w:val="Zkladntext"/>
          <w:color w:val="3380DF"/>
          <w:sz w:val="18"/>
          <w:szCs w:val="18"/>
        </w:rPr>
        <w:t>623-00 Brn</w:t>
      </w:r>
    </w:p>
    <w:p w:rsidR="003E49C6" w:rsidRDefault="00FB7F96">
      <w:pPr>
        <w:pStyle w:val="Zkladntext1"/>
        <w:spacing w:line="240" w:lineRule="auto"/>
        <w:ind w:firstLine="0"/>
        <w:jc w:val="center"/>
        <w:rPr>
          <w:sz w:val="20"/>
          <w:szCs w:val="20"/>
        </w:rPr>
      </w:pPr>
      <w:r>
        <w:rPr>
          <w:rStyle w:val="Zkladntext"/>
          <w:color w:val="3380DF"/>
          <w:sz w:val="20"/>
          <w:szCs w:val="20"/>
        </w:rPr>
        <w:t xml:space="preserve">* </w:t>
      </w:r>
      <w:r>
        <w:rPr>
          <w:rStyle w:val="Zkladntext"/>
          <w:color w:val="6364A7"/>
          <w:sz w:val="20"/>
          <w:szCs w:val="20"/>
        </w:rPr>
        <w:t>/</w:t>
      </w:r>
    </w:p>
    <w:p w:rsidR="003E49C6" w:rsidRDefault="00FB7F96">
      <w:pPr>
        <w:pStyle w:val="Zkladntext1"/>
        <w:spacing w:after="140" w:line="190" w:lineRule="auto"/>
        <w:ind w:firstLine="0"/>
        <w:jc w:val="center"/>
        <w:sectPr w:rsidR="003E49C6">
          <w:footerReference w:type="even" r:id="rId8"/>
          <w:footerReference w:type="default" r:id="rId9"/>
          <w:pgSz w:w="11900" w:h="16840"/>
          <w:pgMar w:top="506" w:right="838" w:bottom="888" w:left="1357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za objednatele</w:t>
      </w:r>
    </w:p>
    <w:p w:rsidR="003E49C6" w:rsidRDefault="00FB7F96">
      <w:pPr>
        <w:pStyle w:val="Nadpis30"/>
        <w:keepNext/>
        <w:keepLines/>
        <w:spacing w:after="0" w:line="293" w:lineRule="auto"/>
      </w:pPr>
      <w:bookmarkStart w:id="6" w:name="bookmark12"/>
      <w:r>
        <w:rPr>
          <w:rStyle w:val="Nadpis3"/>
          <w:b/>
          <w:bCs/>
        </w:rPr>
        <w:lastRenderedPageBreak/>
        <w:t>Příloha 1</w:t>
      </w:r>
      <w:r>
        <w:rPr>
          <w:rStyle w:val="Nadpis3"/>
          <w:b/>
          <w:bCs/>
        </w:rPr>
        <w:br/>
        <w:t>Seznam a umístění zařízení, cena služeb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6"/>
        <w:gridCol w:w="2525"/>
        <w:gridCol w:w="1925"/>
        <w:gridCol w:w="590"/>
        <w:gridCol w:w="586"/>
        <w:gridCol w:w="1171"/>
        <w:gridCol w:w="1579"/>
        <w:gridCol w:w="1358"/>
        <w:gridCol w:w="1344"/>
      </w:tblGrid>
      <w:tr w:rsidR="003E49C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C6" w:rsidRDefault="00FB7F96">
            <w:pPr>
              <w:pStyle w:val="Jin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Zařízení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C6" w:rsidRDefault="00FB7F96">
            <w:pPr>
              <w:pStyle w:val="Jin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Výrobní číslo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C6" w:rsidRDefault="00FB7F96">
            <w:pPr>
              <w:pStyle w:val="Jin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Umístění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C6" w:rsidRDefault="00FB7F96">
            <w:pPr>
              <w:pStyle w:val="Jin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Typ llužby</w:t>
            </w:r>
          </w:p>
          <w:p w:rsidR="003E49C6" w:rsidRDefault="00FB7F96">
            <w:pPr>
              <w:pStyle w:val="Jin0"/>
              <w:spacing w:line="240" w:lineRule="auto"/>
              <w:ind w:firstLine="50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il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C6" w:rsidRDefault="00FB7F96">
            <w:pPr>
              <w:pStyle w:val="Jin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 xml:space="preserve">Perioda </w:t>
            </w:r>
            <w:r>
              <w:rPr>
                <w:rStyle w:val="Jin"/>
                <w:b/>
                <w:bCs/>
                <w:sz w:val="20"/>
                <w:szCs w:val="20"/>
              </w:rPr>
              <w:t>(měsíce)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C6" w:rsidRDefault="00FB7F96">
            <w:pPr>
              <w:pStyle w:val="Jin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Předpokládaný termín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C6" w:rsidRDefault="00FB7F96">
            <w:pPr>
              <w:pStyle w:val="Jin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Cena Kč za úkon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6" w:rsidRDefault="00FB7F96">
            <w:pPr>
              <w:pStyle w:val="Jin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Cena Kč za rok</w:t>
            </w: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C6" w:rsidRDefault="00FB7F96">
            <w:pPr>
              <w:pStyle w:val="Jin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MTG FG.WILSON XH14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C6" w:rsidRDefault="00FB7F96">
            <w:pPr>
              <w:pStyle w:val="Jin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ZZS Hodonín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C6" w:rsidRDefault="00FB7F96">
            <w:pPr>
              <w:pStyle w:val="Jin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Rójční profýlaxe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C6" w:rsidRDefault="00FB7F96">
            <w:pPr>
              <w:pStyle w:val="Jin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C6" w:rsidRDefault="00FB7F96">
            <w:pPr>
              <w:pStyle w:val="Jin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květen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C6" w:rsidRDefault="00FB7F96">
            <w:pPr>
              <w:pStyle w:val="Jin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3 420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6" w:rsidRDefault="00FB7F96">
            <w:pPr>
              <w:pStyle w:val="Jin0"/>
              <w:spacing w:line="240" w:lineRule="auto"/>
              <w:ind w:firstLine="4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3 420</w:t>
            </w: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C6" w:rsidRDefault="003E49C6"/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C6" w:rsidRDefault="003E49C6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FB7F96">
            <w:pPr>
              <w:pStyle w:val="Jin0"/>
              <w:spacing w:line="240" w:lineRule="auto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'l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C6" w:rsidRDefault="003E49C6"/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C6" w:rsidRDefault="003E49C6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C6" w:rsidRDefault="00FB7F96">
            <w:pPr>
              <w:pStyle w:val="Jin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•*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C6" w:rsidRDefault="003E49C6"/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FB7F96">
            <w:pPr>
              <w:pStyle w:val="Jin0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■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C6" w:rsidRDefault="003E49C6"/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C6" w:rsidRDefault="00FB7F96">
            <w:pPr>
              <w:pStyle w:val="Jin0"/>
              <w:spacing w:line="187" w:lineRule="auto"/>
              <w:ind w:left="500" w:firstLine="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'I 4 II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FB7F96">
            <w:pPr>
              <w:pStyle w:val="Jin0"/>
              <w:spacing w:line="240" w:lineRule="auto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C6" w:rsidRDefault="00FB7F96">
            <w:pPr>
              <w:pStyle w:val="Jin0"/>
              <w:spacing w:after="80" w:line="240" w:lineRule="auto"/>
              <w:ind w:firstLine="50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i!</w:t>
            </w:r>
          </w:p>
          <w:p w:rsidR="003E49C6" w:rsidRDefault="00FB7F96">
            <w:pPr>
              <w:pStyle w:val="Jin0"/>
              <w:spacing w:line="240" w:lineRule="auto"/>
              <w:ind w:firstLine="50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I'.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49C6" w:rsidRDefault="00FB7F96">
            <w:pPr>
              <w:pStyle w:val="Jin0"/>
              <w:spacing w:after="100" w:line="240" w:lineRule="auto"/>
              <w:ind w:firstLine="50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r</w:t>
            </w:r>
          </w:p>
          <w:p w:rsidR="003E49C6" w:rsidRDefault="00FB7F96">
            <w:pPr>
              <w:pStyle w:val="Jin0"/>
              <w:spacing w:line="240" w:lineRule="auto"/>
              <w:ind w:firstLine="50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i.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49C6" w:rsidRDefault="003E49C6"/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</w:tr>
      <w:tr w:rsidR="003E49C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9C6" w:rsidRDefault="003E49C6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C6" w:rsidRDefault="00FB7F96">
            <w:pPr>
              <w:pStyle w:val="Jin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Celkem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C6" w:rsidRDefault="00FB7F96">
            <w:pPr>
              <w:pStyle w:val="Jin0"/>
              <w:spacing w:line="240" w:lineRule="auto"/>
              <w:ind w:firstLine="4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3 420</w:t>
            </w:r>
          </w:p>
        </w:tc>
      </w:tr>
    </w:tbl>
    <w:p w:rsidR="003E49C6" w:rsidRDefault="003E49C6">
      <w:pPr>
        <w:spacing w:after="1679" w:line="1" w:lineRule="exact"/>
      </w:pPr>
    </w:p>
    <w:p w:rsidR="003E49C6" w:rsidRDefault="00FB7F96">
      <w:pPr>
        <w:pStyle w:val="Zkladntext30"/>
        <w:ind w:right="0"/>
        <w:sectPr w:rsidR="003E49C6">
          <w:pgSz w:w="16840" w:h="11900" w:orient="landscape"/>
          <w:pgMar w:top="1354" w:right="1385" w:bottom="559" w:left="1492" w:header="0" w:footer="3" w:gutter="0"/>
          <w:cols w:space="720"/>
          <w:noEndnote/>
          <w:docGrid w:linePitch="360"/>
        </w:sectPr>
      </w:pPr>
      <w:r>
        <w:rPr>
          <w:rStyle w:val="Zkladntext3"/>
        </w:rPr>
        <w:t>Smlouva o dílo dodatek č.1 str.2</w:t>
      </w:r>
    </w:p>
    <w:p w:rsidR="003E49C6" w:rsidRDefault="00FB7F96">
      <w:pPr>
        <w:pStyle w:val="Nadpis30"/>
        <w:keepNext/>
        <w:keepLines/>
        <w:spacing w:after="380"/>
      </w:pPr>
      <w:bookmarkStart w:id="7" w:name="bookmark14"/>
      <w:r>
        <w:rPr>
          <w:rStyle w:val="Nadpis3"/>
          <w:b/>
          <w:bCs/>
        </w:rPr>
        <w:lastRenderedPageBreak/>
        <w:t>Příloha 2</w:t>
      </w:r>
      <w:bookmarkEnd w:id="7"/>
    </w:p>
    <w:p w:rsidR="003E49C6" w:rsidRDefault="00FB7F96">
      <w:pPr>
        <w:pStyle w:val="Nadpis30"/>
        <w:keepNext/>
        <w:keepLines/>
        <w:spacing w:after="520"/>
      </w:pPr>
      <w:r>
        <w:rPr>
          <w:rStyle w:val="Nadpis3"/>
          <w:b/>
          <w:bCs/>
        </w:rPr>
        <w:t>Všeobecné požadavky na údržbu motorgenerátorů</w:t>
      </w:r>
    </w:p>
    <w:p w:rsidR="003E49C6" w:rsidRDefault="00FB7F96">
      <w:pPr>
        <w:pStyle w:val="Zkladntext1"/>
        <w:ind w:left="340"/>
        <w:jc w:val="both"/>
      </w:pPr>
      <w:r>
        <w:rPr>
          <w:rStyle w:val="Zkladntext"/>
        </w:rPr>
        <w:t xml:space="preserve">Jsou platné pro motorgenerátory dodávané jako náhradní zdroje energie, které jsou </w:t>
      </w:r>
      <w:r>
        <w:rPr>
          <w:rStyle w:val="Zkladntext"/>
        </w:rPr>
        <w:t>provozovány nepravidelně s delšími periodami odstávky. V případě, že motorgenerátory mají být používány jako trvalé zdroje, platí jiný předpis.</w:t>
      </w:r>
    </w:p>
    <w:p w:rsidR="003E49C6" w:rsidRDefault="00FB7F96">
      <w:pPr>
        <w:pStyle w:val="Zkladntext1"/>
        <w:ind w:left="340"/>
        <w:jc w:val="both"/>
      </w:pPr>
      <w:r>
        <w:rPr>
          <w:rStyle w:val="Zkladntext"/>
        </w:rPr>
        <w:t>Tento předpis člení potřebou technickou péči na dílčí prohlídky podle periody, ve které se mají jednotlivé úkony</w:t>
      </w:r>
      <w:r>
        <w:rPr>
          <w:rStyle w:val="Zkladntext"/>
        </w:rPr>
        <w:t xml:space="preserve"> provádět. Současně je uvedeno, jakou kvalifikaci musí mít pracovník (firma) danou prohlídku provádějící.</w:t>
      </w:r>
    </w:p>
    <w:p w:rsidR="003E49C6" w:rsidRDefault="00FB7F96">
      <w:pPr>
        <w:pStyle w:val="Nadpis40"/>
        <w:keepNext/>
        <w:keepLines/>
        <w:numPr>
          <w:ilvl w:val="0"/>
          <w:numId w:val="3"/>
        </w:numPr>
        <w:tabs>
          <w:tab w:val="left" w:pos="360"/>
        </w:tabs>
        <w:ind w:left="0" w:firstLine="0"/>
        <w:jc w:val="both"/>
      </w:pPr>
      <w:bookmarkStart w:id="8" w:name="bookmark17"/>
      <w:r>
        <w:rPr>
          <w:rStyle w:val="Nadpis4"/>
          <w:b/>
          <w:bCs/>
        </w:rPr>
        <w:t>Každý týden je nutno provést</w:t>
      </w:r>
      <w:bookmarkEnd w:id="8"/>
    </w:p>
    <w:p w:rsidR="003E49C6" w:rsidRDefault="00FB7F96">
      <w:pPr>
        <w:pStyle w:val="Zkladntext1"/>
        <w:ind w:left="340"/>
        <w:jc w:val="both"/>
      </w:pPr>
      <w:r>
        <w:rPr>
          <w:rStyle w:val="Zkladntext"/>
        </w:rPr>
        <w:t>Kontrola neporušenosti a úplnosti soustrojí. Kontrola množství oleje v motoru (při větším poklesu volat odborný servis!),</w:t>
      </w:r>
      <w:r>
        <w:rPr>
          <w:rStyle w:val="Zkladntext"/>
        </w:rPr>
        <w:t xml:space="preserve"> kontrola množství chladícího media v motoru (dtto!), kontrola stavu a těsnosti palivové nádrže, množství paliva, Kontrola dobíjení startovacích akumulátorů, kontrola výšky hladiny elektrolytu, kontrola čistoty prostředí a čistoty větracích elementů. V pří</w:t>
      </w:r>
      <w:r>
        <w:rPr>
          <w:rStyle w:val="Zkladntext"/>
        </w:rPr>
        <w:t>padě, že je motorgenerátor vybaven záchytnou ekologickou vanou a pokud v případě deště dojde k jejímu naplnění, musí zaškolená obsluha zajistit odčerpání vody ze záchytné vany.</w:t>
      </w:r>
    </w:p>
    <w:p w:rsidR="003E49C6" w:rsidRDefault="00FB7F96">
      <w:pPr>
        <w:pStyle w:val="Zkladntext1"/>
        <w:ind w:left="340"/>
        <w:jc w:val="both"/>
      </w:pPr>
      <w:r>
        <w:rPr>
          <w:rStyle w:val="Zkladntext"/>
        </w:rPr>
        <w:t xml:space="preserve">V případě, zvýšeného provozu (provoz více než 2 hodiny týdně) je nutné práce s </w:t>
      </w:r>
      <w:r>
        <w:rPr>
          <w:rStyle w:val="Zkladntext"/>
        </w:rPr>
        <w:t>náplní týdenní kontroly provádět každý den.</w:t>
      </w:r>
    </w:p>
    <w:p w:rsidR="003E49C6" w:rsidRDefault="00FB7F96">
      <w:pPr>
        <w:pStyle w:val="Zkladntext1"/>
        <w:ind w:left="340"/>
        <w:jc w:val="both"/>
      </w:pPr>
      <w:r>
        <w:rPr>
          <w:rStyle w:val="Zkladntext"/>
          <w:i/>
          <w:iCs/>
        </w:rPr>
        <w:t>Kontroluje zaškolená obsluha MTG a zaznamenává do servisní knížky.</w:t>
      </w:r>
    </w:p>
    <w:p w:rsidR="003E49C6" w:rsidRDefault="00FB7F96">
      <w:pPr>
        <w:pStyle w:val="Nadpis40"/>
        <w:keepNext/>
        <w:keepLines/>
        <w:numPr>
          <w:ilvl w:val="0"/>
          <w:numId w:val="3"/>
        </w:numPr>
        <w:tabs>
          <w:tab w:val="left" w:pos="360"/>
        </w:tabs>
        <w:ind w:left="0" w:firstLine="0"/>
        <w:jc w:val="both"/>
      </w:pPr>
      <w:bookmarkStart w:id="9" w:name="bookmark19"/>
      <w:r>
        <w:rPr>
          <w:rStyle w:val="Nadpis4"/>
          <w:b/>
          <w:bCs/>
        </w:rPr>
        <w:t>Každý měsíc je nutno provést</w:t>
      </w:r>
      <w:bookmarkEnd w:id="9"/>
    </w:p>
    <w:p w:rsidR="003E49C6" w:rsidRDefault="00FB7F96">
      <w:pPr>
        <w:pStyle w:val="Zkladntext1"/>
        <w:ind w:firstLine="340"/>
        <w:jc w:val="both"/>
      </w:pPr>
      <w:r>
        <w:rPr>
          <w:rStyle w:val="Zkladntext"/>
        </w:rPr>
        <w:t>Kontrolu startování MTG, kontrolu chodu MTG (do 5 minut chodu), kontrola těsnosti kapotáže.</w:t>
      </w:r>
    </w:p>
    <w:p w:rsidR="003E49C6" w:rsidRDefault="00FB7F96">
      <w:pPr>
        <w:pStyle w:val="Zkladntext1"/>
        <w:ind w:left="340"/>
        <w:jc w:val="both"/>
      </w:pPr>
      <w:r>
        <w:rPr>
          <w:rStyle w:val="Zkladntext"/>
          <w:i/>
          <w:iCs/>
        </w:rPr>
        <w:t>Kontroluje zaškolená obs</w:t>
      </w:r>
      <w:r>
        <w:rPr>
          <w:rStyle w:val="Zkladntext"/>
          <w:i/>
          <w:iCs/>
        </w:rPr>
        <w:t>luha MTG a provádí se společně s týdenní kontrolou a zaznamenává se do servisní knížky</w:t>
      </w:r>
    </w:p>
    <w:p w:rsidR="003E49C6" w:rsidRDefault="00FB7F96">
      <w:pPr>
        <w:pStyle w:val="Nadpis40"/>
        <w:keepNext/>
        <w:keepLines/>
        <w:numPr>
          <w:ilvl w:val="0"/>
          <w:numId w:val="3"/>
        </w:numPr>
        <w:tabs>
          <w:tab w:val="left" w:pos="360"/>
        </w:tabs>
        <w:jc w:val="both"/>
      </w:pPr>
      <w:bookmarkStart w:id="10" w:name="bookmark21"/>
      <w:r>
        <w:rPr>
          <w:rStyle w:val="Nadpis4"/>
          <w:b/>
          <w:bCs/>
        </w:rPr>
        <w:t>Každých 6 měsíců, nebo po najetí 125 motohodin od roční profylaxe se provádí půlroční profylaxe, která zahrnuje:</w:t>
      </w:r>
      <w:bookmarkEnd w:id="10"/>
    </w:p>
    <w:p w:rsidR="003E49C6" w:rsidRDefault="00FB7F96">
      <w:pPr>
        <w:pStyle w:val="Zkladntext1"/>
        <w:ind w:left="340"/>
        <w:jc w:val="both"/>
      </w:pPr>
      <w:r>
        <w:rPr>
          <w:rStyle w:val="Zkladntext"/>
        </w:rPr>
        <w:t>Kontrola a doplnění množství oleje, kontrola a vyčištění</w:t>
      </w:r>
      <w:r>
        <w:rPr>
          <w:rStyle w:val="Zkladntext"/>
        </w:rPr>
        <w:t xml:space="preserve"> vzduchových filtrů, palivových filtrů, kontrola napnutí klínových řemenů, ekologické vany a jímky, kontrola snímačů, regulátorů, alternátoru, startéru a startovacích akumulátorů, kontrola palivového čerpadla, těsnosti potrubí, předehřevu, kontrola těsnost</w:t>
      </w:r>
      <w:r>
        <w:rPr>
          <w:rStyle w:val="Zkladntext"/>
        </w:rPr>
        <w:t>i výfukového potrubí.</w:t>
      </w:r>
    </w:p>
    <w:p w:rsidR="003E49C6" w:rsidRDefault="00FB7F96">
      <w:pPr>
        <w:pStyle w:val="Zkladntext1"/>
        <w:ind w:firstLine="340"/>
        <w:jc w:val="both"/>
      </w:pPr>
      <w:r>
        <w:rPr>
          <w:rStyle w:val="Zkladntext"/>
        </w:rPr>
        <w:t>Kontrola regulátoru napětí, dotažení spojů, kontrola silových částí a kabelového vedení</w:t>
      </w:r>
    </w:p>
    <w:p w:rsidR="003E49C6" w:rsidRDefault="00FB7F96">
      <w:pPr>
        <w:pStyle w:val="Zkladntext1"/>
        <w:ind w:firstLine="340"/>
        <w:jc w:val="both"/>
      </w:pPr>
      <w:r>
        <w:rPr>
          <w:rStyle w:val="Zkladntext"/>
        </w:rPr>
        <w:t>Kontrola ventilace, silenbloků a průchodnosti větrání a vzduchotechniky</w:t>
      </w:r>
    </w:p>
    <w:p w:rsidR="003E49C6" w:rsidRDefault="00FB7F96">
      <w:pPr>
        <w:pStyle w:val="Zkladntext1"/>
        <w:ind w:left="340"/>
        <w:jc w:val="both"/>
      </w:pPr>
      <w:r>
        <w:rPr>
          <w:rStyle w:val="Zkladntext"/>
        </w:rPr>
        <w:t>Kontrola spojení jednotlivých panelů kapotáže, protihlukových panelů, upev</w:t>
      </w:r>
      <w:r>
        <w:rPr>
          <w:rStyle w:val="Zkladntext"/>
        </w:rPr>
        <w:t>nění pohyblivých částí, závěsů dveří, mříží, servopohonů, protidešťových žaluzií, ukostření kapotáže a kabelových průchodů,</w:t>
      </w:r>
    </w:p>
    <w:p w:rsidR="003E49C6" w:rsidRDefault="00FB7F96">
      <w:pPr>
        <w:pStyle w:val="Zkladntext1"/>
        <w:ind w:left="340"/>
        <w:jc w:val="both"/>
      </w:pPr>
      <w:r>
        <w:rPr>
          <w:rStyle w:val="Zkladntext"/>
        </w:rPr>
        <w:t>Stažení údajů o provozu MTG z řídící jednotky, jejich analýza, kontrola jednotlivých režimů, kontrola monitorovacího zařízení, havar</w:t>
      </w:r>
      <w:r>
        <w:rPr>
          <w:rStyle w:val="Zkladntext"/>
        </w:rPr>
        <w:t>ijních a měřících čidel, měřících přístrojů.</w:t>
      </w:r>
    </w:p>
    <w:p w:rsidR="003E49C6" w:rsidRDefault="00FB7F96">
      <w:pPr>
        <w:pStyle w:val="Zkladntext1"/>
        <w:ind w:left="340"/>
        <w:jc w:val="both"/>
      </w:pPr>
      <w:r>
        <w:rPr>
          <w:rStyle w:val="Zkladntext"/>
        </w:rPr>
        <w:t>Kontrola svorkovnic a utažení šroubů na spojích, kontrola dálkového monitoringu, vnější kontrola silových částí.</w:t>
      </w:r>
    </w:p>
    <w:p w:rsidR="003E49C6" w:rsidRDefault="00FB7F96">
      <w:pPr>
        <w:pStyle w:val="Zkladntext1"/>
        <w:ind w:left="340"/>
        <w:jc w:val="both"/>
      </w:pPr>
      <w:r>
        <w:rPr>
          <w:rStyle w:val="Zkladntext"/>
          <w:i/>
          <w:iCs/>
        </w:rPr>
        <w:t xml:space="preserve">Kontrolu provádí specializovaná firma autorizovaná k záručnímu servisu výrobcem zařízeni nebo UPS </w:t>
      </w:r>
      <w:r>
        <w:rPr>
          <w:rStyle w:val="Zkladntext"/>
          <w:i/>
          <w:iCs/>
        </w:rPr>
        <w:t>Technology a.s. a zaznamenává se do servisní knížky.</w:t>
      </w:r>
    </w:p>
    <w:p w:rsidR="003E49C6" w:rsidRDefault="00FB7F96">
      <w:pPr>
        <w:pStyle w:val="Nadpis40"/>
        <w:keepNext/>
        <w:keepLines/>
        <w:numPr>
          <w:ilvl w:val="0"/>
          <w:numId w:val="3"/>
        </w:numPr>
        <w:tabs>
          <w:tab w:val="left" w:pos="360"/>
        </w:tabs>
        <w:jc w:val="both"/>
      </w:pPr>
      <w:bookmarkStart w:id="11" w:name="bookmark23"/>
      <w:r>
        <w:rPr>
          <w:rStyle w:val="Nadpis4"/>
          <w:b/>
          <w:bCs/>
        </w:rPr>
        <w:t>Každých 12 měsíců, nebo po najetí 250 motohodin od předchozí profylaxe se provádí roční profylaxe</w:t>
      </w:r>
      <w:bookmarkEnd w:id="11"/>
    </w:p>
    <w:p w:rsidR="003E49C6" w:rsidRDefault="00FB7F96">
      <w:pPr>
        <w:pStyle w:val="Zkladntext1"/>
        <w:ind w:firstLine="340"/>
        <w:jc w:val="both"/>
      </w:pPr>
      <w:r>
        <w:rPr>
          <w:rStyle w:val="Zkladntext"/>
        </w:rPr>
        <w:t>Zahrnuje v sobě úkony půlroční profylaxe (viz výše) a následující práce a kontroly.</w:t>
      </w:r>
    </w:p>
    <w:p w:rsidR="003E49C6" w:rsidRDefault="00FB7F96">
      <w:pPr>
        <w:pStyle w:val="Zkladntext1"/>
        <w:ind w:left="340"/>
        <w:jc w:val="both"/>
      </w:pPr>
      <w:r>
        <w:rPr>
          <w:rStyle w:val="Zkladntext"/>
        </w:rPr>
        <w:t xml:space="preserve">Výměna oleje, </w:t>
      </w:r>
      <w:r>
        <w:rPr>
          <w:rStyle w:val="Zkladntext"/>
        </w:rPr>
        <w:t>olejových, palivových a vzduchových filtrů, výměna chladicího media, kontrola a případná výměna klínového řemene, seřízení otáček, kontrola izolace rotoru generátoru, kontrola statorového vinutí, kontrola ložisek generátoru, kontrola izolace generátoru.</w:t>
      </w:r>
    </w:p>
    <w:p w:rsidR="003E49C6" w:rsidRDefault="00FB7F96">
      <w:pPr>
        <w:pStyle w:val="Zkladntext1"/>
        <w:ind w:left="340"/>
        <w:jc w:val="both"/>
      </w:pPr>
      <w:r>
        <w:rPr>
          <w:rStyle w:val="Zkladntext"/>
        </w:rPr>
        <w:t>Ko</w:t>
      </w:r>
      <w:r>
        <w:rPr>
          <w:rStyle w:val="Zkladntext"/>
        </w:rPr>
        <w:t>ntrola parametrů generátoru, promazání ložisek, odstranění nečistot z rotoru a statoru, nastavení regulátoru napětí.</w:t>
      </w:r>
    </w:p>
    <w:p w:rsidR="003E49C6" w:rsidRDefault="00FB7F96">
      <w:pPr>
        <w:pStyle w:val="Zkladntext1"/>
        <w:ind w:left="340"/>
        <w:jc w:val="both"/>
      </w:pPr>
      <w:r>
        <w:rPr>
          <w:rStyle w:val="Zkladntext"/>
        </w:rPr>
        <w:t>Kontrola stavu elektrických bloků a uzlů, ověření parametrů řídící jednotky, kontrola izolace.</w:t>
      </w:r>
    </w:p>
    <w:p w:rsidR="003E49C6" w:rsidRDefault="00FB7F96">
      <w:pPr>
        <w:pStyle w:val="Zkladntext1"/>
        <w:ind w:left="340"/>
        <w:jc w:val="both"/>
      </w:pPr>
      <w:r>
        <w:rPr>
          <w:rStyle w:val="Zkladntext"/>
          <w:i/>
          <w:iCs/>
        </w:rPr>
        <w:t>Kontrolu provádí specializovaná firma autori</w:t>
      </w:r>
      <w:r>
        <w:rPr>
          <w:rStyle w:val="Zkladntext"/>
          <w:i/>
          <w:iCs/>
        </w:rPr>
        <w:t>zovaná k záručnímu servisu výrobcem zařízení nebo UPS Technology a.s. a zaznamenává se do servisní knížky.</w:t>
      </w:r>
    </w:p>
    <w:sectPr w:rsidR="003E49C6">
      <w:pgSz w:w="11900" w:h="16840"/>
      <w:pgMar w:top="1374" w:right="1395" w:bottom="1374" w:left="13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96" w:rsidRDefault="00FB7F96">
      <w:r>
        <w:separator/>
      </w:r>
    </w:p>
  </w:endnote>
  <w:endnote w:type="continuationSeparator" w:id="0">
    <w:p w:rsidR="00FB7F96" w:rsidRDefault="00FB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C6" w:rsidRDefault="003E49C6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C6" w:rsidRDefault="00FB7F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5165090</wp:posOffset>
              </wp:positionH>
              <wp:positionV relativeFrom="page">
                <wp:posOffset>10129520</wp:posOffset>
              </wp:positionV>
              <wp:extent cx="1454150" cy="825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49C6" w:rsidRDefault="00FB7F96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Smlouva o dílo dodatek č.1 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013F" w:rsidRPr="00E3013F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406.7pt;margin-top:797.6pt;width:114.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" filled="f" stroked="f">
              <v:textbox style="mso-fit-shape-to-text:t" inset="0,0,0,0">
                <w:txbxContent>
                  <w:p w:rsidR="003E49C6" w:rsidRDefault="00FB7F96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t xml:space="preserve">Smlouva o dílo dodatek č.1 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013F" w:rsidRPr="00E3013F">
                      <w:rPr>
                        <w:rStyle w:val="Zhlavnebozpat2"/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3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96" w:rsidRDefault="00FB7F96"/>
  </w:footnote>
  <w:footnote w:type="continuationSeparator" w:id="0">
    <w:p w:rsidR="00FB7F96" w:rsidRDefault="00FB7F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4FA"/>
    <w:multiLevelType w:val="multilevel"/>
    <w:tmpl w:val="A9B4E03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3258D"/>
    <w:multiLevelType w:val="multilevel"/>
    <w:tmpl w:val="B2D2BD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34953"/>
    <w:multiLevelType w:val="multilevel"/>
    <w:tmpl w:val="83F4C07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C6"/>
    <w:rsid w:val="003E49C6"/>
    <w:rsid w:val="00E3013F"/>
    <w:rsid w:val="00FB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6F4F1-0D85-48A4-9166-B5BFD0A4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line="252" w:lineRule="auto"/>
      <w:ind w:firstLine="20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40"/>
      <w:ind w:right="1120"/>
      <w:jc w:val="right"/>
      <w:outlineLvl w:val="0"/>
    </w:pPr>
    <w:rPr>
      <w:rFonts w:ascii="Times New Roman" w:eastAsia="Times New Roman" w:hAnsi="Times New Roman" w:cs="Times New Roman"/>
      <w:sz w:val="66"/>
      <w:szCs w:val="6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ind w:right="560"/>
      <w:jc w:val="righ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pacing w:after="40" w:line="180" w:lineRule="auto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Nadpis30">
    <w:name w:val="Nadpis #3"/>
    <w:basedOn w:val="Normln"/>
    <w:link w:val="Nadpis3"/>
    <w:pPr>
      <w:spacing w:after="40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Jin0">
    <w:name w:val="Jiné"/>
    <w:basedOn w:val="Normln"/>
    <w:link w:val="Jin"/>
    <w:pPr>
      <w:spacing w:line="252" w:lineRule="auto"/>
      <w:ind w:firstLine="20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720"/>
      <w:ind w:left="1060" w:hanging="660"/>
    </w:pPr>
    <w:rPr>
      <w:rFonts w:ascii="Arial" w:eastAsia="Arial" w:hAnsi="Arial" w:cs="Arial"/>
      <w:i/>
      <w:iCs/>
      <w:sz w:val="22"/>
      <w:szCs w:val="22"/>
    </w:rPr>
  </w:style>
  <w:style w:type="paragraph" w:customStyle="1" w:styleId="Nadpis40">
    <w:name w:val="Nadpis #4"/>
    <w:basedOn w:val="Normln"/>
    <w:link w:val="Nadpis4"/>
    <w:pPr>
      <w:spacing w:line="252" w:lineRule="auto"/>
      <w:ind w:left="420" w:hanging="420"/>
      <w:outlineLvl w:val="3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</Words>
  <Characters>4910</Characters>
  <Application>Microsoft Office Word</Application>
  <DocSecurity>0</DocSecurity>
  <Lines>40</Lines>
  <Paragraphs>11</Paragraphs>
  <ScaleCrop>false</ScaleCrop>
  <Company>HP Inc.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2025-06-19T12:32:00Z</dcterms:created>
  <dcterms:modified xsi:type="dcterms:W3CDTF">2025-06-19T12:33:00Z</dcterms:modified>
</cp:coreProperties>
</file>