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Městská knihovna Slavoj ve Dvoře Králové nad Labem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Tylova 512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lang w:val="cs-CZ" w:eastAsia="zh-CN" w:bidi="hi-IN"/>
        </w:rPr>
        <w:t>71176861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</w:t>
      </w:r>
      <w:r>
        <w:rPr>
          <w:shd w:fill="auto" w:val="clear"/>
          <w:lang w:val="cs-CZ" w:eastAsia="zh-CN" w:bidi="hi-IN"/>
        </w:rPr>
        <w:t>IČ:</w:t>
        <w:tab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27-680910277/0100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zastoupený/á: </w:t>
        <w:tab/>
      </w:r>
      <w:r>
        <w:rPr>
          <w:lang w:val="cs-CZ" w:eastAsia="zh-CN" w:bidi="hi-IN"/>
        </w:rPr>
        <w:t>Mgr. Martou Peškovou Staníkovou, ředitelkou knihovny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bookmarkStart w:id="0" w:name="_heading=h.30j0zll"/>
      <w:bookmarkEnd w:id="0"/>
      <w:r>
        <w:rPr>
          <w:b/>
          <w:lang w:val="cs-CZ" w:eastAsia="zh-CN" w:bidi="hi-IN"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1" w:name="_heading=h.gjdgxs"/>
      <w:bookmarkEnd w:id="1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2" w:name="_heading=h.8kmc9gqbqcur"/>
      <w:bookmarkEnd w:id="2"/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3" w:name="_heading=h.1rxfyeavyxc8"/>
      <w:bookmarkEnd w:id="3"/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4" w:name="_heading=h.4jynmvocedzk"/>
      <w:bookmarkEnd w:id="4"/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</w:r>
      <w:r>
        <w:rPr>
          <w:lang w:val="cs-CZ" w:eastAsia="zh-CN" w:bidi="hi-IN"/>
        </w:rPr>
        <w:t>Ve Dvoře Králové n. L . dne 16. 4. 2025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Sdružení knihoven ČR, z.s.</w:t>
        <w:tab/>
        <w:tab/>
      </w:r>
    </w:p>
    <w:p>
      <w:pPr>
        <w:pStyle w:val="Normal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</TotalTime>
  <Application>LibreOffice/7.6.6.3$Windows_X86_64 LibreOffice_project/d97b2716a9a4a2ce1391dee1765565ea469b0ae7</Application>
  <AppVersion>15.0000</AppVersion>
  <Pages>4</Pages>
  <Words>1199</Words>
  <Characters>7016</Characters>
  <CharactersWithSpaces>8102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2025-06-01T21:20:06Z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