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Směnná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 468/2025</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uzavřená v souladu s ustanovením § 2184, 2128 a násl. zákona č. 89/2012 Sb., občanského</w:t>
        <w:br/>
        <w:t>zákoníku, v platném znění</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Smluvní strany:</w:t>
      </w:r>
    </w:p>
    <w:p>
      <w:pPr>
        <w:pStyle w:val="Style2"/>
        <w:keepNext w:val="0"/>
        <w:keepLines w:val="0"/>
        <w:widowControl w:val="0"/>
        <w:numPr>
          <w:ilvl w:val="0"/>
          <w:numId w:val="1"/>
        </w:numPr>
        <w:shd w:val="clear" w:color="auto" w:fill="auto"/>
        <w:tabs>
          <w:tab w:pos="363" w:val="left"/>
        </w:tabs>
        <w:bidi w:val="0"/>
        <w:spacing w:before="0" w:after="0" w:line="240" w:lineRule="auto"/>
        <w:ind w:left="0" w:right="0" w:firstLine="0"/>
        <w:jc w:val="both"/>
      </w:pPr>
      <w:bookmarkStart w:id="3" w:name="bookmark3"/>
      <w:bookmarkEnd w:id="3"/>
      <w:r>
        <w:rPr>
          <w:b/>
          <w:bCs/>
          <w:color w:val="000000"/>
          <w:spacing w:val="0"/>
          <w:w w:val="100"/>
          <w:position w:val="0"/>
          <w:shd w:val="clear" w:color="auto" w:fill="auto"/>
          <w:lang w:val="cs-CZ" w:eastAsia="cs-CZ" w:bidi="cs-CZ"/>
        </w:rPr>
        <w:t>Petrohradská, společnost s ručením omezeným</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Hořesedly 12, 270 04 Hořesedly</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zastoupená:</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tabs>
          <w:tab w:pos="341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IČO: 46711481</w:t>
        <w:tab/>
        <w:t>DIČ: CZ46711481</w:t>
      </w:r>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zapsán v obchodním rejstříku u Městského soudu v Praze v oddílu C, vložce č.76763</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63" w:val="left"/>
        </w:tabs>
        <w:bidi w:val="0"/>
        <w:spacing w:before="0" w:after="0" w:line="240" w:lineRule="auto"/>
        <w:ind w:left="0" w:right="0" w:firstLine="0"/>
        <w:jc w:val="both"/>
      </w:pPr>
      <w:bookmarkStart w:id="4" w:name="bookmark4"/>
      <w:bookmarkEnd w:id="4"/>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tabs>
          <w:tab w:pos="341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IČO: 70889988</w:t>
        <w:tab/>
        <w:t>DIČ: CZ70889988</w:t>
      </w:r>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zapsán v obchodním rejstříku u Krajského soudu v Ústí nad Labem v oddílu A, vložce č.13052</w:t>
      </w:r>
    </w:p>
    <w:p>
      <w:pPr>
        <w:pStyle w:val="Style10"/>
        <w:keepNext w:val="0"/>
        <w:keepLines w:val="0"/>
        <w:widowControl w:val="0"/>
        <w:shd w:val="clear" w:color="auto" w:fill="auto"/>
        <w:bidi w:val="0"/>
        <w:spacing w:before="0" w:after="0" w:line="240" w:lineRule="auto"/>
        <w:ind w:left="4478" w:right="0" w:firstLine="0"/>
        <w:jc w:val="left"/>
      </w:pPr>
      <w:r>
        <w:rPr>
          <w:color w:val="000000"/>
          <w:spacing w:val="0"/>
          <w:w w:val="100"/>
          <w:position w:val="0"/>
          <w:shd w:val="clear" w:color="auto" w:fill="auto"/>
          <w:lang w:val="cs-CZ" w:eastAsia="cs-CZ" w:bidi="cs-CZ"/>
        </w:rPr>
        <w:t>I.</w:t>
      </w:r>
    </w:p>
    <w:tbl>
      <w:tblPr>
        <w:tblOverlap w:val="never"/>
        <w:jc w:val="center"/>
        <w:tblLayout w:type="fixed"/>
      </w:tblPr>
      <w:tblGrid>
        <w:gridCol w:w="1186"/>
        <w:gridCol w:w="1502"/>
        <w:gridCol w:w="3197"/>
        <w:gridCol w:w="3230"/>
      </w:tblGrid>
      <w:tr>
        <w:trPr>
          <w:trHeight w:val="590" w:hRule="exact"/>
        </w:trPr>
        <w:tc>
          <w:tcPr>
            <w:gridSpan w:val="2"/>
            <w:tcBorders/>
            <w:shd w:val="clear" w:color="auto" w:fill="FFFFFF"/>
            <w:vAlign w:val="top"/>
          </w:tcPr>
          <w:p>
            <w:pPr>
              <w:pStyle w:val="Style12"/>
              <w:keepNext w:val="0"/>
              <w:keepLines w:val="0"/>
              <w:widowControl w:val="0"/>
              <w:shd w:val="clear" w:color="auto" w:fill="auto"/>
              <w:bidi w:val="0"/>
              <w:spacing w:before="0" w:after="0" w:line="240" w:lineRule="auto"/>
              <w:ind w:left="300" w:right="0" w:hanging="300"/>
              <w:jc w:val="left"/>
            </w:pPr>
            <w:r>
              <w:rPr>
                <w:color w:val="000000"/>
                <w:spacing w:val="0"/>
                <w:w w:val="100"/>
                <w:position w:val="0"/>
                <w:shd w:val="clear" w:color="auto" w:fill="auto"/>
                <w:lang w:val="cs-CZ" w:eastAsia="cs-CZ" w:bidi="cs-CZ"/>
              </w:rPr>
              <w:t>1. Petrohradská, společnost parcel:</w:t>
            </w:r>
          </w:p>
        </w:tc>
        <w:tc>
          <w:tcPr>
            <w:gridSpan w:val="2"/>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 ručením omezeným prohlašuje, že je vlastníkem níže uvedených</w:t>
            </w:r>
          </w:p>
        </w:tc>
      </w:tr>
      <w:tr>
        <w:trPr>
          <w:trHeight w:val="47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p. p. č.</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výměra</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druh pozemku</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k. ú.</w:t>
            </w:r>
          </w:p>
        </w:tc>
      </w:tr>
      <w:tr>
        <w:trPr>
          <w:trHeight w:val="36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1086</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4514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Petrohrad</w:t>
            </w:r>
          </w:p>
        </w:tc>
      </w:tr>
      <w:tr>
        <w:trPr>
          <w:trHeight w:val="326"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1088</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40386 m</w:t>
            </w:r>
            <w:r>
              <w:rPr>
                <w:color w:val="000000"/>
                <w:spacing w:val="0"/>
                <w:w w:val="100"/>
                <w:position w:val="0"/>
                <w:shd w:val="clear" w:color="auto" w:fill="auto"/>
                <w:vertAlign w:val="superscript"/>
                <w:lang w:val="cs-CZ" w:eastAsia="cs-CZ" w:bidi="cs-CZ"/>
              </w:rPr>
              <w:t>2</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trvalý travní porost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Petrohrad</w:t>
            </w:r>
          </w:p>
        </w:tc>
      </w:tr>
    </w:tbl>
    <w:p>
      <w:pPr>
        <w:widowControl w:val="0"/>
        <w:spacing w:after="179" w:line="1" w:lineRule="exact"/>
      </w:pPr>
    </w:p>
    <w:p>
      <w:pPr>
        <w:pStyle w:val="Style2"/>
        <w:keepNext w:val="0"/>
        <w:keepLines w:val="0"/>
        <w:widowControl w:val="0"/>
        <w:numPr>
          <w:ilvl w:val="0"/>
          <w:numId w:val="3"/>
        </w:numPr>
        <w:shd w:val="clear" w:color="auto" w:fill="auto"/>
        <w:tabs>
          <w:tab w:pos="363"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Tyto pozemkové parcely jsou předmětem této směnné smlouvy a jsou zapsané na listu vlastnictví č. 308 u Katastrálního úřadu pro Ústecký kraj, Katastrálního pracoviště Žatec.</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II.</w:t>
      </w:r>
    </w:p>
    <w:p>
      <w:pPr>
        <w:pStyle w:val="Style2"/>
        <w:keepNext w:val="0"/>
        <w:keepLines w:val="0"/>
        <w:widowControl w:val="0"/>
        <w:numPr>
          <w:ilvl w:val="0"/>
          <w:numId w:val="5"/>
        </w:numPr>
        <w:shd w:val="clear" w:color="auto" w:fill="auto"/>
        <w:tabs>
          <w:tab w:pos="363"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Povodí Ohře, státní podnik prohlašuje, že má na základě ust. zák. č. 305/2000 Sb. o povodích a ust. zák. č. 77/1997 Sb. o státním podniku právo hospodařit s majetkem České republiky, a to s níže uvedenými parcelami:</w:t>
      </w:r>
    </w:p>
    <w:p>
      <w:pPr>
        <w:pStyle w:val="Style2"/>
        <w:keepNext w:val="0"/>
        <w:keepLines w:val="0"/>
        <w:widowControl w:val="0"/>
        <w:shd w:val="clear" w:color="auto" w:fill="auto"/>
        <w:tabs>
          <w:tab w:pos="3132" w:val="left"/>
        </w:tabs>
        <w:bidi w:val="0"/>
        <w:spacing w:before="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1064895</wp:posOffset>
                </wp:positionH>
                <wp:positionV relativeFrom="paragraph">
                  <wp:posOffset>279400</wp:posOffset>
                </wp:positionV>
                <wp:extent cx="1432560" cy="377825"/>
                <wp:wrapSquare wrapText="right"/>
                <wp:docPr id="1" name="Shape 1"/>
                <a:graphic xmlns:a="http://schemas.openxmlformats.org/drawingml/2006/main">
                  <a:graphicData uri="http://schemas.microsoft.com/office/word/2010/wordprocessingShape">
                    <wps:wsp>
                      <wps:cNvSpPr txBox="1"/>
                      <wps:spPr>
                        <a:xfrm>
                          <a:ext cx="1432560" cy="377825"/>
                        </a:xfrm>
                        <a:prstGeom prst="rect"/>
                        <a:noFill/>
                      </wps:spPr>
                      <wps:txbx>
                        <w:txbxContent>
                          <w:p>
                            <w:pPr>
                              <w:pStyle w:val="Style2"/>
                              <w:keepNext w:val="0"/>
                              <w:keepLines w:val="0"/>
                              <w:widowControl w:val="0"/>
                              <w:shd w:val="clear" w:color="auto" w:fill="auto"/>
                              <w:tabs>
                                <w:tab w:pos="1253" w:val="left"/>
                              </w:tabs>
                              <w:bidi w:val="0"/>
                              <w:spacing w:before="0" w:after="0" w:line="240" w:lineRule="auto"/>
                              <w:ind w:left="0" w:right="0" w:firstLine="0"/>
                              <w:jc w:val="left"/>
                            </w:pPr>
                            <w:r>
                              <w:rPr>
                                <w:color w:val="000000"/>
                                <w:spacing w:val="0"/>
                                <w:w w:val="100"/>
                                <w:position w:val="0"/>
                                <w:shd w:val="clear" w:color="auto" w:fill="auto"/>
                                <w:lang w:val="cs-CZ" w:eastAsia="cs-CZ" w:bidi="cs-CZ"/>
                              </w:rPr>
                              <w:t>1146</w:t>
                              <w:tab/>
                              <w:t>41190 m</w:t>
                            </w:r>
                            <w:r>
                              <w:rPr>
                                <w:color w:val="000000"/>
                                <w:spacing w:val="0"/>
                                <w:w w:val="100"/>
                                <w:position w:val="0"/>
                                <w:shd w:val="clear" w:color="auto" w:fill="auto"/>
                                <w:vertAlign w:val="superscript"/>
                                <w:lang w:val="cs-CZ" w:eastAsia="cs-CZ" w:bidi="cs-CZ"/>
                              </w:rPr>
                              <w:t>2</w:t>
                            </w:r>
                          </w:p>
                          <w:p>
                            <w:pPr>
                              <w:pStyle w:val="Style2"/>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1205</w:t>
                              <w:tab/>
                              <w:t>3727 m</w:t>
                            </w:r>
                            <w:r>
                              <w:rPr>
                                <w:color w:val="000000"/>
                                <w:spacing w:val="0"/>
                                <w:w w:val="100"/>
                                <w:position w:val="0"/>
                                <w:shd w:val="clear" w:color="auto" w:fill="auto"/>
                                <w:vertAlign w:val="superscript"/>
                                <w:lang w:val="cs-CZ" w:eastAsia="cs-CZ" w:bidi="cs-CZ"/>
                              </w:rPr>
                              <w:t>2</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3.850000000000009pt;margin-top:22.pt;width:112.8pt;height:29.75pt;z-index:-125829375;mso-wrap-distance-left:9.pt;mso-wrap-distance-right:9.pt;mso-position-horizontal-relative:page" filled="f" stroked="f">
                <v:textbox inset="0,0,0,0">
                  <w:txbxContent>
                    <w:p>
                      <w:pPr>
                        <w:pStyle w:val="Style2"/>
                        <w:keepNext w:val="0"/>
                        <w:keepLines w:val="0"/>
                        <w:widowControl w:val="0"/>
                        <w:shd w:val="clear" w:color="auto" w:fill="auto"/>
                        <w:tabs>
                          <w:tab w:pos="1253" w:val="left"/>
                        </w:tabs>
                        <w:bidi w:val="0"/>
                        <w:spacing w:before="0" w:after="0" w:line="240" w:lineRule="auto"/>
                        <w:ind w:left="0" w:right="0" w:firstLine="0"/>
                        <w:jc w:val="left"/>
                      </w:pPr>
                      <w:r>
                        <w:rPr>
                          <w:color w:val="000000"/>
                          <w:spacing w:val="0"/>
                          <w:w w:val="100"/>
                          <w:position w:val="0"/>
                          <w:shd w:val="clear" w:color="auto" w:fill="auto"/>
                          <w:lang w:val="cs-CZ" w:eastAsia="cs-CZ" w:bidi="cs-CZ"/>
                        </w:rPr>
                        <w:t>1146</w:t>
                        <w:tab/>
                        <w:t>41190 m</w:t>
                      </w:r>
                      <w:r>
                        <w:rPr>
                          <w:color w:val="000000"/>
                          <w:spacing w:val="0"/>
                          <w:w w:val="100"/>
                          <w:position w:val="0"/>
                          <w:shd w:val="clear" w:color="auto" w:fill="auto"/>
                          <w:vertAlign w:val="superscript"/>
                          <w:lang w:val="cs-CZ" w:eastAsia="cs-CZ" w:bidi="cs-CZ"/>
                        </w:rPr>
                        <w:t>2</w:t>
                      </w:r>
                    </w:p>
                    <w:p>
                      <w:pPr>
                        <w:pStyle w:val="Style2"/>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1205</w:t>
                        <w:tab/>
                        <w:t>3727 m</w:t>
                      </w:r>
                      <w:r>
                        <w:rPr>
                          <w:color w:val="000000"/>
                          <w:spacing w:val="0"/>
                          <w:w w:val="100"/>
                          <w:position w:val="0"/>
                          <w:shd w:val="clear" w:color="auto" w:fill="auto"/>
                          <w:vertAlign w:val="superscript"/>
                          <w:lang w:val="cs-CZ" w:eastAsia="cs-CZ" w:bidi="cs-CZ"/>
                        </w:rPr>
                        <w:t>2</w:t>
                      </w:r>
                    </w:p>
                  </w:txbxContent>
                </v:textbox>
                <w10:wrap type="square" side="right" anchorx="page"/>
              </v:shape>
            </w:pict>
          </mc:Fallback>
        </mc:AlternateContent>
      </w:r>
      <w:r>
        <mc:AlternateContent>
          <mc:Choice Requires="wps">
            <w:drawing>
              <wp:anchor distT="0" distB="457200" distL="114300" distR="415925" simplePos="0" relativeHeight="125829380" behindDoc="0" locked="0" layoutInCell="1" allowOverlap="1">
                <wp:simplePos x="0" y="0"/>
                <wp:positionH relativeFrom="page">
                  <wp:posOffset>4844415</wp:posOffset>
                </wp:positionH>
                <wp:positionV relativeFrom="paragraph">
                  <wp:posOffset>12700</wp:posOffset>
                </wp:positionV>
                <wp:extent cx="292735" cy="216535"/>
                <wp:wrapSquare wrapText="left"/>
                <wp:docPr id="3" name="Shape 3"/>
                <a:graphic xmlns:a="http://schemas.openxmlformats.org/drawingml/2006/main">
                  <a:graphicData uri="http://schemas.microsoft.com/office/word/2010/wordprocessingShape">
                    <wps:wsp>
                      <wps:cNvSpPr txBox="1"/>
                      <wps:spPr>
                        <a:xfrm>
                          <a:ext cx="292735" cy="2165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k. ú.</w:t>
                            </w:r>
                          </w:p>
                        </w:txbxContent>
                      </wps:txbx>
                      <wps:bodyPr wrap="none" lIns="0" tIns="0" rIns="0" bIns="0">
                        <a:noAutoFit/>
                      </wps:bodyPr>
                    </wps:wsp>
                  </a:graphicData>
                </a:graphic>
              </wp:anchor>
            </w:drawing>
          </mc:Choice>
          <mc:Fallback>
            <w:pict>
              <v:shape id="_x0000_s1029" type="#_x0000_t202" style="position:absolute;margin-left:381.44999999999999pt;margin-top:1.pt;width:23.050000000000001pt;height:17.050000000000001pt;z-index:-125829373;mso-wrap-distance-left:9.pt;mso-wrap-distance-right:32.75pt;mso-wrap-distance-bottom:3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k. ú.</w:t>
                      </w:r>
                    </w:p>
                  </w:txbxContent>
                </v:textbox>
                <w10:wrap type="square" side="left" anchorx="page"/>
              </v:shape>
            </w:pict>
          </mc:Fallback>
        </mc:AlternateContent>
      </w:r>
      <w:r>
        <mc:AlternateContent>
          <mc:Choice Requires="wps">
            <w:drawing>
              <wp:anchor distT="304800" distB="0" distL="114300" distR="114300" simplePos="0" relativeHeight="125829382" behindDoc="0" locked="0" layoutInCell="1" allowOverlap="1">
                <wp:simplePos x="0" y="0"/>
                <wp:positionH relativeFrom="page">
                  <wp:posOffset>4844415</wp:posOffset>
                </wp:positionH>
                <wp:positionV relativeFrom="paragraph">
                  <wp:posOffset>317500</wp:posOffset>
                </wp:positionV>
                <wp:extent cx="594360" cy="368935"/>
                <wp:wrapSquare wrapText="left"/>
                <wp:docPr id="5" name="Shape 5"/>
                <a:graphic xmlns:a="http://schemas.openxmlformats.org/drawingml/2006/main">
                  <a:graphicData uri="http://schemas.microsoft.com/office/word/2010/wordprocessingShape">
                    <wps:wsp>
                      <wps:cNvSpPr txBox="1"/>
                      <wps:spPr>
                        <a:xfrm>
                          <a:ext cx="594360" cy="3689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Petrohrad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Petrohrad</w:t>
                            </w:r>
                          </w:p>
                        </w:txbxContent>
                      </wps:txbx>
                      <wps:bodyPr lIns="0" tIns="0" rIns="0" bIns="0">
                        <a:noAutoFit/>
                      </wps:bodyPr>
                    </wps:wsp>
                  </a:graphicData>
                </a:graphic>
              </wp:anchor>
            </w:drawing>
          </mc:Choice>
          <mc:Fallback>
            <w:pict>
              <v:shape id="_x0000_s1031" type="#_x0000_t202" style="position:absolute;margin-left:381.44999999999999pt;margin-top:25.pt;width:46.800000000000004pt;height:29.050000000000001pt;z-index:-125829371;mso-wrap-distance-left:9.pt;mso-wrap-distance-top:24.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Petrohrad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Petrohrad</w:t>
                      </w:r>
                    </w:p>
                  </w:txbxContent>
                </v:textbox>
                <w10:wrap type="square" side="left" anchorx="page"/>
              </v:shape>
            </w:pict>
          </mc:Fallback>
        </mc:AlternateContent>
      </w:r>
      <w:r>
        <w:rPr>
          <w:b/>
          <w:bCs/>
          <w:color w:val="000000"/>
          <w:spacing w:val="0"/>
          <w:w w:val="100"/>
          <w:position w:val="0"/>
          <w:shd w:val="clear" w:color="auto" w:fill="auto"/>
          <w:lang w:val="cs-CZ" w:eastAsia="cs-CZ" w:bidi="cs-CZ"/>
        </w:rPr>
        <w:t>p. p. č. výměra</w:t>
        <w:tab/>
        <w:t>druh pozemku</w:t>
      </w:r>
    </w:p>
    <w:p>
      <w:pPr>
        <w:pStyle w:val="Style2"/>
        <w:keepNext w:val="0"/>
        <w:keepLines w:val="0"/>
        <w:widowControl w:val="0"/>
        <w:shd w:val="clear" w:color="auto" w:fill="auto"/>
        <w:bidi w:val="0"/>
        <w:spacing w:before="0" w:line="262" w:lineRule="auto"/>
        <w:ind w:left="460" w:right="0" w:firstLine="0"/>
        <w:jc w:val="left"/>
      </w:pPr>
      <w:r>
        <w:rPr>
          <w:color w:val="000000"/>
          <w:spacing w:val="0"/>
          <w:w w:val="100"/>
          <w:position w:val="0"/>
          <w:shd w:val="clear" w:color="auto" w:fill="auto"/>
          <w:lang w:val="cs-CZ" w:eastAsia="cs-CZ" w:bidi="cs-CZ"/>
        </w:rPr>
        <w:t>chmelnice trvalý travní porost</w:t>
      </w:r>
    </w:p>
    <w:p>
      <w:pPr>
        <w:pStyle w:val="Style2"/>
        <w:keepNext w:val="0"/>
        <w:keepLines w:val="0"/>
        <w:widowControl w:val="0"/>
        <w:numPr>
          <w:ilvl w:val="0"/>
          <w:numId w:val="5"/>
        </w:numPr>
        <w:shd w:val="clear" w:color="auto" w:fill="auto"/>
        <w:tabs>
          <w:tab w:pos="363"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Tyto pozemkové parcely jsou předmětem této směnné smlouvy a jsou zapsané na listu vlastnictví č. 18 u Katastrálního úřadu pro Ústecký kraj, Katastrálního pracoviště Žatec.</w:t>
      </w:r>
    </w:p>
    <w:p>
      <w:pPr>
        <w:pStyle w:val="Style2"/>
        <w:keepNext w:val="0"/>
        <w:keepLines w:val="0"/>
        <w:widowControl w:val="0"/>
        <w:numPr>
          <w:ilvl w:val="0"/>
          <w:numId w:val="5"/>
        </w:numPr>
        <w:shd w:val="clear" w:color="auto" w:fill="auto"/>
        <w:tabs>
          <w:tab w:pos="363"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Na p. p. č. 1146 v k. ú. Petrohrad se nachází konstrukce chmelnice pro pěstování chmele, která je ve vlastnictví Petrohradské, společnosti s ručením omezeným a není předmětem této smlouvy.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III.</w:t>
      </w:r>
    </w:p>
    <w:p>
      <w:pPr>
        <w:pStyle w:val="Style2"/>
        <w:keepNext w:val="0"/>
        <w:keepLines w:val="0"/>
        <w:widowControl w:val="0"/>
        <w:numPr>
          <w:ilvl w:val="0"/>
          <w:numId w:val="7"/>
        </w:numPr>
        <w:shd w:val="clear" w:color="auto" w:fill="auto"/>
        <w:tabs>
          <w:tab w:pos="363"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Povodí Ohře, státní podnik, potřebuje předmět smlouvy uvedený v čl. I. této smlouvy pro zabezpečení výkonu své působnosti a předmětu činnosti v souvislosti s připravovanou akcí „Vodohospodářská opatření v krajině – lokalita Petrohrad.</w:t>
      </w:r>
    </w:p>
    <w:p>
      <w:pPr>
        <w:pStyle w:val="Style2"/>
        <w:keepNext w:val="0"/>
        <w:keepLines w:val="0"/>
        <w:widowControl w:val="0"/>
        <w:numPr>
          <w:ilvl w:val="0"/>
          <w:numId w:val="7"/>
        </w:numPr>
        <w:shd w:val="clear" w:color="auto" w:fill="auto"/>
        <w:tabs>
          <w:tab w:pos="363"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Předmět smlouvy uvedený v čl. II. této smlouvy je z hlediska provozní činnosti Povodí Ohře, státního podniku, nepotřebným majetkem, protože pozemky budou využívány k zemědělské činnosti společností Petrohradská, společnost s ručením omezeným.</w:t>
      </w:r>
    </w:p>
    <w:p>
      <w:pPr>
        <w:pStyle w:val="Style15"/>
        <w:keepNext/>
        <w:keepLines/>
        <w:widowControl w:val="0"/>
        <w:shd w:val="clear" w:color="auto" w:fill="auto"/>
        <w:bidi w:val="0"/>
        <w:spacing w:before="0" w:line="240" w:lineRule="auto"/>
        <w:ind w:left="0" w:right="0" w:firstLine="0"/>
        <w:jc w:val="center"/>
      </w:pPr>
      <w:bookmarkStart w:id="11" w:name="bookmark11"/>
      <w:bookmarkStart w:id="12" w:name="bookmark12"/>
      <w:bookmarkStart w:id="13" w:name="bookmark13"/>
      <w:bookmarkStart w:id="14" w:name="bookmark14"/>
      <w:r>
        <w:rPr>
          <w:color w:val="000000"/>
          <w:spacing w:val="0"/>
          <w:w w:val="100"/>
          <w:position w:val="0"/>
          <w:shd w:val="clear" w:color="auto" w:fill="auto"/>
          <w:lang w:val="cs-CZ" w:eastAsia="cs-CZ" w:bidi="cs-CZ"/>
        </w:rPr>
        <w:t>I</w:t>
      </w:r>
      <w:bookmarkEnd w:id="13"/>
      <w:r>
        <w:rPr>
          <w:color w:val="000000"/>
          <w:spacing w:val="0"/>
          <w:w w:val="100"/>
          <w:position w:val="0"/>
          <w:shd w:val="clear" w:color="auto" w:fill="auto"/>
          <w:lang w:val="cs-CZ" w:eastAsia="cs-CZ" w:bidi="cs-CZ"/>
        </w:rPr>
        <w:t>V.</w:t>
      </w:r>
      <w:bookmarkEnd w:id="11"/>
      <w:bookmarkEnd w:id="12"/>
      <w:bookmarkEnd w:id="14"/>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Touto směnnou smlouvou smluvní strany směňují nemovité věci uvedené v této smlouvě tak, že Petrohradská, společnost s ručením omezeným přijímá do svého vlastnictví p. p. č. 1146 a 1205 v k. ú. Petrohrad a Povodí Ohře, státní podnik, přijímá do svého práva hospodařit p. p. č. 1086 a 1088 v k. ú. Petrohrad s tím, že vlastnické právo k těmto parcelám bude převedeno na Českou republiku.</w:t>
      </w:r>
    </w:p>
    <w:p>
      <w:pPr>
        <w:pStyle w:val="Style15"/>
        <w:keepNext/>
        <w:keepLines/>
        <w:widowControl w:val="0"/>
        <w:shd w:val="clear" w:color="auto" w:fill="auto"/>
        <w:bidi w:val="0"/>
        <w:spacing w:before="0" w:line="240" w:lineRule="auto"/>
        <w:ind w:left="0" w:right="0" w:firstLine="0"/>
        <w:jc w:val="center"/>
      </w:pPr>
      <w:bookmarkStart w:id="15" w:name="bookmark15"/>
      <w:bookmarkStart w:id="16" w:name="bookmark16"/>
      <w:bookmarkStart w:id="17" w:name="bookmark17"/>
      <w:bookmarkStart w:id="18" w:name="bookmark18"/>
      <w:r>
        <w:rPr>
          <w:color w:val="000000"/>
          <w:spacing w:val="0"/>
          <w:w w:val="100"/>
          <w:position w:val="0"/>
          <w:shd w:val="clear" w:color="auto" w:fill="auto"/>
          <w:lang w:val="cs-CZ" w:eastAsia="cs-CZ" w:bidi="cs-CZ"/>
        </w:rPr>
        <w:t>V</w:t>
      </w:r>
      <w:bookmarkEnd w:id="17"/>
      <w:r>
        <w:rPr>
          <w:color w:val="000000"/>
          <w:spacing w:val="0"/>
          <w:w w:val="100"/>
          <w:position w:val="0"/>
          <w:shd w:val="clear" w:color="auto" w:fill="auto"/>
          <w:lang w:val="cs-CZ" w:eastAsia="cs-CZ" w:bidi="cs-CZ"/>
        </w:rPr>
        <w:t>.</w:t>
      </w:r>
      <w:bookmarkEnd w:id="15"/>
      <w:bookmarkEnd w:id="16"/>
      <w:bookmarkEnd w:id="18"/>
    </w:p>
    <w:p>
      <w:pPr>
        <w:pStyle w:val="Style2"/>
        <w:keepNext w:val="0"/>
        <w:keepLines w:val="0"/>
        <w:widowControl w:val="0"/>
        <w:numPr>
          <w:ilvl w:val="0"/>
          <w:numId w:val="9"/>
        </w:numPr>
        <w:shd w:val="clear" w:color="auto" w:fill="auto"/>
        <w:tabs>
          <w:tab w:pos="321" w:val="left"/>
        </w:tabs>
        <w:bidi w:val="0"/>
        <w:spacing w:before="0" w:line="240" w:lineRule="auto"/>
        <w:ind w:left="300" w:right="0" w:hanging="300"/>
        <w:jc w:val="both"/>
      </w:pPr>
      <w:bookmarkStart w:id="19" w:name="bookmark19"/>
      <w:bookmarkEnd w:id="19"/>
      <w:r>
        <w:rPr>
          <w:color w:val="000000"/>
          <w:spacing w:val="0"/>
          <w:w w:val="100"/>
          <w:position w:val="0"/>
          <w:shd w:val="clear" w:color="auto" w:fill="auto"/>
          <w:lang w:val="cs-CZ" w:eastAsia="cs-CZ" w:bidi="cs-CZ"/>
        </w:rPr>
        <w:t>Cena předmětů smlouvy byla stanovena v souladu s platnými cenovými předpisy na základě znaleckého posudku č. 6005-41/22 ze dne 19.03.2025 vypracovaného soudním znalcem</w:t>
      </w:r>
    </w:p>
    <w:p>
      <w:pPr>
        <w:pStyle w:val="Style2"/>
        <w:keepNext w:val="0"/>
        <w:keepLines w:val="0"/>
        <w:widowControl w:val="0"/>
        <w:numPr>
          <w:ilvl w:val="0"/>
          <w:numId w:val="9"/>
        </w:numPr>
        <w:shd w:val="clear" w:color="auto" w:fill="auto"/>
        <w:tabs>
          <w:tab w:pos="321" w:val="left"/>
        </w:tabs>
        <w:bidi w:val="0"/>
        <w:spacing w:before="0" w:line="240" w:lineRule="auto"/>
        <w:ind w:left="300" w:right="0" w:hanging="300"/>
        <w:jc w:val="both"/>
      </w:pPr>
      <w:bookmarkStart w:id="20" w:name="bookmark20"/>
      <w:bookmarkEnd w:id="20"/>
      <w:r>
        <w:rPr>
          <w:color w:val="000000"/>
          <w:spacing w:val="0"/>
          <w:w w:val="100"/>
          <w:position w:val="0"/>
          <w:shd w:val="clear" w:color="auto" w:fill="auto"/>
          <w:lang w:val="cs-CZ" w:eastAsia="cs-CZ" w:bidi="cs-CZ"/>
        </w:rPr>
        <w:t xml:space="preserve">Cena předmětu smlouvy dle čl. II. této smlouvy, se kterým má právo hospodařit Povodí Ohře, státní podnik, činí celkem </w:t>
      </w:r>
      <w:r>
        <w:rPr>
          <w:b/>
          <w:bCs/>
          <w:color w:val="000000"/>
          <w:spacing w:val="0"/>
          <w:w w:val="100"/>
          <w:position w:val="0"/>
          <w:shd w:val="clear" w:color="auto" w:fill="auto"/>
          <w:lang w:val="cs-CZ" w:eastAsia="cs-CZ" w:bidi="cs-CZ"/>
        </w:rPr>
        <w:t xml:space="preserve">2.189.945 Kč </w:t>
      </w:r>
      <w:r>
        <w:rPr>
          <w:color w:val="000000"/>
          <w:spacing w:val="0"/>
          <w:w w:val="100"/>
          <w:position w:val="0"/>
          <w:shd w:val="clear" w:color="auto" w:fill="auto"/>
          <w:lang w:val="cs-CZ" w:eastAsia="cs-CZ" w:bidi="cs-CZ"/>
        </w:rPr>
        <w:t>(slovy: dva miliony sto osmdesát devět tisíc devět set čtyřicet pět korun českých). Tato cena je v místě a čase obvyklá.</w:t>
      </w:r>
    </w:p>
    <w:p>
      <w:pPr>
        <w:pStyle w:val="Style2"/>
        <w:keepNext w:val="0"/>
        <w:keepLines w:val="0"/>
        <w:widowControl w:val="0"/>
        <w:numPr>
          <w:ilvl w:val="0"/>
          <w:numId w:val="9"/>
        </w:numPr>
        <w:shd w:val="clear" w:color="auto" w:fill="auto"/>
        <w:tabs>
          <w:tab w:pos="321" w:val="left"/>
        </w:tabs>
        <w:bidi w:val="0"/>
        <w:spacing w:before="0" w:line="240" w:lineRule="auto"/>
        <w:ind w:left="300" w:right="0" w:hanging="300"/>
        <w:jc w:val="both"/>
      </w:pPr>
      <w:bookmarkStart w:id="21" w:name="bookmark21"/>
      <w:bookmarkEnd w:id="21"/>
      <w:r>
        <w:rPr>
          <w:color w:val="000000"/>
          <w:spacing w:val="0"/>
          <w:w w:val="100"/>
          <w:position w:val="0"/>
          <w:shd w:val="clear" w:color="auto" w:fill="auto"/>
          <w:lang w:val="cs-CZ" w:eastAsia="cs-CZ" w:bidi="cs-CZ"/>
        </w:rPr>
        <w:t xml:space="preserve">Cena předmětu smlouvy dle čl. I. této smlouvy, který je ve vlastnictví Petrohradské, společnosti s ručením omezeným, činí celkem </w:t>
      </w:r>
      <w:r>
        <w:rPr>
          <w:b/>
          <w:bCs/>
          <w:color w:val="000000"/>
          <w:spacing w:val="0"/>
          <w:w w:val="100"/>
          <w:position w:val="0"/>
          <w:shd w:val="clear" w:color="auto" w:fill="auto"/>
          <w:lang w:val="cs-CZ" w:eastAsia="cs-CZ" w:bidi="cs-CZ"/>
        </w:rPr>
        <w:t xml:space="preserve">1.571.500 Kč </w:t>
      </w:r>
      <w:r>
        <w:rPr>
          <w:color w:val="000000"/>
          <w:spacing w:val="0"/>
          <w:w w:val="100"/>
          <w:position w:val="0"/>
          <w:shd w:val="clear" w:color="auto" w:fill="auto"/>
          <w:lang w:val="cs-CZ" w:eastAsia="cs-CZ" w:bidi="cs-CZ"/>
        </w:rPr>
        <w:t>(slovy: jeden milion pět set sedmdesát jedna tisíc pět set korun českých).</w:t>
      </w:r>
    </w:p>
    <w:p>
      <w:pPr>
        <w:pStyle w:val="Style2"/>
        <w:keepNext w:val="0"/>
        <w:keepLines w:val="0"/>
        <w:widowControl w:val="0"/>
        <w:numPr>
          <w:ilvl w:val="0"/>
          <w:numId w:val="9"/>
        </w:numPr>
        <w:shd w:val="clear" w:color="auto" w:fill="auto"/>
        <w:tabs>
          <w:tab w:pos="321" w:val="left"/>
        </w:tabs>
        <w:bidi w:val="0"/>
        <w:spacing w:before="0" w:after="0" w:line="240" w:lineRule="auto"/>
        <w:ind w:left="0" w:right="0" w:firstLine="0"/>
        <w:jc w:val="both"/>
      </w:pPr>
      <w:bookmarkStart w:id="22" w:name="bookmark22"/>
      <w:bookmarkEnd w:id="22"/>
      <w:r>
        <w:rPr>
          <w:color w:val="000000"/>
          <w:spacing w:val="0"/>
          <w:w w:val="100"/>
          <w:position w:val="0"/>
          <w:shd w:val="clear" w:color="auto" w:fill="auto"/>
          <w:lang w:val="cs-CZ" w:eastAsia="cs-CZ" w:bidi="cs-CZ"/>
        </w:rPr>
        <w:t xml:space="preserve">Za výše uvedené ceny smluvní strany pozemkové parcely směňují. Rozdíl v ceně činí </w:t>
      </w:r>
      <w:r>
        <w:rPr>
          <w:b/>
          <w:bCs/>
          <w:color w:val="000000"/>
          <w:spacing w:val="0"/>
          <w:w w:val="100"/>
          <w:position w:val="0"/>
          <w:shd w:val="clear" w:color="auto" w:fill="auto"/>
          <w:lang w:val="cs-CZ" w:eastAsia="cs-CZ" w:bidi="cs-CZ"/>
        </w:rPr>
        <w:t>618.445 Kč</w:t>
      </w:r>
    </w:p>
    <w:p>
      <w:pPr>
        <w:pStyle w:val="Style2"/>
        <w:keepNext w:val="0"/>
        <w:keepLines w:val="0"/>
        <w:widowControl w:val="0"/>
        <w:shd w:val="clear" w:color="auto" w:fill="auto"/>
        <w:tabs>
          <w:tab w:pos="3252" w:val="left"/>
        </w:tabs>
        <w:bidi w:val="0"/>
        <w:spacing w:before="0" w:after="0" w:line="240" w:lineRule="auto"/>
        <w:ind w:left="300" w:right="0" w:firstLine="0"/>
        <w:jc w:val="both"/>
      </w:pPr>
      <w:r>
        <w:rPr>
          <w:color w:val="000000"/>
          <w:spacing w:val="0"/>
          <w:w w:val="100"/>
          <w:position w:val="0"/>
          <w:shd w:val="clear" w:color="auto" w:fill="auto"/>
          <w:lang w:val="cs-CZ" w:eastAsia="cs-CZ" w:bidi="cs-CZ"/>
        </w:rPr>
        <w:t>(slovy: šest set osmnáct tisíc čtyři sta čtyřicet pět korun českých). Tuto částku se Petrohradská, společnost s ručením omezeným zavazuje uhradit na účet Povodí Ohře, státního podniku, vedený u</w:t>
        <w:tab/>
        <w:t>, variabilní symbol: 4682025 (číslo smlouvy) do 15 dnů od data</w:t>
      </w:r>
    </w:p>
    <w:p>
      <w:pPr>
        <w:pStyle w:val="Style2"/>
        <w:keepNext w:val="0"/>
        <w:keepLines w:val="0"/>
        <w:widowControl w:val="0"/>
        <w:shd w:val="clear" w:color="auto" w:fill="auto"/>
        <w:bidi w:val="0"/>
        <w:spacing w:before="0" w:line="240" w:lineRule="auto"/>
        <w:ind w:left="300" w:right="0" w:firstLine="0"/>
        <w:jc w:val="both"/>
      </w:pPr>
      <w:r>
        <w:rPr>
          <w:color w:val="000000"/>
          <w:spacing w:val="0"/>
          <w:w w:val="100"/>
          <w:position w:val="0"/>
          <w:shd w:val="clear" w:color="auto" w:fill="auto"/>
          <w:lang w:val="cs-CZ" w:eastAsia="cs-CZ" w:bidi="cs-CZ"/>
        </w:rPr>
        <w:t>oboustranného podpisu této smlouvy. Při nezaplacení rozdílu ceny, ani po písemné výzvě, má právo Povodí Ohře, státní podnik, od smlouvy písemnou formou odstoupit.</w:t>
      </w:r>
    </w:p>
    <w:p>
      <w:pPr>
        <w:pStyle w:val="Style15"/>
        <w:keepNext/>
        <w:keepLines/>
        <w:widowControl w:val="0"/>
        <w:shd w:val="clear" w:color="auto" w:fill="auto"/>
        <w:bidi w:val="0"/>
        <w:spacing w:before="0" w:line="240" w:lineRule="auto"/>
        <w:ind w:left="0" w:right="0" w:firstLine="0"/>
        <w:jc w:val="cente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V</w:t>
      </w:r>
      <w:bookmarkEnd w:id="25"/>
      <w:r>
        <w:rPr>
          <w:color w:val="000000"/>
          <w:spacing w:val="0"/>
          <w:w w:val="100"/>
          <w:position w:val="0"/>
          <w:shd w:val="clear" w:color="auto" w:fill="auto"/>
          <w:lang w:val="cs-CZ" w:eastAsia="cs-CZ" w:bidi="cs-CZ"/>
        </w:rPr>
        <w:t>I.</w:t>
      </w:r>
      <w:bookmarkEnd w:id="23"/>
      <w:bookmarkEnd w:id="24"/>
      <w:bookmarkEnd w:id="26"/>
    </w:p>
    <w:p>
      <w:pPr>
        <w:pStyle w:val="Style2"/>
        <w:keepNext w:val="0"/>
        <w:keepLines w:val="0"/>
        <w:widowControl w:val="0"/>
        <w:numPr>
          <w:ilvl w:val="0"/>
          <w:numId w:val="11"/>
        </w:numPr>
        <w:shd w:val="clear" w:color="auto" w:fill="auto"/>
        <w:tabs>
          <w:tab w:pos="321" w:val="left"/>
        </w:tabs>
        <w:bidi w:val="0"/>
        <w:spacing w:before="0" w:line="240" w:lineRule="auto"/>
        <w:ind w:left="300" w:right="0" w:hanging="300"/>
        <w:jc w:val="both"/>
      </w:pPr>
      <w:bookmarkStart w:id="27" w:name="bookmark27"/>
      <w:bookmarkEnd w:id="27"/>
      <w:r>
        <w:rPr>
          <w:color w:val="000000"/>
          <w:spacing w:val="0"/>
          <w:w w:val="100"/>
          <w:position w:val="0"/>
          <w:shd w:val="clear" w:color="auto" w:fill="auto"/>
          <w:lang w:val="cs-CZ" w:eastAsia="cs-CZ" w:bidi="cs-CZ"/>
        </w:rPr>
        <w:t>Obě smluvní strany prohlašují, že na pozemkových parcelách uvedených v čl. I. a II. této smlouvy neváznou žádné dluhy, zástavní práva nebo jiné právní povinnosti, kromě níže uvedeného věcného břemene. Zároveň je jim stav těchto pozemkových parcel dobře znám a v tomto stavu je směňují.</w:t>
      </w:r>
    </w:p>
    <w:p>
      <w:pPr>
        <w:pStyle w:val="Style2"/>
        <w:keepNext w:val="0"/>
        <w:keepLines w:val="0"/>
        <w:widowControl w:val="0"/>
        <w:numPr>
          <w:ilvl w:val="0"/>
          <w:numId w:val="11"/>
        </w:numPr>
        <w:shd w:val="clear" w:color="auto" w:fill="auto"/>
        <w:tabs>
          <w:tab w:pos="321" w:val="left"/>
        </w:tabs>
        <w:bidi w:val="0"/>
        <w:spacing w:before="0" w:line="240" w:lineRule="auto"/>
        <w:ind w:left="300" w:right="0" w:hanging="300"/>
        <w:jc w:val="both"/>
      </w:pPr>
      <w:bookmarkStart w:id="28" w:name="bookmark28"/>
      <w:bookmarkEnd w:id="28"/>
      <w:r>
        <w:rPr>
          <w:color w:val="000000"/>
          <w:spacing w:val="0"/>
          <w:w w:val="100"/>
          <w:position w:val="0"/>
          <w:shd w:val="clear" w:color="auto" w:fill="auto"/>
          <w:lang w:val="cs-CZ" w:eastAsia="cs-CZ" w:bidi="cs-CZ"/>
        </w:rPr>
        <w:t>Na části p. p. č. 1205 v k. ú. Petrohrad je zřízené věcné břemeno dle rozsahu geometrického plánu ve prospěch st. p. č. 71/2 v k. ú. Petrohrad (V-3979/2014-533, právní účinky 06.11.2014, zápis proveden 28.11.2014).</w:t>
      </w:r>
    </w:p>
    <w:p>
      <w:pPr>
        <w:pStyle w:val="Style15"/>
        <w:keepNext/>
        <w:keepLines/>
        <w:widowControl w:val="0"/>
        <w:shd w:val="clear" w:color="auto" w:fill="auto"/>
        <w:bidi w:val="0"/>
        <w:spacing w:before="0" w:after="0" w:line="240" w:lineRule="auto"/>
        <w:ind w:left="0" w:right="0" w:firstLine="0"/>
        <w:jc w:val="center"/>
      </w:pPr>
      <w:bookmarkStart w:id="29" w:name="bookmark29"/>
      <w:bookmarkStart w:id="30" w:name="bookmark30"/>
      <w:bookmarkStart w:id="31" w:name="bookmark31"/>
      <w:bookmarkStart w:id="32" w:name="bookmark32"/>
      <w:r>
        <w:rPr>
          <w:color w:val="000000"/>
          <w:spacing w:val="0"/>
          <w:w w:val="100"/>
          <w:position w:val="0"/>
          <w:shd w:val="clear" w:color="auto" w:fill="auto"/>
          <w:lang w:val="cs-CZ" w:eastAsia="cs-CZ" w:bidi="cs-CZ"/>
        </w:rPr>
        <w:t>V</w:t>
      </w:r>
      <w:bookmarkEnd w:id="31"/>
      <w:r>
        <w:rPr>
          <w:color w:val="000000"/>
          <w:spacing w:val="0"/>
          <w:w w:val="100"/>
          <w:position w:val="0"/>
          <w:shd w:val="clear" w:color="auto" w:fill="auto"/>
          <w:lang w:val="cs-CZ" w:eastAsia="cs-CZ" w:bidi="cs-CZ"/>
        </w:rPr>
        <w:t>II.</w:t>
      </w:r>
      <w:bookmarkEnd w:id="29"/>
      <w:bookmarkEnd w:id="30"/>
      <w:bookmarkEnd w:id="32"/>
    </w:p>
    <w:p>
      <w:pPr>
        <w:pStyle w:val="Style15"/>
        <w:keepNext/>
        <w:keepLines/>
        <w:widowControl w:val="0"/>
        <w:shd w:val="clear" w:color="auto" w:fill="auto"/>
        <w:bidi w:val="0"/>
        <w:spacing w:before="0" w:line="240" w:lineRule="auto"/>
        <w:ind w:left="0" w:right="0" w:firstLine="0"/>
        <w:jc w:val="center"/>
      </w:pPr>
      <w:bookmarkStart w:id="29" w:name="bookmark29"/>
      <w:bookmarkStart w:id="30" w:name="bookmark30"/>
      <w:bookmarkStart w:id="33" w:name="bookmark33"/>
      <w:r>
        <w:rPr>
          <w:color w:val="000000"/>
          <w:spacing w:val="0"/>
          <w:w w:val="100"/>
          <w:position w:val="0"/>
          <w:shd w:val="clear" w:color="auto" w:fill="auto"/>
          <w:lang w:val="cs-CZ" w:eastAsia="cs-CZ" w:bidi="cs-CZ"/>
        </w:rPr>
        <w:t>COMPLIANCE DOLOŽKA</w:t>
      </w:r>
      <w:bookmarkEnd w:id="29"/>
      <w:bookmarkEnd w:id="30"/>
      <w:bookmarkEnd w:id="33"/>
    </w:p>
    <w:p>
      <w:pPr>
        <w:pStyle w:val="Style2"/>
        <w:keepNext w:val="0"/>
        <w:keepLines w:val="0"/>
        <w:widowControl w:val="0"/>
        <w:numPr>
          <w:ilvl w:val="0"/>
          <w:numId w:val="13"/>
        </w:numPr>
        <w:shd w:val="clear" w:color="auto" w:fill="auto"/>
        <w:tabs>
          <w:tab w:pos="321" w:val="left"/>
        </w:tabs>
        <w:bidi w:val="0"/>
        <w:spacing w:before="0" w:line="240" w:lineRule="auto"/>
        <w:ind w:left="300" w:right="0" w:hanging="300"/>
        <w:jc w:val="both"/>
      </w:pPr>
      <w:bookmarkStart w:id="34" w:name="bookmark34"/>
      <w:bookmarkEnd w:id="3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321" w:val="left"/>
        </w:tabs>
        <w:bidi w:val="0"/>
        <w:spacing w:before="0" w:line="240" w:lineRule="auto"/>
        <w:ind w:left="300" w:right="0" w:hanging="300"/>
        <w:jc w:val="both"/>
      </w:pPr>
      <w:bookmarkStart w:id="35" w:name="bookmark35"/>
      <w:bookmarkEnd w:id="3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321" w:val="left"/>
        </w:tabs>
        <w:bidi w:val="0"/>
        <w:spacing w:before="0" w:line="240" w:lineRule="auto"/>
        <w:ind w:left="300" w:right="0" w:hanging="300"/>
        <w:jc w:val="both"/>
      </w:pPr>
      <w:bookmarkStart w:id="36" w:name="bookmark36"/>
      <w:bookmarkEnd w:id="36"/>
      <w:r>
        <w:rPr>
          <w:color w:val="000000"/>
          <w:spacing w:val="0"/>
          <w:w w:val="100"/>
          <w:position w:val="0"/>
          <w:shd w:val="clear" w:color="auto" w:fill="auto"/>
          <w:lang w:val="cs-CZ" w:eastAsia="cs-CZ" w:bidi="cs-CZ"/>
        </w:rPr>
        <w:t xml:space="preserve">Petrohradská, společnost s ručením omezeným prohlašuje, že se seznámila se zásadami, hodnotami a cíli Compliance programu, s Etickým kodexem a Protikorupčním programem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Petrohradská, společnost s ručením omezeným potvrzuje, že při sjednávání této smlouvy bylo postupováno v souladu se zásadami a hodnotami v uvedených dokumentech obsažených.</w:t>
      </w:r>
    </w:p>
    <w:p>
      <w:pPr>
        <w:pStyle w:val="Style2"/>
        <w:keepNext w:val="0"/>
        <w:keepLines w:val="0"/>
        <w:widowControl w:val="0"/>
        <w:numPr>
          <w:ilvl w:val="0"/>
          <w:numId w:val="13"/>
        </w:numPr>
        <w:shd w:val="clear" w:color="auto" w:fill="auto"/>
        <w:tabs>
          <w:tab w:pos="308" w:val="left"/>
        </w:tabs>
        <w:bidi w:val="0"/>
        <w:spacing w:before="0" w:line="240" w:lineRule="auto"/>
        <w:ind w:left="300" w:right="0" w:hanging="300"/>
        <w:jc w:val="both"/>
      </w:pPr>
      <w:bookmarkStart w:id="37" w:name="bookmark37"/>
      <w:bookmarkEnd w:id="3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38" w:name="bookmark38"/>
      <w:r>
        <w:rPr>
          <w:b/>
          <w:bCs/>
          <w:color w:val="000000"/>
          <w:spacing w:val="0"/>
          <w:w w:val="100"/>
          <w:position w:val="0"/>
          <w:shd w:val="clear" w:color="auto" w:fill="auto"/>
          <w:lang w:val="cs-CZ" w:eastAsia="cs-CZ" w:bidi="cs-CZ"/>
        </w:rPr>
        <w:t>V</w:t>
      </w:r>
      <w:bookmarkEnd w:id="38"/>
      <w:r>
        <w:rPr>
          <w:b/>
          <w:bCs/>
          <w:color w:val="000000"/>
          <w:spacing w:val="0"/>
          <w:w w:val="100"/>
          <w:position w:val="0"/>
          <w:shd w:val="clear" w:color="auto" w:fill="auto"/>
          <w:lang w:val="cs-CZ" w:eastAsia="cs-CZ" w:bidi="cs-CZ"/>
        </w:rPr>
        <w:t>III.</w:t>
      </w:r>
    </w:p>
    <w:p>
      <w:pPr>
        <w:pStyle w:val="Style15"/>
        <w:keepNext/>
        <w:keepLines/>
        <w:widowControl w:val="0"/>
        <w:shd w:val="clear" w:color="auto" w:fill="auto"/>
        <w:bidi w:val="0"/>
        <w:spacing w:before="0" w:line="240" w:lineRule="auto"/>
        <w:ind w:left="0" w:right="0" w:firstLine="0"/>
        <w:jc w:val="center"/>
      </w:pPr>
      <w:bookmarkStart w:id="39" w:name="bookmark39"/>
      <w:bookmarkStart w:id="40" w:name="bookmark40"/>
      <w:bookmarkStart w:id="41" w:name="bookmark41"/>
      <w:r>
        <w:rPr>
          <w:color w:val="000000"/>
          <w:spacing w:val="0"/>
          <w:w w:val="100"/>
          <w:position w:val="0"/>
          <w:shd w:val="clear" w:color="auto" w:fill="auto"/>
          <w:lang w:val="cs-CZ" w:eastAsia="cs-CZ" w:bidi="cs-CZ"/>
        </w:rPr>
        <w:t>Ochrana a zpracování osobních údajů</w:t>
      </w:r>
      <w:bookmarkEnd w:id="39"/>
      <w:bookmarkEnd w:id="40"/>
      <w:bookmarkEnd w:id="41"/>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 zpracovani-osobnich-udaju/d-1369/p1=1459</w:t>
      </w:r>
      <w:r>
        <w:fldChar w:fldCharType="end"/>
      </w:r>
      <w:r>
        <w:rPr>
          <w:color w:val="000000"/>
          <w:spacing w:val="0"/>
          <w:w w:val="100"/>
          <w:position w:val="0"/>
          <w:shd w:val="clear" w:color="auto" w:fill="auto"/>
          <w:lang w:val="cs-CZ" w:eastAsia="cs-CZ" w:bidi="cs-CZ"/>
        </w:rPr>
        <w:t>.</w:t>
      </w:r>
    </w:p>
    <w:p>
      <w:pPr>
        <w:pStyle w:val="Style15"/>
        <w:keepNext/>
        <w:keepLines/>
        <w:widowControl w:val="0"/>
        <w:shd w:val="clear" w:color="auto" w:fill="auto"/>
        <w:bidi w:val="0"/>
        <w:spacing w:before="0" w:line="240" w:lineRule="auto"/>
        <w:ind w:left="0" w:right="0" w:firstLine="0"/>
        <w:jc w:val="center"/>
      </w:pPr>
      <w:bookmarkStart w:id="42" w:name="bookmark42"/>
      <w:bookmarkStart w:id="43" w:name="bookmark43"/>
      <w:bookmarkStart w:id="44" w:name="bookmark44"/>
      <w:bookmarkStart w:id="45" w:name="bookmark45"/>
      <w:r>
        <w:rPr>
          <w:color w:val="000000"/>
          <w:spacing w:val="0"/>
          <w:w w:val="100"/>
          <w:position w:val="0"/>
          <w:shd w:val="clear" w:color="auto" w:fill="auto"/>
          <w:lang w:val="cs-CZ" w:eastAsia="cs-CZ" w:bidi="cs-CZ"/>
        </w:rPr>
        <w:t>I</w:t>
      </w:r>
      <w:bookmarkEnd w:id="44"/>
      <w:r>
        <w:rPr>
          <w:color w:val="000000"/>
          <w:spacing w:val="0"/>
          <w:w w:val="100"/>
          <w:position w:val="0"/>
          <w:shd w:val="clear" w:color="auto" w:fill="auto"/>
          <w:lang w:val="cs-CZ" w:eastAsia="cs-CZ" w:bidi="cs-CZ"/>
        </w:rPr>
        <w:t>X.</w:t>
      </w:r>
      <w:bookmarkEnd w:id="42"/>
      <w:bookmarkEnd w:id="43"/>
      <w:bookmarkEnd w:id="45"/>
    </w:p>
    <w:p>
      <w:pPr>
        <w:pStyle w:val="Style2"/>
        <w:keepNext w:val="0"/>
        <w:keepLines w:val="0"/>
        <w:widowControl w:val="0"/>
        <w:numPr>
          <w:ilvl w:val="0"/>
          <w:numId w:val="15"/>
        </w:numPr>
        <w:shd w:val="clear" w:color="auto" w:fill="auto"/>
        <w:tabs>
          <w:tab w:pos="308" w:val="left"/>
        </w:tabs>
        <w:bidi w:val="0"/>
        <w:spacing w:before="0" w:line="240" w:lineRule="auto"/>
        <w:ind w:left="300" w:right="0" w:hanging="300"/>
        <w:jc w:val="both"/>
      </w:pPr>
      <w:bookmarkStart w:id="46" w:name="bookmark46"/>
      <w:bookmarkEnd w:id="46"/>
      <w:r>
        <w:rPr>
          <w:color w:val="000000"/>
          <w:spacing w:val="0"/>
          <w:w w:val="100"/>
          <w:position w:val="0"/>
          <w:shd w:val="clear" w:color="auto" w:fill="auto"/>
          <w:lang w:val="cs-CZ" w:eastAsia="cs-CZ" w:bidi="cs-CZ"/>
        </w:rPr>
        <w:t>Pro platnost této smlouvy je v souladu s platným Statutem Povodí Ohře, státního podniku, a zákonem o státním podniku nutný písemný souhlas Ministerstva zemědělství, které vykonává jménem státu funkci zakladatele Povodí Ohře, státního podniku (dále jen „Zakladatel“).</w:t>
      </w:r>
    </w:p>
    <w:p>
      <w:pPr>
        <w:pStyle w:val="Style2"/>
        <w:keepNext w:val="0"/>
        <w:keepLines w:val="0"/>
        <w:widowControl w:val="0"/>
        <w:numPr>
          <w:ilvl w:val="0"/>
          <w:numId w:val="15"/>
        </w:numPr>
        <w:shd w:val="clear" w:color="auto" w:fill="auto"/>
        <w:tabs>
          <w:tab w:pos="308" w:val="left"/>
        </w:tabs>
        <w:bidi w:val="0"/>
        <w:spacing w:before="0" w:line="240" w:lineRule="auto"/>
        <w:ind w:left="300" w:right="0" w:hanging="300"/>
        <w:jc w:val="both"/>
      </w:pPr>
      <w:bookmarkStart w:id="47" w:name="bookmark47"/>
      <w:bookmarkEnd w:id="47"/>
      <w:r>
        <w:rPr>
          <w:color w:val="000000"/>
          <w:spacing w:val="0"/>
          <w:w w:val="100"/>
          <w:position w:val="0"/>
          <w:shd w:val="clear" w:color="auto" w:fill="auto"/>
          <w:lang w:val="cs-CZ" w:eastAsia="cs-CZ" w:bidi="cs-CZ"/>
        </w:rPr>
        <w:t>Zakladatel udělil písemný souhlas s návrhem této smlouvy dne 20.05.2025 pod čj. MZE- 39744/2025-15112. Z tohoto důvodu je vyloučeno přijetí nabídky s dodatkem nebo odchylkou, i když dodatek nebo odchylka podstatně nemění podmínky nabídky (§ 1740 odst. 3 OZ).</w:t>
      </w:r>
    </w:p>
    <w:p>
      <w:pPr>
        <w:pStyle w:val="Style2"/>
        <w:keepNext w:val="0"/>
        <w:keepLines w:val="0"/>
        <w:widowControl w:val="0"/>
        <w:numPr>
          <w:ilvl w:val="0"/>
          <w:numId w:val="15"/>
        </w:numPr>
        <w:shd w:val="clear" w:color="auto" w:fill="auto"/>
        <w:tabs>
          <w:tab w:pos="308" w:val="left"/>
        </w:tabs>
        <w:bidi w:val="0"/>
        <w:spacing w:before="0" w:line="240" w:lineRule="auto"/>
        <w:ind w:left="300" w:right="0" w:hanging="300"/>
        <w:jc w:val="both"/>
      </w:pPr>
      <w:bookmarkStart w:id="48" w:name="bookmark48"/>
      <w:bookmarkEnd w:id="48"/>
      <w:r>
        <w:rPr>
          <w:color w:val="000000"/>
          <w:spacing w:val="0"/>
          <w:w w:val="100"/>
          <w:position w:val="0"/>
          <w:shd w:val="clear" w:color="auto" w:fill="auto"/>
          <w:lang w:val="cs-CZ" w:eastAsia="cs-CZ" w:bidi="cs-CZ"/>
        </w:rPr>
        <w:t>Obě smluvní strany prohlašují, že mají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včetně všech dodatků, odvozených smluv a dokumentů a metadat prostřednictvím registru smluv, které zajistí Povodí Ohře, státní podnik. Povodí Ohře, státní podnik, se zavazuje neprodleně po obdržení potvrzení správce registru smluv o uveřejnění smlouvy informovat o této skutečnosti kupujícího, a to přeposláním zmíněného potvrzení správce registru smluv.</w:t>
      </w:r>
    </w:p>
    <w:p>
      <w:pPr>
        <w:pStyle w:val="Style2"/>
        <w:keepNext w:val="0"/>
        <w:keepLines w:val="0"/>
        <w:widowControl w:val="0"/>
        <w:numPr>
          <w:ilvl w:val="0"/>
          <w:numId w:val="15"/>
        </w:numPr>
        <w:shd w:val="clear" w:color="auto" w:fill="auto"/>
        <w:tabs>
          <w:tab w:pos="308" w:val="left"/>
        </w:tabs>
        <w:bidi w:val="0"/>
        <w:spacing w:before="0" w:line="240" w:lineRule="auto"/>
        <w:ind w:left="0" w:right="0" w:firstLine="0"/>
        <w:jc w:val="both"/>
      </w:pPr>
      <w:bookmarkStart w:id="49" w:name="bookmark49"/>
      <w:bookmarkEnd w:id="49"/>
      <w:r>
        <w:rPr>
          <w:color w:val="000000"/>
          <w:spacing w:val="0"/>
          <w:w w:val="100"/>
          <w:position w:val="0"/>
          <w:shd w:val="clear" w:color="auto" w:fill="auto"/>
          <w:lang w:val="cs-CZ" w:eastAsia="cs-CZ" w:bidi="cs-CZ"/>
        </w:rPr>
        <w:t>Smluvní strany nepovažují žádná ustanovení smlouvy za obchodní tajemství.</w:t>
      </w:r>
    </w:p>
    <w:p>
      <w:pPr>
        <w:pStyle w:val="Style15"/>
        <w:keepNext/>
        <w:keepLines/>
        <w:widowControl w:val="0"/>
        <w:shd w:val="clear" w:color="auto" w:fill="auto"/>
        <w:bidi w:val="0"/>
        <w:spacing w:before="0" w:line="240" w:lineRule="auto"/>
        <w:ind w:left="0" w:right="0" w:firstLine="0"/>
        <w:jc w:val="center"/>
      </w:pPr>
      <w:bookmarkStart w:id="50" w:name="bookmark50"/>
      <w:bookmarkStart w:id="51" w:name="bookmark51"/>
      <w:bookmarkStart w:id="52" w:name="bookmark52"/>
      <w:bookmarkStart w:id="53" w:name="bookmark53"/>
      <w:r>
        <w:rPr>
          <w:color w:val="000000"/>
          <w:spacing w:val="0"/>
          <w:w w:val="100"/>
          <w:position w:val="0"/>
          <w:shd w:val="clear" w:color="auto" w:fill="auto"/>
          <w:lang w:val="cs-CZ" w:eastAsia="cs-CZ" w:bidi="cs-CZ"/>
        </w:rPr>
        <w:t>X</w:t>
      </w:r>
      <w:bookmarkEnd w:id="52"/>
      <w:r>
        <w:rPr>
          <w:color w:val="000000"/>
          <w:spacing w:val="0"/>
          <w:w w:val="100"/>
          <w:position w:val="0"/>
          <w:shd w:val="clear" w:color="auto" w:fill="auto"/>
          <w:lang w:val="cs-CZ" w:eastAsia="cs-CZ" w:bidi="cs-CZ"/>
        </w:rPr>
        <w:t>.</w:t>
      </w:r>
      <w:bookmarkEnd w:id="50"/>
      <w:bookmarkEnd w:id="51"/>
      <w:bookmarkEnd w:id="53"/>
    </w:p>
    <w:p>
      <w:pPr>
        <w:pStyle w:val="Style2"/>
        <w:keepNext w:val="0"/>
        <w:keepLines w:val="0"/>
        <w:widowControl w:val="0"/>
        <w:numPr>
          <w:ilvl w:val="0"/>
          <w:numId w:val="17"/>
        </w:numPr>
        <w:shd w:val="clear" w:color="auto" w:fill="auto"/>
        <w:tabs>
          <w:tab w:pos="308" w:val="left"/>
        </w:tabs>
        <w:bidi w:val="0"/>
        <w:spacing w:before="0" w:line="240" w:lineRule="auto"/>
        <w:ind w:left="300" w:right="0" w:hanging="300"/>
        <w:jc w:val="both"/>
      </w:pPr>
      <w:bookmarkStart w:id="54" w:name="bookmark54"/>
      <w:bookmarkEnd w:id="54"/>
      <w:r>
        <w:rPr>
          <w:color w:val="000000"/>
          <w:spacing w:val="0"/>
          <w:w w:val="100"/>
          <w:position w:val="0"/>
          <w:shd w:val="clear" w:color="auto" w:fill="auto"/>
          <w:lang w:val="cs-CZ" w:eastAsia="cs-CZ" w:bidi="cs-CZ"/>
        </w:rPr>
        <w:t>Tato smlouva nabývá platnosti dnem podpisu té smluvní strany, která jí podepíše jako poslední, za podmínky, že byl vydán předchozí písemný souhlas zakladatele. Účinnosti smlouva nabývá dnem uveřejnění v registru smluv dle zákona č. 340/2015 Sb., o zvláštních podmínkách účinnosti některých smluv, uveřejňování těchto smluv a o registru smluv (zákon o registru smluv), ve znění pozdějších předpisů. Uveřejnění smlouvy v registru smluv zajistí Povodí Ohře, státní podnik.</w:t>
      </w:r>
    </w:p>
    <w:p>
      <w:pPr>
        <w:pStyle w:val="Style2"/>
        <w:keepNext w:val="0"/>
        <w:keepLines w:val="0"/>
        <w:widowControl w:val="0"/>
        <w:numPr>
          <w:ilvl w:val="0"/>
          <w:numId w:val="17"/>
        </w:numPr>
        <w:shd w:val="clear" w:color="auto" w:fill="auto"/>
        <w:tabs>
          <w:tab w:pos="308" w:val="left"/>
        </w:tabs>
        <w:bidi w:val="0"/>
        <w:spacing w:before="0" w:line="240" w:lineRule="auto"/>
        <w:ind w:left="300" w:right="0" w:hanging="300"/>
        <w:jc w:val="both"/>
      </w:pPr>
      <w:bookmarkStart w:id="55" w:name="bookmark55"/>
      <w:bookmarkEnd w:id="55"/>
      <w:r>
        <w:rPr>
          <w:color w:val="000000"/>
          <w:spacing w:val="0"/>
          <w:w w:val="100"/>
          <w:position w:val="0"/>
          <w:shd w:val="clear" w:color="auto" w:fill="auto"/>
          <w:lang w:val="cs-CZ" w:eastAsia="cs-CZ" w:bidi="cs-CZ"/>
        </w:rPr>
        <w:t>Vlastnictví k předmětu smlouvy bude zapsáno po povolení vkladu do katastru nemovitostí u Katastrálního úřadu pro Ústecký kraj, Katastrálního pracoviště Žatec.</w:t>
      </w:r>
    </w:p>
    <w:p>
      <w:pPr>
        <w:pStyle w:val="Style2"/>
        <w:keepNext w:val="0"/>
        <w:keepLines w:val="0"/>
        <w:widowControl w:val="0"/>
        <w:numPr>
          <w:ilvl w:val="0"/>
          <w:numId w:val="17"/>
        </w:numPr>
        <w:shd w:val="clear" w:color="auto" w:fill="auto"/>
        <w:tabs>
          <w:tab w:pos="308" w:val="left"/>
        </w:tabs>
        <w:bidi w:val="0"/>
        <w:spacing w:before="0" w:after="0" w:line="240" w:lineRule="auto"/>
        <w:ind w:left="300" w:right="0" w:hanging="300"/>
        <w:jc w:val="both"/>
      </w:pPr>
      <w:bookmarkStart w:id="56" w:name="bookmark56"/>
      <w:bookmarkEnd w:id="56"/>
      <w:r>
        <w:rPr>
          <w:color w:val="000000"/>
          <w:spacing w:val="0"/>
          <w:w w:val="100"/>
          <w:position w:val="0"/>
          <w:shd w:val="clear" w:color="auto" w:fill="auto"/>
          <w:lang w:val="cs-CZ" w:eastAsia="cs-CZ" w:bidi="cs-CZ"/>
        </w:rPr>
        <w:t>Smluvní strany si dále sjednávají rozvazovací podmínku pro případ zamítnutí návrhu na vklad vlastnického práva katastrálním úřadem tak, že právní mocí tohoto rozhodnutí zaniká účinnost této kupní smlouvy a účastníci si bez zbytečného odkladu vrátí poskytnutá plnění a ponesou si své náklady.</w:t>
      </w:r>
    </w:p>
    <w:p>
      <w:pPr>
        <w:pStyle w:val="Style15"/>
        <w:keepNext/>
        <w:keepLines/>
        <w:widowControl w:val="0"/>
        <w:shd w:val="clear" w:color="auto" w:fill="auto"/>
        <w:bidi w:val="0"/>
        <w:spacing w:before="0" w:line="240" w:lineRule="auto"/>
        <w:ind w:left="0" w:right="0" w:firstLine="0"/>
        <w:jc w:val="center"/>
      </w:pPr>
      <w:bookmarkStart w:id="57" w:name="bookmark57"/>
      <w:bookmarkStart w:id="58" w:name="bookmark58"/>
      <w:bookmarkStart w:id="59" w:name="bookmark59"/>
      <w:bookmarkStart w:id="60" w:name="bookmark60"/>
      <w:r>
        <w:rPr>
          <w:color w:val="000000"/>
          <w:spacing w:val="0"/>
          <w:w w:val="100"/>
          <w:position w:val="0"/>
          <w:shd w:val="clear" w:color="auto" w:fill="auto"/>
          <w:lang w:val="cs-CZ" w:eastAsia="cs-CZ" w:bidi="cs-CZ"/>
        </w:rPr>
        <w:t>X</w:t>
      </w:r>
      <w:bookmarkEnd w:id="59"/>
      <w:r>
        <w:rPr>
          <w:color w:val="000000"/>
          <w:spacing w:val="0"/>
          <w:w w:val="100"/>
          <w:position w:val="0"/>
          <w:shd w:val="clear" w:color="auto" w:fill="auto"/>
          <w:lang w:val="cs-CZ" w:eastAsia="cs-CZ" w:bidi="cs-CZ"/>
        </w:rPr>
        <w:t>I.</w:t>
      </w:r>
      <w:bookmarkEnd w:id="57"/>
      <w:bookmarkEnd w:id="58"/>
      <w:bookmarkEnd w:id="60"/>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návrh na vklad změny vlastnického práva podá a náklady spojené s vkladem do katastru nemovitostí ponese Povodí Ohře, státní podnik.</w:t>
      </w:r>
    </w:p>
    <w:p>
      <w:pPr>
        <w:pStyle w:val="Style15"/>
        <w:keepNext/>
        <w:keepLines/>
        <w:widowControl w:val="0"/>
        <w:shd w:val="clear" w:color="auto" w:fill="auto"/>
        <w:bidi w:val="0"/>
        <w:spacing w:before="0" w:line="240" w:lineRule="auto"/>
        <w:ind w:left="0" w:right="0" w:firstLine="0"/>
        <w:jc w:val="center"/>
      </w:pPr>
      <w:bookmarkStart w:id="61" w:name="bookmark61"/>
      <w:bookmarkStart w:id="62" w:name="bookmark62"/>
      <w:bookmarkStart w:id="63" w:name="bookmark63"/>
      <w:bookmarkStart w:id="64" w:name="bookmark64"/>
      <w:r>
        <w:rPr>
          <w:color w:val="000000"/>
          <w:spacing w:val="0"/>
          <w:w w:val="100"/>
          <w:position w:val="0"/>
          <w:shd w:val="clear" w:color="auto" w:fill="auto"/>
          <w:lang w:val="cs-CZ" w:eastAsia="cs-CZ" w:bidi="cs-CZ"/>
        </w:rPr>
        <w:t>X</w:t>
      </w:r>
      <w:bookmarkEnd w:id="63"/>
      <w:r>
        <w:rPr>
          <w:color w:val="000000"/>
          <w:spacing w:val="0"/>
          <w:w w:val="100"/>
          <w:position w:val="0"/>
          <w:shd w:val="clear" w:color="auto" w:fill="auto"/>
          <w:lang w:val="cs-CZ" w:eastAsia="cs-CZ" w:bidi="cs-CZ"/>
        </w:rPr>
        <w:t>II.</w:t>
      </w:r>
      <w:bookmarkEnd w:id="61"/>
      <w:bookmarkEnd w:id="62"/>
      <w:bookmarkEnd w:id="64"/>
    </w:p>
    <w:p>
      <w:pPr>
        <w:pStyle w:val="Style2"/>
        <w:keepNext w:val="0"/>
        <w:keepLines w:val="0"/>
        <w:widowControl w:val="0"/>
        <w:numPr>
          <w:ilvl w:val="0"/>
          <w:numId w:val="19"/>
        </w:numPr>
        <w:shd w:val="clear" w:color="auto" w:fill="auto"/>
        <w:tabs>
          <w:tab w:pos="308" w:val="left"/>
        </w:tabs>
        <w:bidi w:val="0"/>
        <w:spacing w:before="0" w:line="240" w:lineRule="auto"/>
        <w:ind w:left="300" w:right="0" w:hanging="300"/>
        <w:jc w:val="both"/>
      </w:pPr>
      <w:bookmarkStart w:id="65" w:name="bookmark65"/>
      <w:bookmarkEnd w:id="65"/>
      <w:r>
        <w:rPr>
          <w:color w:val="000000"/>
          <w:spacing w:val="0"/>
          <w:w w:val="100"/>
          <w:position w:val="0"/>
          <w:shd w:val="clear" w:color="auto" w:fill="auto"/>
          <w:lang w:val="cs-CZ" w:eastAsia="cs-CZ" w:bidi="cs-CZ"/>
        </w:rPr>
        <w:t>Tato směnná smlouva je vyhotovena ve čtyřech stejnopisech s platností originálů, přičemž Povodí Ohře, státní podnik, obdrží dva originály, jeden originál obdrží Petrohradská, společnost s ručením omezeným a jedno vyhotovení je určeno pro potřeby katastrálního úřadu.</w:t>
      </w:r>
      <w:r>
        <w:br w:type="page"/>
      </w:r>
    </w:p>
    <w:p>
      <w:pPr>
        <w:pStyle w:val="Style2"/>
        <w:keepNext w:val="0"/>
        <w:keepLines w:val="0"/>
        <w:widowControl w:val="0"/>
        <w:numPr>
          <w:ilvl w:val="0"/>
          <w:numId w:val="19"/>
        </w:numPr>
        <w:shd w:val="clear" w:color="auto" w:fill="auto"/>
        <w:tabs>
          <w:tab w:pos="363" w:val="left"/>
        </w:tabs>
        <w:bidi w:val="0"/>
        <w:spacing w:before="0" w:line="240" w:lineRule="auto"/>
        <w:ind w:left="300" w:right="0" w:hanging="300"/>
        <w:jc w:val="left"/>
      </w:pPr>
      <w:bookmarkStart w:id="66" w:name="bookmark66"/>
      <w:bookmarkEnd w:id="66"/>
      <w:r>
        <w:rPr>
          <w:color w:val="000000"/>
          <w:spacing w:val="0"/>
          <w:w w:val="100"/>
          <w:position w:val="0"/>
          <w:shd w:val="clear" w:color="auto" w:fill="auto"/>
          <w:lang w:val="cs-CZ" w:eastAsia="cs-CZ" w:bidi="cs-CZ"/>
        </w:rPr>
        <w:t>Smluvní strany po přečtení této smlouvy výslovně prohlašují, že obsah této směnné smlouvy odpovídá jejich svobodné, vážné a omylu prosté vůli. Tuto skutečnost stvrzují připojením svých vlastnoručních podpisů.</w:t>
      </w:r>
    </w:p>
    <w:p>
      <w:pPr>
        <w:pStyle w:val="Style2"/>
        <w:keepNext w:val="0"/>
        <w:keepLines w:val="0"/>
        <w:widowControl w:val="0"/>
        <w:numPr>
          <w:ilvl w:val="0"/>
          <w:numId w:val="19"/>
        </w:numPr>
        <w:shd w:val="clear" w:color="auto" w:fill="auto"/>
        <w:tabs>
          <w:tab w:pos="363" w:val="left"/>
        </w:tabs>
        <w:bidi w:val="0"/>
        <w:spacing w:before="0" w:line="240" w:lineRule="auto"/>
        <w:ind w:left="300" w:right="0" w:hanging="300"/>
        <w:jc w:val="left"/>
      </w:pPr>
      <w:bookmarkStart w:id="67" w:name="bookmark67"/>
      <w:bookmarkEnd w:id="67"/>
      <w:r>
        <w:rPr>
          <w:color w:val="000000"/>
          <w:spacing w:val="0"/>
          <w:w w:val="100"/>
          <w:position w:val="0"/>
          <w:shd w:val="clear" w:color="auto" w:fill="auto"/>
          <w:lang w:val="cs-CZ" w:eastAsia="cs-CZ" w:bidi="cs-CZ"/>
        </w:rPr>
        <w:t>Nestanoví-li tato smlouva jinak, řídí se práva a povinnosti obou smluvních stran zejména občanským zákoníkem.</w:t>
      </w:r>
    </w:p>
    <w:p>
      <w:pPr>
        <w:pStyle w:val="Style2"/>
        <w:keepNext w:val="0"/>
        <w:keepLines w:val="0"/>
        <w:widowControl w:val="0"/>
        <w:shd w:val="clear" w:color="auto" w:fill="auto"/>
        <w:tabs>
          <w:tab w:pos="2808" w:val="left"/>
          <w:tab w:pos="5098" w:val="left"/>
        </w:tabs>
        <w:bidi w:val="0"/>
        <w:spacing w:before="0" w:after="2960" w:line="240" w:lineRule="auto"/>
        <w:ind w:left="0" w:right="0" w:firstLine="0"/>
        <w:jc w:val="left"/>
      </w:pPr>
      <w:r>
        <w:rPr>
          <w:color w:val="000000"/>
          <w:spacing w:val="0"/>
          <w:w w:val="100"/>
          <w:position w:val="0"/>
          <w:shd w:val="clear" w:color="auto" w:fill="auto"/>
          <w:lang w:val="cs-CZ" w:eastAsia="cs-CZ" w:bidi="cs-CZ"/>
        </w:rPr>
        <w:t xml:space="preserve">V Hořesedlech dne: </w:t>
      </w:r>
      <w:r>
        <w:rPr>
          <w:u w:val="single"/>
        </w:rPr>
        <w:t xml:space="preserve"> </w:t>
        <w:tab/>
      </w:r>
      <w:r>
        <w:rPr>
          <w:color w:val="000000"/>
          <w:spacing w:val="0"/>
          <w:w w:val="100"/>
          <w:position w:val="0"/>
          <w:shd w:val="clear" w:color="auto" w:fill="auto"/>
          <w:lang w:val="cs-CZ" w:eastAsia="cs-CZ" w:bidi="cs-CZ"/>
        </w:rPr>
        <w:tab/>
        <w:t>V Chomutově dne: 26.05.2025</w:t>
      </w:r>
    </w:p>
    <w:p>
      <w:pPr>
        <w:pStyle w:val="Style2"/>
        <w:keepNext w:val="0"/>
        <w:keepLines w:val="0"/>
        <w:widowControl w:val="0"/>
        <w:shd w:val="clear" w:color="auto" w:fill="auto"/>
        <w:bidi w:val="0"/>
        <w:spacing w:before="0" w:line="240" w:lineRule="auto"/>
        <w:ind w:left="0" w:right="0" w:firstLine="0"/>
        <w:jc w:val="left"/>
      </w:pPr>
      <w:r>
        <mc:AlternateContent>
          <mc:Choice Requires="wps">
            <w:drawing>
              <wp:anchor distT="0" distB="314325" distL="114300" distR="114300" simplePos="0" relativeHeight="125829384" behindDoc="0" locked="0" layoutInCell="1" allowOverlap="1">
                <wp:simplePos x="0" y="0"/>
                <wp:positionH relativeFrom="page">
                  <wp:posOffset>4399280</wp:posOffset>
                </wp:positionH>
                <wp:positionV relativeFrom="paragraph">
                  <wp:posOffset>12700</wp:posOffset>
                </wp:positionV>
                <wp:extent cx="1536065" cy="210185"/>
                <wp:wrapSquare wrapText="left"/>
                <wp:docPr id="7" name="Shape 7"/>
                <a:graphic xmlns:a="http://schemas.openxmlformats.org/drawingml/2006/main">
                  <a:graphicData uri="http://schemas.microsoft.com/office/word/2010/wordprocessingShape">
                    <wps:wsp>
                      <wps:cNvSpPr txBox="1"/>
                      <wps:spPr>
                        <a:xfrm>
                          <a:ext cx="153606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wrap="none" lIns="0" tIns="0" rIns="0" bIns="0">
                        <a:noAutoFit/>
                      </wps:bodyPr>
                    </wps:wsp>
                  </a:graphicData>
                </a:graphic>
              </wp:anchor>
            </w:drawing>
          </mc:Choice>
          <mc:Fallback>
            <w:pict>
              <v:shape id="_x0000_s1033" type="#_x0000_t202" style="position:absolute;margin-left:346.40000000000003pt;margin-top:1.pt;width:120.95pt;height:16.550000000000001pt;z-index:-125829369;mso-wrap-distance-left:9.pt;mso-wrap-distance-right:9.pt;mso-wrap-distance-bottom:2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side="left" anchorx="page"/>
              </v:shape>
            </w:pict>
          </mc:Fallback>
        </mc:AlternateContent>
      </w:r>
      <w:r>
        <mc:AlternateContent>
          <mc:Choice Requires="wps">
            <w:drawing>
              <wp:anchor distT="316865" distB="635" distL="327660" distR="488950" simplePos="0" relativeHeight="125829386" behindDoc="0" locked="0" layoutInCell="1" allowOverlap="1">
                <wp:simplePos x="0" y="0"/>
                <wp:positionH relativeFrom="page">
                  <wp:posOffset>4612640</wp:posOffset>
                </wp:positionH>
                <wp:positionV relativeFrom="paragraph">
                  <wp:posOffset>329565</wp:posOffset>
                </wp:positionV>
                <wp:extent cx="948055" cy="207010"/>
                <wp:wrapSquare wrapText="left"/>
                <wp:docPr id="9" name="Shape 9"/>
                <a:graphic xmlns:a="http://schemas.openxmlformats.org/drawingml/2006/main">
                  <a:graphicData uri="http://schemas.microsoft.com/office/word/2010/wordprocessingShape">
                    <wps:wsp>
                      <wps:cNvSpPr txBox="1"/>
                      <wps:spPr>
                        <a:xfrm>
                          <a:ext cx="948055"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generální ředitel</w:t>
                            </w:r>
                          </w:p>
                        </w:txbxContent>
                      </wps:txbx>
                      <wps:bodyPr wrap="none" lIns="0" tIns="0" rIns="0" bIns="0">
                        <a:noAutoFit/>
                      </wps:bodyPr>
                    </wps:wsp>
                  </a:graphicData>
                </a:graphic>
              </wp:anchor>
            </w:drawing>
          </mc:Choice>
          <mc:Fallback>
            <w:pict>
              <v:shape id="_x0000_s1035" type="#_x0000_t202" style="position:absolute;margin-left:363.19999999999999pt;margin-top:25.949999999999999pt;width:74.650000000000006pt;height:16.300000000000001pt;z-index:-125829367;mso-wrap-distance-left:25.800000000000001pt;mso-wrap-distance-top:24.949999999999999pt;mso-wrap-distance-right:38.5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generální ředitel</w:t>
                      </w:r>
                    </w:p>
                  </w:txbxContent>
                </v:textbox>
                <w10:wrap type="square" side="left" anchorx="page"/>
              </v:shape>
            </w:pict>
          </mc:Fallback>
        </mc:AlternateContent>
      </w:r>
      <w:r>
        <w:rPr>
          <w:color w:val="000000"/>
          <w:spacing w:val="0"/>
          <w:w w:val="100"/>
          <w:position w:val="0"/>
          <w:shd w:val="clear" w:color="auto" w:fill="auto"/>
          <w:lang w:val="cs-CZ" w:eastAsia="cs-CZ" w:bidi="cs-CZ"/>
        </w:rPr>
        <w:t>Petrohradská, společnost s ručením omezeným</w:t>
      </w:r>
    </w:p>
    <w:p>
      <w:pPr>
        <w:pStyle w:val="Style2"/>
        <w:keepNext w:val="0"/>
        <w:keepLines w:val="0"/>
        <w:widowControl w:val="0"/>
        <w:shd w:val="clear" w:color="auto" w:fill="auto"/>
        <w:bidi w:val="0"/>
        <w:spacing w:before="0" w:after="2960" w:line="240" w:lineRule="auto"/>
        <w:ind w:left="1020" w:right="0" w:firstLine="0"/>
        <w:jc w:val="both"/>
      </w:pPr>
      <w:r>
        <w:rPr>
          <w:color w:val="000000"/>
          <w:spacing w:val="0"/>
          <w:w w:val="100"/>
          <w:position w:val="0"/>
          <w:shd w:val="clear" w:color="auto" w:fill="auto"/>
          <w:lang w:val="cs-CZ" w:eastAsia="cs-CZ" w:bidi="cs-CZ"/>
        </w:rPr>
        <w:t>jednatel společnosti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Petrohradská, společnost s ručením omezeným</w:t>
      </w:r>
    </w:p>
    <w:p>
      <w:pPr>
        <w:pStyle w:val="Style2"/>
        <w:keepNext w:val="0"/>
        <w:keepLines w:val="0"/>
        <w:widowControl w:val="0"/>
        <w:shd w:val="clear" w:color="auto" w:fill="auto"/>
        <w:bidi w:val="0"/>
        <w:spacing w:before="0" w:line="240" w:lineRule="auto"/>
        <w:ind w:left="1020" w:right="0" w:firstLine="0"/>
        <w:jc w:val="both"/>
      </w:pPr>
      <w:r>
        <w:rPr>
          <w:color w:val="000000"/>
          <w:spacing w:val="0"/>
          <w:w w:val="100"/>
          <w:position w:val="0"/>
          <w:shd w:val="clear" w:color="auto" w:fill="auto"/>
          <w:lang w:val="cs-CZ" w:eastAsia="cs-CZ" w:bidi="cs-CZ"/>
        </w:rPr>
        <w:t>jednatel společnosti</w:t>
      </w:r>
    </w:p>
    <w:sectPr>
      <w:footerReference w:type="default" r:id="rId5"/>
      <w:footnotePr>
        <w:pos w:val="pageBottom"/>
        <w:numFmt w:val="decimal"/>
        <w:numRestart w:val="continuous"/>
      </w:footnotePr>
      <w:pgSz w:w="11909" w:h="16838"/>
      <w:pgMar w:top="1043" w:left="1391" w:right="1387" w:bottom="959" w:header="61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3743960</wp:posOffset>
              </wp:positionH>
              <wp:positionV relativeFrom="page">
                <wp:posOffset>10146030</wp:posOffset>
              </wp:positionV>
              <wp:extent cx="76200" cy="204470"/>
              <wp:wrapNone/>
              <wp:docPr id="11" name="Shape 11"/>
              <a:graphic xmlns:a="http://schemas.openxmlformats.org/drawingml/2006/main">
                <a:graphicData uri="http://schemas.microsoft.com/office/word/2010/wordprocessingShape">
                  <wps:wsp>
                    <wps:cNvSpPr txBox="1"/>
                    <wps:spPr>
                      <a:xfrm>
                        <a:ext cx="76200" cy="2044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294.80000000000001pt;margin-top:798.89999999999998pt;width:6.pt;height:16.1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2"/>
      <w:szCs w:val="3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jc w:val="center"/>
      <w:outlineLvl w:val="0"/>
    </w:pPr>
    <w:rPr>
      <w:rFonts w:ascii="Arial" w:eastAsia="Arial" w:hAnsi="Arial" w:cs="Arial"/>
      <w:b/>
      <w:bCs/>
      <w:i w:val="0"/>
      <w:iCs w:val="0"/>
      <w:smallCaps w:val="0"/>
      <w:strike w:val="0"/>
      <w:sz w:val="32"/>
      <w:szCs w:val="3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pPr>
    <w:rPr>
      <w:rFonts w:ascii="Arial" w:eastAsia="Arial" w:hAnsi="Arial" w:cs="Arial"/>
      <w:b/>
      <w:bCs/>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180"/>
      <w:jc w:val="center"/>
      <w:outlineLvl w:val="1"/>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Nedelova</dc:creator>
  <cp:keywords/>
</cp:coreProperties>
</file>