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9B" w:rsidRDefault="009B2D0E">
      <w:pPr>
        <w:pBdr>
          <w:top w:val="single" w:sz="4" w:space="1" w:color="000000"/>
          <w:left w:val="single" w:sz="4" w:space="3" w:color="656565"/>
          <w:bottom w:val="single" w:sz="4" w:space="0" w:color="6F6F6F"/>
          <w:right w:val="single" w:sz="4" w:space="0" w:color="010101"/>
        </w:pBdr>
        <w:ind w:left="72"/>
        <w:rPr>
          <w:rFonts w:ascii="Arial" w:hAnsi="Arial"/>
          <w:b/>
          <w:color w:val="000000"/>
          <w:spacing w:val="-4"/>
          <w:sz w:val="21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0;margin-top:639.9pt;width:468pt;height:9.25pt;z-index:-251659776;mso-wrap-distance-left:0;mso-wrap-distance-right:0" filled="f" stroked="f">
            <v:textbox inset="0,0,0,0">
              <w:txbxContent>
                <w:p w:rsidR="0048659B" w:rsidRDefault="009B2D0E">
                  <w:pPr>
                    <w:ind w:right="180"/>
                    <w:jc w:val="right"/>
                    <w:rPr>
                      <w:rFonts w:ascii="Verdana" w:hAnsi="Verdana"/>
                      <w:i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6"/>
                      <w:sz w:val="15"/>
                      <w:lang w:val="cs-CZ"/>
                    </w:rPr>
                    <w:t>Strana 4 (celkem 4)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4"/>
          <w:sz w:val="21"/>
          <w:lang w:val="cs-CZ"/>
        </w:rPr>
        <w:t>6) Závěrečná ustanovení</w:t>
      </w:r>
    </w:p>
    <w:p w:rsidR="0048659B" w:rsidRDefault="009B2D0E">
      <w:pPr>
        <w:numPr>
          <w:ilvl w:val="0"/>
          <w:numId w:val="1"/>
        </w:numPr>
        <w:tabs>
          <w:tab w:val="clear" w:pos="432"/>
          <w:tab w:val="decimal" w:pos="576"/>
        </w:tabs>
        <w:spacing w:before="144"/>
        <w:ind w:left="576" w:right="144" w:hanging="432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Prodávající se za podmínek stanovených touto smlouvou, v souladu s pokyny kupujícího a při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vynaložení veškeré potřebné odborné péče, zavazuje jako osoba povinná dle § 2 písm. e) </w:t>
      </w:r>
      <w:r>
        <w:rPr>
          <w:rFonts w:ascii="Arial" w:hAnsi="Arial"/>
          <w:color w:val="000000"/>
          <w:sz w:val="20"/>
          <w:lang w:val="cs-CZ"/>
        </w:rPr>
        <w:t xml:space="preserve">zákona č. 320/2001 Sb., o finanční kontrole, v platném znění, spolupůsobit při výkonu finanční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kontroly, mj. umožnit kontrolním orgánům přístup i k těm částem nabídek, smluv a souvisících </w:t>
      </w:r>
      <w:r>
        <w:rPr>
          <w:rFonts w:ascii="Arial" w:hAnsi="Arial"/>
          <w:color w:val="000000"/>
          <w:spacing w:val="5"/>
          <w:sz w:val="20"/>
          <w:lang w:val="cs-CZ"/>
        </w:rPr>
        <w:t>dokumentů, které podléhají ochraně podle zvláštních právních předpis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ů (např. obchodní </w:t>
      </w:r>
      <w:r>
        <w:rPr>
          <w:rFonts w:ascii="Arial" w:hAnsi="Arial"/>
          <w:color w:val="000000"/>
          <w:sz w:val="20"/>
          <w:lang w:val="cs-CZ"/>
        </w:rPr>
        <w:t>tajemství, utajované skutečnosti), a to za předpokladu, že budou spl</w:t>
      </w:r>
      <w:r>
        <w:rPr>
          <w:rFonts w:ascii="Arial" w:hAnsi="Arial"/>
          <w:color w:val="000000"/>
          <w:sz w:val="20"/>
          <w:lang w:val="cs-CZ"/>
        </w:rPr>
        <w:t xml:space="preserve">něny požadavky kladené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právními (např. § 8 písm. c), § 20 odst. 1 zákona č. 255/2012 Sb., o kontrole — kontrolní řád, </w:t>
      </w:r>
      <w:r>
        <w:rPr>
          <w:rFonts w:ascii="Arial" w:hAnsi="Arial"/>
          <w:color w:val="000000"/>
          <w:sz w:val="20"/>
          <w:lang w:val="cs-CZ"/>
        </w:rPr>
        <w:t>v platném znění).</w:t>
      </w:r>
    </w:p>
    <w:p w:rsidR="0048659B" w:rsidRDefault="009B2D0E">
      <w:pPr>
        <w:numPr>
          <w:ilvl w:val="0"/>
          <w:numId w:val="1"/>
        </w:numPr>
        <w:tabs>
          <w:tab w:val="clear" w:pos="432"/>
          <w:tab w:val="decimal" w:pos="576"/>
        </w:tabs>
        <w:spacing w:before="144"/>
        <w:ind w:left="576" w:right="144" w:hanging="432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Prodávající je povinen minimáln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ě do konce roku 2035 poskytovat požadované informace a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dokumentaci související s prováděním díla (realizací projektu) zaměstnancům nebo zmocněncům </w:t>
      </w:r>
      <w:r>
        <w:rPr>
          <w:rFonts w:ascii="Arial" w:hAnsi="Arial"/>
          <w:color w:val="000000"/>
          <w:sz w:val="20"/>
          <w:lang w:val="cs-CZ"/>
        </w:rPr>
        <w:t xml:space="preserve">pověřených orgánů (CRR, MMR ČR, MF ČR, Evropské komise, Evropského účetního dvora, </w:t>
      </w:r>
      <w:r>
        <w:rPr>
          <w:rFonts w:ascii="Arial" w:hAnsi="Arial"/>
          <w:color w:val="000000"/>
          <w:spacing w:val="-1"/>
          <w:sz w:val="20"/>
          <w:lang w:val="cs-CZ"/>
        </w:rPr>
        <w:t>Nejvyššího kontrolního úřa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du, příslušného orgánu finanční správy a dalších oprávněných orgánů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státní správy) a je povinen vytvořit výše uvedeným osobám podmínky provedení kontroly vztahující se k provádění díla (realizaci projektu) a poskytnout jim při provádění kontroly </w:t>
      </w:r>
      <w:r>
        <w:rPr>
          <w:rFonts w:ascii="Arial" w:hAnsi="Arial"/>
          <w:color w:val="000000"/>
          <w:sz w:val="20"/>
          <w:lang w:val="cs-CZ"/>
        </w:rPr>
        <w:t>součinnost</w:t>
      </w:r>
      <w:r>
        <w:rPr>
          <w:rFonts w:ascii="Arial" w:hAnsi="Arial"/>
          <w:color w:val="000000"/>
          <w:sz w:val="20"/>
          <w:lang w:val="cs-CZ"/>
        </w:rPr>
        <w:t>.</w:t>
      </w:r>
    </w:p>
    <w:p w:rsidR="0048659B" w:rsidRDefault="009B2D0E">
      <w:pPr>
        <w:ind w:left="504" w:right="144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Pokud prodávající poruší kteroukoliv z povinností., má kupující vůči prodávajícímu právo na </w:t>
      </w:r>
      <w:r>
        <w:rPr>
          <w:rFonts w:ascii="Arial" w:hAnsi="Arial"/>
          <w:color w:val="000000"/>
          <w:sz w:val="20"/>
          <w:lang w:val="cs-CZ"/>
        </w:rPr>
        <w:t>smluvní pokutu ve výši 1 000,- Kč za každé takové jednotlivé porušení.</w:t>
      </w:r>
    </w:p>
    <w:p w:rsidR="0048659B" w:rsidRDefault="009B2D0E">
      <w:pPr>
        <w:numPr>
          <w:ilvl w:val="0"/>
          <w:numId w:val="1"/>
        </w:numPr>
        <w:tabs>
          <w:tab w:val="clear" w:pos="432"/>
          <w:tab w:val="decimal" w:pos="576"/>
        </w:tabs>
        <w:spacing w:before="144"/>
        <w:ind w:left="576" w:right="144" w:hanging="432"/>
        <w:jc w:val="both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>Prodávající je povinen uchovávat veškerou dokumentaci související s prováděním díla (realiz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ací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projektu), včetně účetních dokladů, minimálně do konce roku 2035, nevyplývá-li z českých </w:t>
      </w:r>
      <w:r>
        <w:rPr>
          <w:rFonts w:ascii="Arial" w:hAnsi="Arial"/>
          <w:color w:val="000000"/>
          <w:sz w:val="20"/>
          <w:lang w:val="cs-CZ"/>
        </w:rPr>
        <w:t>právních předpisů lhůta delší.</w:t>
      </w:r>
    </w:p>
    <w:p w:rsidR="0048659B" w:rsidRDefault="009B2D0E">
      <w:pPr>
        <w:numPr>
          <w:ilvl w:val="0"/>
          <w:numId w:val="1"/>
        </w:numPr>
        <w:tabs>
          <w:tab w:val="clear" w:pos="432"/>
          <w:tab w:val="decimal" w:pos="576"/>
        </w:tabs>
        <w:spacing w:before="144"/>
        <w:ind w:left="576" w:right="144" w:hanging="432"/>
        <w:jc w:val="both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Pokud ve smlouvě není výslovně ujednáno jinak, řídí se právní vztahy smluvních stran ze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smlouvy touto zadávací dokumentací a pokud v ní není uvedeno, pak příslušnými ustanoveními </w:t>
      </w:r>
      <w:r>
        <w:rPr>
          <w:rFonts w:ascii="Arial" w:hAnsi="Arial"/>
          <w:color w:val="000000"/>
          <w:sz w:val="20"/>
          <w:lang w:val="cs-CZ"/>
        </w:rPr>
        <w:t>zákona č. 89/2012 Sb., Občanského zákoníku, v jeho platném znění.</w:t>
      </w:r>
    </w:p>
    <w:p w:rsidR="0048659B" w:rsidRDefault="009B2D0E">
      <w:pPr>
        <w:numPr>
          <w:ilvl w:val="0"/>
          <w:numId w:val="1"/>
        </w:numPr>
        <w:tabs>
          <w:tab w:val="clear" w:pos="432"/>
          <w:tab w:val="decimal" w:pos="576"/>
        </w:tabs>
        <w:spacing w:before="108"/>
        <w:ind w:left="576" w:right="144" w:hanging="432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>Změny nebo dopl</w:t>
      </w:r>
      <w:r>
        <w:rPr>
          <w:rFonts w:ascii="Arial" w:hAnsi="Arial"/>
          <w:color w:val="000000"/>
          <w:spacing w:val="6"/>
          <w:sz w:val="20"/>
          <w:lang w:val="cs-CZ"/>
        </w:rPr>
        <w:t xml:space="preserve">nění smlouvy lze učinit výlučně písemně formou dodatků potvrzených </w:t>
      </w:r>
      <w:r>
        <w:rPr>
          <w:rFonts w:ascii="Arial" w:hAnsi="Arial"/>
          <w:color w:val="000000"/>
          <w:sz w:val="20"/>
          <w:lang w:val="cs-CZ"/>
        </w:rPr>
        <w:t>oprávněnými zástu</w:t>
      </w:r>
      <w:r>
        <w:rPr>
          <w:rFonts w:ascii="Arial" w:hAnsi="Arial"/>
          <w:color w:val="000000"/>
          <w:sz w:val="20"/>
          <w:lang w:val="cs-CZ"/>
        </w:rPr>
        <w:t>pci smluvních stran.</w:t>
      </w:r>
    </w:p>
    <w:p w:rsidR="0048659B" w:rsidRDefault="009B2D0E">
      <w:pPr>
        <w:numPr>
          <w:ilvl w:val="0"/>
          <w:numId w:val="1"/>
        </w:numPr>
        <w:tabs>
          <w:tab w:val="clear" w:pos="432"/>
          <w:tab w:val="decimal" w:pos="576"/>
        </w:tabs>
        <w:spacing w:before="144"/>
        <w:ind w:left="576" w:hanging="432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Smlouva je vyhotovena ve třech stejnopisech, z nichž dva obdrží kupující a jeden prodávající.</w:t>
      </w:r>
    </w:p>
    <w:p w:rsidR="0048659B" w:rsidRDefault="009B2D0E">
      <w:pPr>
        <w:numPr>
          <w:ilvl w:val="0"/>
          <w:numId w:val="1"/>
        </w:numPr>
        <w:tabs>
          <w:tab w:val="clear" w:pos="432"/>
          <w:tab w:val="decimal" w:pos="576"/>
        </w:tabs>
        <w:spacing w:before="144"/>
        <w:ind w:left="576" w:right="144" w:hanging="432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Smluvní strany řeší spory z této smlouvy vyplývající především vzájemnou dohodou. Nedojde-li </w:t>
      </w:r>
      <w:r>
        <w:rPr>
          <w:rFonts w:ascii="Arial" w:hAnsi="Arial"/>
          <w:color w:val="000000"/>
          <w:sz w:val="20"/>
          <w:lang w:val="cs-CZ"/>
        </w:rPr>
        <w:t>k dohodě, předají strany spor věcně příslušnému soudu</w:t>
      </w:r>
    </w:p>
    <w:p w:rsidR="0048659B" w:rsidRDefault="009B2D0E">
      <w:pPr>
        <w:tabs>
          <w:tab w:val="right" w:pos="7320"/>
        </w:tabs>
        <w:spacing w:before="504"/>
        <w:ind w:left="72"/>
        <w:rPr>
          <w:rFonts w:ascii="Arial" w:hAnsi="Arial"/>
          <w:color w:val="000000"/>
          <w:spacing w:val="-8"/>
          <w:sz w:val="20"/>
          <w:lang w:val="cs-CZ"/>
        </w:rPr>
      </w:pPr>
      <w:r>
        <w:rPr>
          <w:rFonts w:ascii="Arial" w:hAnsi="Arial"/>
          <w:color w:val="000000"/>
          <w:spacing w:val="-8"/>
          <w:sz w:val="20"/>
          <w:lang w:val="cs-CZ"/>
        </w:rPr>
        <w:t>Za kupujícího:</w:t>
      </w:r>
      <w:r>
        <w:rPr>
          <w:rFonts w:ascii="Arial" w:hAnsi="Arial"/>
          <w:color w:val="000000"/>
          <w:spacing w:val="-8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Za prodávajícího:</w:t>
      </w:r>
      <w:bookmarkStart w:id="0" w:name="_GoBack"/>
      <w:bookmarkEnd w:id="0"/>
    </w:p>
    <w:p w:rsidR="0048659B" w:rsidRDefault="009B2D0E">
      <w:pPr>
        <w:tabs>
          <w:tab w:val="left" w:leader="dot" w:pos="1363"/>
          <w:tab w:val="left" w:leader="dot" w:pos="2779"/>
          <w:tab w:val="left" w:pos="5083"/>
          <w:tab w:val="right" w:leader="dot" w:pos="6754"/>
        </w:tabs>
        <w:spacing w:before="432" w:after="1368"/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V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ab/>
        <w:t xml:space="preserve"> </w:t>
      </w:r>
      <w:r>
        <w:rPr>
          <w:rFonts w:ascii="Arial" w:hAnsi="Arial"/>
          <w:color w:val="000000"/>
          <w:spacing w:val="-8"/>
          <w:sz w:val="20"/>
          <w:lang w:val="cs-CZ"/>
        </w:rPr>
        <w:t>dne 19.06.</w:t>
      </w:r>
      <w:r>
        <w:rPr>
          <w:rFonts w:ascii="Arial" w:hAnsi="Arial"/>
          <w:color w:val="000000"/>
          <w:spacing w:val="-6"/>
          <w:sz w:val="20"/>
          <w:lang w:val="cs-CZ"/>
        </w:rPr>
        <w:t>2025</w:t>
      </w:r>
      <w:r>
        <w:rPr>
          <w:rFonts w:ascii="Arial" w:hAnsi="Arial"/>
          <w:color w:val="000000"/>
          <w:spacing w:val="-6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 xml:space="preserve">V      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 xml:space="preserve"> dne </w:t>
      </w:r>
      <w:proofErr w:type="gramStart"/>
      <w:r>
        <w:rPr>
          <w:rFonts w:ascii="Arial" w:hAnsi="Arial"/>
          <w:color w:val="000000"/>
          <w:sz w:val="20"/>
          <w:lang w:val="cs-CZ"/>
        </w:rPr>
        <w:t>09.06.</w:t>
      </w:r>
      <w:r>
        <w:rPr>
          <w:rFonts w:ascii="Arial" w:hAnsi="Arial"/>
          <w:color w:val="000000"/>
          <w:sz w:val="20"/>
          <w:lang w:val="cs-CZ"/>
        </w:rPr>
        <w:t>2025</w:t>
      </w:r>
      <w:proofErr w:type="gramEnd"/>
    </w:p>
    <w:p w:rsidR="0048659B" w:rsidRDefault="009B2D0E">
      <w:pPr>
        <w:tabs>
          <w:tab w:val="right" w:pos="8582"/>
        </w:tabs>
        <w:ind w:left="72"/>
        <w:rPr>
          <w:rFonts w:ascii="Arial" w:hAnsi="Arial"/>
          <w:color w:val="000000"/>
          <w:spacing w:val="-2"/>
          <w:sz w:val="20"/>
          <w:lang w:val="cs-CZ"/>
        </w:rPr>
      </w:pPr>
      <w:r>
        <w:pict>
          <v:line id="_x0000_s1027" style="position:absolute;left:0;text-align:left;z-index:251657728;mso-position-horizontal-relative:text;mso-position-vertical-relative:text" from="288.95pt,.3pt" to="456.55pt,.3pt" strokecolor="#010101" strokeweight=".5pt"/>
        </w:pict>
      </w:r>
      <w:r>
        <w:pict>
          <v:line id="_x0000_s1026" style="position:absolute;left:0;text-align:left;z-index:251658752;mso-position-horizontal-relative:text;mso-position-vertical-relative:text" from="5.75pt,.55pt" to="173.1pt,.55pt" strokecolor="#010101" strokeweight=".5pt"/>
        </w:pict>
      </w:r>
      <w:r>
        <w:rPr>
          <w:rFonts w:ascii="Arial" w:hAnsi="Arial"/>
          <w:color w:val="000000"/>
          <w:spacing w:val="-2"/>
          <w:sz w:val="20"/>
          <w:lang w:val="cs-CZ"/>
        </w:rPr>
        <w:t>Mgr. Jiří Junek, ředitel</w:t>
      </w:r>
      <w:r>
        <w:rPr>
          <w:rFonts w:ascii="Arial" w:hAnsi="Arial"/>
          <w:color w:val="000000"/>
          <w:spacing w:val="-2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titul, jméno a příjmení oprávněné osoby</w:t>
      </w:r>
    </w:p>
    <w:p w:rsidR="0048659B" w:rsidRDefault="009B2D0E">
      <w:pPr>
        <w:tabs>
          <w:tab w:val="right" w:pos="7627"/>
        </w:tabs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ředitel</w:t>
      </w:r>
      <w:r>
        <w:rPr>
          <w:rFonts w:ascii="Arial" w:hAnsi="Arial"/>
          <w:color w:val="000000"/>
          <w:sz w:val="20"/>
          <w:lang w:val="cs-CZ"/>
        </w:rPr>
        <w:tab/>
        <w:t>jednat za dodavatele</w:t>
      </w:r>
    </w:p>
    <w:sectPr w:rsidR="0048659B">
      <w:pgSz w:w="11918" w:h="16854"/>
      <w:pgMar w:top="1410" w:right="1207" w:bottom="2316" w:left="129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A9C"/>
    <w:multiLevelType w:val="multilevel"/>
    <w:tmpl w:val="8C0C122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659B"/>
    <w:rsid w:val="0048659B"/>
    <w:rsid w:val="009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035423"/>
  <w15:docId w15:val="{564A1FED-4131-4820-89E0-2767DDAF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2025-06-19T10:39:00Z</dcterms:created>
  <dcterms:modified xsi:type="dcterms:W3CDTF">2025-06-19T10:40:00Z</dcterms:modified>
</cp:coreProperties>
</file>