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CD3E" w14:textId="7FFB2E45" w:rsidR="000918A4" w:rsidRDefault="000918A4">
      <w:pPr>
        <w:spacing w:line="360" w:lineRule="exact"/>
      </w:pPr>
    </w:p>
    <w:p w14:paraId="3A00AC6C" w14:textId="77777777" w:rsidR="000918A4" w:rsidRDefault="000918A4">
      <w:pPr>
        <w:spacing w:after="712" w:line="1" w:lineRule="exact"/>
      </w:pPr>
    </w:p>
    <w:p w14:paraId="46E39076" w14:textId="77777777" w:rsidR="000918A4" w:rsidRDefault="000918A4">
      <w:pPr>
        <w:spacing w:line="1" w:lineRule="exact"/>
        <w:sectPr w:rsidR="000918A4">
          <w:footerReference w:type="even" r:id="rId7"/>
          <w:footerReference w:type="default" r:id="rId8"/>
          <w:pgSz w:w="11900" w:h="16840"/>
          <w:pgMar w:top="194" w:right="304" w:bottom="1195" w:left="1524" w:header="0" w:footer="3" w:gutter="0"/>
          <w:pgNumType w:start="1"/>
          <w:cols w:space="720"/>
          <w:noEndnote/>
          <w:docGrid w:linePitch="360"/>
        </w:sectPr>
      </w:pPr>
    </w:p>
    <w:p w14:paraId="2329E7EB" w14:textId="6F4157DF" w:rsidR="000918A4" w:rsidRDefault="000918A4">
      <w:pPr>
        <w:spacing w:line="1" w:lineRule="exact"/>
      </w:pPr>
    </w:p>
    <w:p w14:paraId="19B2EF2D" w14:textId="77777777" w:rsidR="000918A4" w:rsidRDefault="00000000">
      <w:pPr>
        <w:pStyle w:val="Heading110"/>
        <w:keepNext/>
        <w:keepLines/>
      </w:pPr>
      <w:bookmarkStart w:id="0" w:name="bookmark0"/>
      <w:r>
        <w:rPr>
          <w:rStyle w:val="Heading11"/>
          <w:b/>
          <w:bCs/>
        </w:rPr>
        <w:t>Příkazní smlouva</w:t>
      </w:r>
      <w:bookmarkEnd w:id="0"/>
    </w:p>
    <w:p w14:paraId="008E4BCC" w14:textId="77777777" w:rsidR="000918A4" w:rsidRDefault="00000000">
      <w:pPr>
        <w:pStyle w:val="Bodytext50"/>
      </w:pPr>
      <w:r>
        <w:rPr>
          <w:rStyle w:val="Bodytext5"/>
        </w:rPr>
        <w:t>č. 3698/NHA/M</w:t>
      </w:r>
    </w:p>
    <w:p w14:paraId="6DFE784B" w14:textId="77777777" w:rsidR="000918A4" w:rsidRDefault="00000000">
      <w:pPr>
        <w:pStyle w:val="Bodytext10"/>
        <w:spacing w:after="240"/>
        <w:jc w:val="center"/>
      </w:pPr>
      <w:r>
        <w:rPr>
          <w:rStyle w:val="Bodytext1"/>
        </w:rPr>
        <w:t>uzavřená podle § 2430 a násl. zákona č. 89/2012 Sb., občanský zákoník,</w:t>
      </w:r>
      <w:r>
        <w:rPr>
          <w:rStyle w:val="Bodytext1"/>
        </w:rPr>
        <w:br/>
        <w:t>ve znění pozdějších právních předpisů, mezi těmito smluvními stranami:</w:t>
      </w:r>
    </w:p>
    <w:p w14:paraId="5659D560" w14:textId="38D50564" w:rsidR="000918A4" w:rsidRDefault="00000000">
      <w:pPr>
        <w:pStyle w:val="Bodytext10"/>
        <w:numPr>
          <w:ilvl w:val="0"/>
          <w:numId w:val="1"/>
        </w:numPr>
        <w:tabs>
          <w:tab w:val="left" w:pos="388"/>
        </w:tabs>
        <w:ind w:left="440" w:hanging="440"/>
      </w:pPr>
      <w:r>
        <w:rPr>
          <w:rStyle w:val="Bodytext1"/>
          <w:b/>
          <w:bCs/>
        </w:rPr>
        <w:t xml:space="preserve">Nemocnice Havířov, </w:t>
      </w:r>
      <w:proofErr w:type="spellStart"/>
      <w:r>
        <w:rPr>
          <w:rStyle w:val="Bodytext1"/>
          <w:b/>
          <w:bCs/>
        </w:rPr>
        <w:t>p.o</w:t>
      </w:r>
      <w:proofErr w:type="spellEnd"/>
      <w:r>
        <w:rPr>
          <w:rStyle w:val="Bodytext1"/>
          <w:b/>
          <w:bCs/>
        </w:rPr>
        <w:t xml:space="preserve">., </w:t>
      </w:r>
      <w:r>
        <w:rPr>
          <w:rStyle w:val="Bodytext1"/>
        </w:rPr>
        <w:t>Dělnická 1132/24, Město, 736 01 Havířov zastoupena: ředitelem IČ: 00844896, DIČ: CZ00844896</w:t>
      </w:r>
    </w:p>
    <w:p w14:paraId="4F5B9A1E" w14:textId="77777777" w:rsidR="000918A4" w:rsidRDefault="00000000">
      <w:pPr>
        <w:pStyle w:val="Bodytext10"/>
        <w:spacing w:line="389" w:lineRule="auto"/>
        <w:ind w:left="4560" w:hanging="4560"/>
      </w:pPr>
      <w:r>
        <w:rPr>
          <w:rStyle w:val="Bodytext1"/>
        </w:rPr>
        <w:t xml:space="preserve">dále jen jako </w:t>
      </w:r>
      <w:r>
        <w:rPr>
          <w:rStyle w:val="Bodytext1"/>
          <w:b/>
          <w:bCs/>
        </w:rPr>
        <w:t xml:space="preserve">„příkazce" </w:t>
      </w:r>
      <w:r>
        <w:rPr>
          <w:rStyle w:val="Bodytext1"/>
        </w:rPr>
        <w:t xml:space="preserve">nebo </w:t>
      </w:r>
      <w:r>
        <w:rPr>
          <w:rStyle w:val="Bodytext1"/>
          <w:b/>
          <w:bCs/>
        </w:rPr>
        <w:t xml:space="preserve">„zadavatel" </w:t>
      </w:r>
      <w:r>
        <w:rPr>
          <w:rStyle w:val="Bodytext1"/>
        </w:rPr>
        <w:t>na straně jedné a</w:t>
      </w:r>
    </w:p>
    <w:p w14:paraId="08344D5D" w14:textId="5F3C9F13" w:rsidR="000918A4" w:rsidRDefault="00000000">
      <w:pPr>
        <w:pStyle w:val="Bodytext10"/>
        <w:numPr>
          <w:ilvl w:val="0"/>
          <w:numId w:val="1"/>
        </w:numPr>
        <w:tabs>
          <w:tab w:val="left" w:pos="388"/>
        </w:tabs>
        <w:ind w:left="440" w:hanging="440"/>
      </w:pPr>
      <w:r>
        <w:rPr>
          <w:rStyle w:val="Bodytext1"/>
          <w:b/>
          <w:bCs/>
        </w:rPr>
        <w:t xml:space="preserve">PROEBIZ s.r.o., </w:t>
      </w:r>
      <w:r>
        <w:rPr>
          <w:rStyle w:val="Bodytext1"/>
        </w:rPr>
        <w:t xml:space="preserve">Masarykovo náměstí 52/33, 702 00 </w:t>
      </w:r>
      <w:proofErr w:type="gramStart"/>
      <w:r>
        <w:rPr>
          <w:rStyle w:val="Bodytext1"/>
        </w:rPr>
        <w:t>Ostrava - Moravská</w:t>
      </w:r>
      <w:proofErr w:type="gramEnd"/>
      <w:r>
        <w:rPr>
          <w:rStyle w:val="Bodytext1"/>
        </w:rPr>
        <w:t xml:space="preserve"> Ostrava zastoupena: country managerem, na základě pověření IČO: 64616398, DIČ: CZ64616398</w:t>
      </w:r>
    </w:p>
    <w:p w14:paraId="5988A1CE" w14:textId="77777777" w:rsidR="000918A4" w:rsidRDefault="00000000">
      <w:pPr>
        <w:pStyle w:val="Bodytext10"/>
        <w:ind w:firstLine="440"/>
      </w:pPr>
      <w:r>
        <w:rPr>
          <w:rStyle w:val="Bodytext1"/>
        </w:rPr>
        <w:t>Zapsaná u Krajského soudu v Ostravě, oddíl C, vložka 9176</w:t>
      </w:r>
    </w:p>
    <w:p w14:paraId="69B43E70" w14:textId="77777777" w:rsidR="000918A4" w:rsidRDefault="00000000">
      <w:pPr>
        <w:pStyle w:val="Bodytext10"/>
        <w:spacing w:after="500"/>
      </w:pPr>
      <w:r>
        <w:rPr>
          <w:rStyle w:val="Bodytext1"/>
        </w:rPr>
        <w:t xml:space="preserve">dále jen jako </w:t>
      </w:r>
      <w:r>
        <w:rPr>
          <w:rStyle w:val="Bodytext1"/>
          <w:b/>
          <w:bCs/>
        </w:rPr>
        <w:t xml:space="preserve">„příkazník" </w:t>
      </w:r>
      <w:r>
        <w:rPr>
          <w:rStyle w:val="Bodytext1"/>
        </w:rPr>
        <w:t>na straně druhé</w:t>
      </w:r>
    </w:p>
    <w:p w14:paraId="42CC5063" w14:textId="77777777" w:rsidR="000918A4" w:rsidRDefault="00000000">
      <w:pPr>
        <w:pStyle w:val="Heading410"/>
        <w:keepNext/>
        <w:keepLines/>
        <w:spacing w:line="283" w:lineRule="auto"/>
      </w:pPr>
      <w:bookmarkStart w:id="1" w:name="bookmark2"/>
      <w:r>
        <w:rPr>
          <w:rStyle w:val="Heading41"/>
          <w:b/>
          <w:bCs/>
        </w:rPr>
        <w:t>Úvodní ustanovení</w:t>
      </w:r>
      <w:bookmarkEnd w:id="1"/>
    </w:p>
    <w:p w14:paraId="3334CFEA" w14:textId="77777777" w:rsidR="000918A4" w:rsidRDefault="00000000">
      <w:pPr>
        <w:pStyle w:val="Bodytext10"/>
        <w:numPr>
          <w:ilvl w:val="0"/>
          <w:numId w:val="2"/>
        </w:numPr>
        <w:tabs>
          <w:tab w:val="left" w:pos="388"/>
        </w:tabs>
        <w:spacing w:line="283" w:lineRule="auto"/>
        <w:ind w:left="380" w:hanging="380"/>
        <w:jc w:val="both"/>
      </w:pPr>
      <w:r>
        <w:rPr>
          <w:rStyle w:val="Bodytext1"/>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není nutné uzavírat ke smlouvě dodatek, jedině že o to požádá jedna ze smluvních stran.</w:t>
      </w:r>
    </w:p>
    <w:p w14:paraId="0C1917B5" w14:textId="77777777" w:rsidR="000918A4" w:rsidRDefault="00000000">
      <w:pPr>
        <w:pStyle w:val="Bodytext10"/>
        <w:numPr>
          <w:ilvl w:val="0"/>
          <w:numId w:val="2"/>
        </w:numPr>
        <w:tabs>
          <w:tab w:val="left" w:pos="388"/>
        </w:tabs>
        <w:spacing w:line="283" w:lineRule="auto"/>
      </w:pPr>
      <w:r>
        <w:rPr>
          <w:rStyle w:val="Bodytext1"/>
        </w:rPr>
        <w:t>Tato smlouva je uzavřena na základě podané nabídky na administraci veřejné zakázky.</w:t>
      </w:r>
    </w:p>
    <w:p w14:paraId="39AF2A1C" w14:textId="77777777" w:rsidR="000918A4" w:rsidRDefault="00000000">
      <w:pPr>
        <w:pStyle w:val="Bodytext10"/>
        <w:numPr>
          <w:ilvl w:val="0"/>
          <w:numId w:val="2"/>
        </w:numPr>
        <w:tabs>
          <w:tab w:val="left" w:pos="388"/>
        </w:tabs>
        <w:spacing w:after="240" w:line="283" w:lineRule="auto"/>
        <w:ind w:left="380" w:hanging="380"/>
        <w:jc w:val="both"/>
      </w:pPr>
      <w:r>
        <w:rPr>
          <w:rStyle w:val="Bodytext1"/>
        </w:rPr>
        <w:t>Příkazník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14:paraId="0FEF4639" w14:textId="77777777" w:rsidR="000918A4" w:rsidRDefault="00000000">
      <w:pPr>
        <w:pStyle w:val="Heading410"/>
        <w:keepNext/>
        <w:keepLines/>
        <w:numPr>
          <w:ilvl w:val="0"/>
          <w:numId w:val="3"/>
        </w:numPr>
        <w:tabs>
          <w:tab w:val="left" w:pos="261"/>
        </w:tabs>
      </w:pPr>
      <w:bookmarkStart w:id="2" w:name="bookmark4"/>
      <w:r>
        <w:rPr>
          <w:rStyle w:val="Heading41"/>
          <w:b/>
          <w:bCs/>
        </w:rPr>
        <w:t>Předmět smlouvy</w:t>
      </w:r>
      <w:bookmarkEnd w:id="2"/>
    </w:p>
    <w:p w14:paraId="6965A836" w14:textId="77777777" w:rsidR="000918A4" w:rsidRDefault="00000000">
      <w:pPr>
        <w:pStyle w:val="Bodytext10"/>
        <w:numPr>
          <w:ilvl w:val="0"/>
          <w:numId w:val="4"/>
        </w:numPr>
        <w:tabs>
          <w:tab w:val="left" w:pos="388"/>
        </w:tabs>
        <w:spacing w:after="240"/>
        <w:ind w:left="380" w:hanging="380"/>
        <w:jc w:val="both"/>
      </w:pPr>
      <w:r>
        <w:rPr>
          <w:rStyle w:val="Bodytext1"/>
        </w:rPr>
        <w:t>Příkazník se zavazuje obstarat níže specifikovanou záležitost příkazce a za tím účelem provést požadované činnosti, nebo činnosti, které vyžaduje povaha obstarávané záležitosti.</w:t>
      </w:r>
    </w:p>
    <w:p w14:paraId="7BF2FF99" w14:textId="77777777" w:rsidR="000918A4" w:rsidRDefault="00000000">
      <w:pPr>
        <w:pStyle w:val="Heading410"/>
        <w:keepNext/>
        <w:keepLines/>
        <w:numPr>
          <w:ilvl w:val="0"/>
          <w:numId w:val="3"/>
        </w:numPr>
        <w:tabs>
          <w:tab w:val="left" w:pos="305"/>
        </w:tabs>
      </w:pPr>
      <w:bookmarkStart w:id="3" w:name="bookmark6"/>
      <w:r>
        <w:rPr>
          <w:rStyle w:val="Heading41"/>
          <w:b/>
          <w:bCs/>
        </w:rPr>
        <w:t>Specifikace závazku příkazníka</w:t>
      </w:r>
      <w:bookmarkEnd w:id="3"/>
    </w:p>
    <w:p w14:paraId="34448492" w14:textId="77777777" w:rsidR="000918A4" w:rsidRDefault="00000000">
      <w:pPr>
        <w:pStyle w:val="Bodytext10"/>
        <w:numPr>
          <w:ilvl w:val="0"/>
          <w:numId w:val="5"/>
        </w:numPr>
        <w:tabs>
          <w:tab w:val="left" w:pos="388"/>
        </w:tabs>
        <w:ind w:left="380" w:hanging="380"/>
        <w:jc w:val="both"/>
      </w:pPr>
      <w:r>
        <w:rPr>
          <w:rStyle w:val="Bodytext1"/>
        </w:rPr>
        <w:t xml:space="preserve">Předmětem této smlouvy je výkon práv a povinností zadavatele související se zadávacím řízením ve smyslu § 43 odst. 1 zákona č. 134/2016 Sb., o zadávání veřejných zakázek ve znění pozdějších předpisů (dále jen „Zákon") na veřejnou zakázku spočívající v zavedení Dynamického nákupního systému (dále také „DNS") pod názvem </w:t>
      </w:r>
      <w:r>
        <w:rPr>
          <w:rStyle w:val="Bodytext1"/>
          <w:b/>
          <w:bCs/>
        </w:rPr>
        <w:t>„DNS pro dodávky potravin".</w:t>
      </w:r>
    </w:p>
    <w:p w14:paraId="439EB5C6" w14:textId="77777777" w:rsidR="000918A4" w:rsidRDefault="00000000">
      <w:pPr>
        <w:pStyle w:val="Bodytext10"/>
        <w:numPr>
          <w:ilvl w:val="0"/>
          <w:numId w:val="5"/>
        </w:numPr>
        <w:tabs>
          <w:tab w:val="left" w:pos="388"/>
        </w:tabs>
      </w:pPr>
      <w:r>
        <w:rPr>
          <w:rStyle w:val="Bodytext1"/>
        </w:rPr>
        <w:t>Při zavádění DNS Příkazník zajistí:</w:t>
      </w:r>
    </w:p>
    <w:p w14:paraId="3AB03383" w14:textId="77777777" w:rsidR="000918A4" w:rsidRDefault="00000000">
      <w:pPr>
        <w:pStyle w:val="Bodytext10"/>
        <w:numPr>
          <w:ilvl w:val="0"/>
          <w:numId w:val="6"/>
        </w:numPr>
        <w:tabs>
          <w:tab w:val="left" w:pos="639"/>
        </w:tabs>
        <w:ind w:firstLine="380"/>
      </w:pPr>
      <w:r>
        <w:rPr>
          <w:rStyle w:val="Bodytext1"/>
        </w:rPr>
        <w:t>Zpracování Oznámení zadávacího řízení pro zavedení DNS ve Věstníku veřejných zakázek.</w:t>
      </w:r>
    </w:p>
    <w:p w14:paraId="14B5067A" w14:textId="77777777" w:rsidR="000918A4" w:rsidRDefault="00000000">
      <w:pPr>
        <w:pStyle w:val="Bodytext10"/>
        <w:numPr>
          <w:ilvl w:val="0"/>
          <w:numId w:val="6"/>
        </w:numPr>
        <w:tabs>
          <w:tab w:val="left" w:pos="639"/>
        </w:tabs>
        <w:ind w:firstLine="380"/>
      </w:pPr>
      <w:r>
        <w:rPr>
          <w:rStyle w:val="Bodytext1"/>
        </w:rPr>
        <w:t>Zpracování Zadávací dokumentace DNS dle zadání Příkazce.</w:t>
      </w:r>
    </w:p>
    <w:p w14:paraId="7FC640A5" w14:textId="77777777" w:rsidR="000918A4" w:rsidRDefault="00000000">
      <w:pPr>
        <w:pStyle w:val="Bodytext10"/>
        <w:numPr>
          <w:ilvl w:val="0"/>
          <w:numId w:val="6"/>
        </w:numPr>
        <w:tabs>
          <w:tab w:val="left" w:pos="639"/>
        </w:tabs>
        <w:ind w:firstLine="380"/>
      </w:pPr>
      <w:r>
        <w:rPr>
          <w:rStyle w:val="Bodytext1"/>
        </w:rPr>
        <w:t>Uveřejnění zadávací dokumentace na profilu zadavatele.</w:t>
      </w:r>
    </w:p>
    <w:p w14:paraId="73AB0156" w14:textId="77777777" w:rsidR="000918A4" w:rsidRDefault="00000000">
      <w:pPr>
        <w:pStyle w:val="Bodytext10"/>
        <w:numPr>
          <w:ilvl w:val="0"/>
          <w:numId w:val="6"/>
        </w:numPr>
        <w:tabs>
          <w:tab w:val="left" w:pos="659"/>
        </w:tabs>
        <w:ind w:left="640" w:hanging="240"/>
        <w:jc w:val="both"/>
      </w:pPr>
      <w:r>
        <w:rPr>
          <w:rStyle w:val="Bodytext1"/>
        </w:rPr>
        <w:t>Příprava podkladů pro ustanovení osob oprávněných k elektronickému otevírání žádostí o účast.</w:t>
      </w:r>
    </w:p>
    <w:p w14:paraId="025F22C7" w14:textId="77777777" w:rsidR="000918A4" w:rsidRDefault="00000000">
      <w:pPr>
        <w:pStyle w:val="Bodytext10"/>
        <w:numPr>
          <w:ilvl w:val="0"/>
          <w:numId w:val="6"/>
        </w:numPr>
        <w:tabs>
          <w:tab w:val="left" w:pos="639"/>
        </w:tabs>
        <w:ind w:firstLine="380"/>
      </w:pPr>
      <w:r>
        <w:rPr>
          <w:rStyle w:val="Bodytext1"/>
        </w:rPr>
        <w:t>Příprava podkladů pro prohlášení o neexistenci střetu zájmů dle § 44 Zákona.</w:t>
      </w:r>
    </w:p>
    <w:p w14:paraId="16C5DA60" w14:textId="77777777" w:rsidR="000918A4" w:rsidRDefault="00000000">
      <w:pPr>
        <w:pStyle w:val="Bodytext10"/>
        <w:numPr>
          <w:ilvl w:val="0"/>
          <w:numId w:val="6"/>
        </w:numPr>
        <w:tabs>
          <w:tab w:val="left" w:pos="659"/>
        </w:tabs>
        <w:spacing w:after="80"/>
        <w:ind w:left="640" w:hanging="240"/>
        <w:jc w:val="both"/>
      </w:pPr>
      <w:r>
        <w:rPr>
          <w:rStyle w:val="Bodytext1"/>
        </w:rPr>
        <w:t>Organizační zabezpečení odpovědí na dotazy zájemců k vyjasnění zadávací dokumentace a jejich doručení zájemcům.</w:t>
      </w:r>
    </w:p>
    <w:p w14:paraId="3F57638D" w14:textId="77777777" w:rsidR="000918A4" w:rsidRDefault="00000000">
      <w:pPr>
        <w:pStyle w:val="Bodytext10"/>
        <w:numPr>
          <w:ilvl w:val="0"/>
          <w:numId w:val="6"/>
        </w:numPr>
        <w:tabs>
          <w:tab w:val="left" w:pos="660"/>
        </w:tabs>
        <w:ind w:left="680" w:hanging="280"/>
        <w:jc w:val="both"/>
      </w:pPr>
      <w:r>
        <w:rPr>
          <w:rStyle w:val="Bodytext1"/>
        </w:rPr>
        <w:t>Zajištění plně elektronického zadávacího řízení týkajícího se zavedení DNS v certifikovaném elektronickém nástroji pro elektronickou komunikaci dle vyhlášky 260/2016 Sb., a to včetně zpracování příslušné dokumentace.</w:t>
      </w:r>
    </w:p>
    <w:p w14:paraId="1692FE6D" w14:textId="77777777" w:rsidR="000918A4" w:rsidRDefault="00000000">
      <w:pPr>
        <w:pStyle w:val="Bodytext10"/>
        <w:numPr>
          <w:ilvl w:val="0"/>
          <w:numId w:val="6"/>
        </w:numPr>
        <w:tabs>
          <w:tab w:val="left" w:pos="660"/>
        </w:tabs>
        <w:ind w:left="680" w:hanging="280"/>
        <w:jc w:val="both"/>
      </w:pPr>
      <w:r>
        <w:rPr>
          <w:rStyle w:val="Bodytext1"/>
        </w:rPr>
        <w:t>Poskytnutí technické podpory, která zahrnuje asistenci ze strany Příkazníka potřebné pro řádný průběh zadávacího řízení.</w:t>
      </w:r>
    </w:p>
    <w:p w14:paraId="20376C26" w14:textId="77777777" w:rsidR="000918A4" w:rsidRDefault="00000000">
      <w:pPr>
        <w:pStyle w:val="Bodytext10"/>
        <w:numPr>
          <w:ilvl w:val="0"/>
          <w:numId w:val="6"/>
        </w:numPr>
        <w:tabs>
          <w:tab w:val="left" w:pos="660"/>
        </w:tabs>
        <w:ind w:left="680" w:hanging="280"/>
        <w:jc w:val="both"/>
      </w:pPr>
      <w:r>
        <w:rPr>
          <w:rStyle w:val="Bodytext1"/>
        </w:rPr>
        <w:t>Poskytnutí poradenské podpory spočívající v součinnosti s Příkazcem při řešení neočekávaných událostí v průběhu zadávacího řízení, a to na požádání Příkazce nebo jeho zástupce.</w:t>
      </w:r>
    </w:p>
    <w:p w14:paraId="093CAB66" w14:textId="77777777" w:rsidR="000918A4" w:rsidRDefault="00000000">
      <w:pPr>
        <w:pStyle w:val="Bodytext10"/>
        <w:numPr>
          <w:ilvl w:val="0"/>
          <w:numId w:val="6"/>
        </w:numPr>
        <w:tabs>
          <w:tab w:val="left" w:pos="660"/>
        </w:tabs>
        <w:ind w:left="680" w:hanging="280"/>
        <w:jc w:val="both"/>
      </w:pPr>
      <w:r>
        <w:rPr>
          <w:rStyle w:val="Bodytext1"/>
        </w:rPr>
        <w:t>Kompletní zajištění průběhu elektronického otevírání žádostí o účast včetně zpracování příslušné dokumentace.</w:t>
      </w:r>
    </w:p>
    <w:p w14:paraId="7788275E" w14:textId="77777777" w:rsidR="000918A4" w:rsidRDefault="00000000">
      <w:pPr>
        <w:pStyle w:val="Bodytext10"/>
        <w:numPr>
          <w:ilvl w:val="0"/>
          <w:numId w:val="6"/>
        </w:numPr>
        <w:tabs>
          <w:tab w:val="left" w:pos="660"/>
        </w:tabs>
        <w:ind w:left="680" w:hanging="280"/>
        <w:jc w:val="both"/>
      </w:pPr>
      <w:r>
        <w:rPr>
          <w:rStyle w:val="Bodytext1"/>
        </w:rPr>
        <w:t xml:space="preserve">Posouzení splnění podmínek účasti v zadávacím řízení při zavedení DNS podle § 139 Zákona a </w:t>
      </w:r>
      <w:r>
        <w:rPr>
          <w:rStyle w:val="Bodytext1"/>
        </w:rPr>
        <w:lastRenderedPageBreak/>
        <w:t>zpracování rozhodnutí o zařazení účastníka do DNS nebo o jeho vyloučení.</w:t>
      </w:r>
    </w:p>
    <w:p w14:paraId="3D5B2DA5" w14:textId="77777777" w:rsidR="000918A4" w:rsidRDefault="00000000">
      <w:pPr>
        <w:pStyle w:val="Bodytext10"/>
        <w:numPr>
          <w:ilvl w:val="0"/>
          <w:numId w:val="6"/>
        </w:numPr>
        <w:tabs>
          <w:tab w:val="left" w:pos="624"/>
        </w:tabs>
        <w:ind w:firstLine="360"/>
        <w:jc w:val="both"/>
      </w:pPr>
      <w:r>
        <w:rPr>
          <w:rStyle w:val="Bodytext1"/>
        </w:rPr>
        <w:t>Zpracování námitek proti vyloučení účastníka ze zadávacího řízení.</w:t>
      </w:r>
    </w:p>
    <w:p w14:paraId="6DF2ED61" w14:textId="77777777" w:rsidR="000918A4" w:rsidRDefault="00000000">
      <w:pPr>
        <w:pStyle w:val="Bodytext10"/>
        <w:numPr>
          <w:ilvl w:val="0"/>
          <w:numId w:val="6"/>
        </w:numPr>
        <w:tabs>
          <w:tab w:val="left" w:pos="660"/>
        </w:tabs>
        <w:ind w:left="680" w:hanging="280"/>
        <w:jc w:val="both"/>
      </w:pPr>
      <w:r>
        <w:rPr>
          <w:rStyle w:val="Bodytext1"/>
        </w:rPr>
        <w:t>Zpracování Oznámení o výsledku zadávacího řízení při zavedení DNS ve Věstníku veřejných zakázek.</w:t>
      </w:r>
    </w:p>
    <w:p w14:paraId="1B89854C" w14:textId="77777777" w:rsidR="000918A4" w:rsidRDefault="00000000">
      <w:pPr>
        <w:pStyle w:val="Bodytext10"/>
        <w:numPr>
          <w:ilvl w:val="0"/>
          <w:numId w:val="6"/>
        </w:numPr>
        <w:tabs>
          <w:tab w:val="left" w:pos="624"/>
        </w:tabs>
        <w:ind w:firstLine="360"/>
        <w:jc w:val="both"/>
      </w:pPr>
      <w:r>
        <w:rPr>
          <w:rStyle w:val="Bodytext1"/>
        </w:rPr>
        <w:t>Zpracování Písemné zprávy zadavatele.</w:t>
      </w:r>
    </w:p>
    <w:p w14:paraId="05CB6D2F" w14:textId="77777777" w:rsidR="000918A4" w:rsidRDefault="00000000">
      <w:pPr>
        <w:pStyle w:val="Bodytext10"/>
        <w:numPr>
          <w:ilvl w:val="0"/>
          <w:numId w:val="5"/>
        </w:numPr>
        <w:tabs>
          <w:tab w:val="left" w:pos="373"/>
        </w:tabs>
        <w:ind w:left="360" w:hanging="360"/>
        <w:jc w:val="both"/>
      </w:pPr>
      <w:r>
        <w:rPr>
          <w:rStyle w:val="Bodytext1"/>
        </w:rPr>
        <w:t>Příkazník zajistí zpracování veškerých dokladů pro řešení případných námitek účastníků, a to zejména:</w:t>
      </w:r>
    </w:p>
    <w:p w14:paraId="68285CDE" w14:textId="77777777" w:rsidR="000918A4" w:rsidRDefault="00000000">
      <w:pPr>
        <w:pStyle w:val="Bodytext10"/>
        <w:numPr>
          <w:ilvl w:val="0"/>
          <w:numId w:val="7"/>
        </w:numPr>
        <w:tabs>
          <w:tab w:val="left" w:pos="624"/>
        </w:tabs>
        <w:ind w:firstLine="360"/>
        <w:jc w:val="both"/>
      </w:pPr>
      <w:r>
        <w:rPr>
          <w:rStyle w:val="Bodytext1"/>
        </w:rPr>
        <w:t>Zpracování Rozhodnutí zadavatele o námitkách.</w:t>
      </w:r>
    </w:p>
    <w:p w14:paraId="6F7FA4B6" w14:textId="77777777" w:rsidR="000918A4" w:rsidRDefault="00000000">
      <w:pPr>
        <w:pStyle w:val="Bodytext10"/>
        <w:numPr>
          <w:ilvl w:val="0"/>
          <w:numId w:val="7"/>
        </w:numPr>
        <w:tabs>
          <w:tab w:val="left" w:pos="624"/>
        </w:tabs>
        <w:ind w:firstLine="360"/>
        <w:jc w:val="both"/>
      </w:pPr>
      <w:r>
        <w:rPr>
          <w:rStyle w:val="Bodytext1"/>
        </w:rPr>
        <w:t>Zpracování případného stanoviska zadavatele pro Úřad pro ochranu hospodářské soutěže.</w:t>
      </w:r>
    </w:p>
    <w:p w14:paraId="0EDEC1D2" w14:textId="77777777" w:rsidR="000918A4" w:rsidRDefault="00000000">
      <w:pPr>
        <w:pStyle w:val="Bodytext10"/>
        <w:numPr>
          <w:ilvl w:val="0"/>
          <w:numId w:val="7"/>
        </w:numPr>
        <w:tabs>
          <w:tab w:val="left" w:pos="624"/>
        </w:tabs>
        <w:ind w:firstLine="360"/>
        <w:jc w:val="both"/>
      </w:pPr>
      <w:r>
        <w:rPr>
          <w:rStyle w:val="Bodytext1"/>
        </w:rPr>
        <w:t>Předání dokumentace o zadání veřejné zakázky na Úřad pro ochranu hospodářské soutěže.</w:t>
      </w:r>
    </w:p>
    <w:p w14:paraId="12BE57C1" w14:textId="77777777" w:rsidR="000918A4" w:rsidRDefault="00000000">
      <w:pPr>
        <w:pStyle w:val="Bodytext10"/>
        <w:numPr>
          <w:ilvl w:val="0"/>
          <w:numId w:val="7"/>
        </w:numPr>
        <w:tabs>
          <w:tab w:val="left" w:pos="660"/>
        </w:tabs>
        <w:ind w:left="680" w:hanging="280"/>
        <w:jc w:val="both"/>
      </w:pPr>
      <w:r>
        <w:rPr>
          <w:rStyle w:val="Bodytext1"/>
        </w:rPr>
        <w:t>Ukončení zadávacího řízení po rozhodnutí Úřadu pro ochranu hospodářské soutěže o návrhu účastníka.</w:t>
      </w:r>
    </w:p>
    <w:p w14:paraId="2B393F03" w14:textId="77777777" w:rsidR="000918A4" w:rsidRDefault="00000000">
      <w:pPr>
        <w:pStyle w:val="Bodytext10"/>
        <w:numPr>
          <w:ilvl w:val="0"/>
          <w:numId w:val="5"/>
        </w:numPr>
        <w:tabs>
          <w:tab w:val="left" w:pos="373"/>
        </w:tabs>
        <w:ind w:left="360" w:hanging="360"/>
        <w:jc w:val="both"/>
      </w:pPr>
      <w:r>
        <w:rPr>
          <w:rStyle w:val="Bodytext1"/>
        </w:rPr>
        <w:t>Příkazník je povinen připravit pro příkazce veškeré podklady, zorganizovat veškeré činnosti a odeslat veškeré doklady dle výčtu v bodu II. 2. včetně dokladů, které se zveřejňují na profilu zadavatele a zajistit jejich zveřejnění na něm v souladu se Zákonem a zadávací dokumentací.</w:t>
      </w:r>
    </w:p>
    <w:p w14:paraId="4E331CE6" w14:textId="77777777" w:rsidR="000918A4" w:rsidRDefault="00000000">
      <w:pPr>
        <w:pStyle w:val="Bodytext10"/>
        <w:numPr>
          <w:ilvl w:val="0"/>
          <w:numId w:val="5"/>
        </w:numPr>
        <w:tabs>
          <w:tab w:val="left" w:pos="373"/>
        </w:tabs>
        <w:spacing w:after="240"/>
        <w:ind w:left="360" w:hanging="360"/>
        <w:jc w:val="both"/>
      </w:pPr>
      <w:r>
        <w:rPr>
          <w:rStyle w:val="Bodytext1"/>
        </w:rPr>
        <w:t>Jako výsledek činnosti příkazníka předá příkazník příkazci veškerou dokumentaci o průběhu zadávacího řízení. Tato dokumentace bude obsahovat veškeré doklady, zápisy a protokoly zjednání, které má z titulu své činnosti příkazník k dispozici. Předání veškeré dokumentace o průběhu zadávacího řízení příkazci se považuje za termín ukončení činnosti příkazníka.</w:t>
      </w:r>
    </w:p>
    <w:p w14:paraId="19E86FFC" w14:textId="77777777" w:rsidR="000918A4" w:rsidRDefault="00000000">
      <w:pPr>
        <w:pStyle w:val="Heading410"/>
        <w:keepNext/>
        <w:keepLines/>
        <w:numPr>
          <w:ilvl w:val="0"/>
          <w:numId w:val="3"/>
        </w:numPr>
        <w:tabs>
          <w:tab w:val="left" w:pos="373"/>
        </w:tabs>
        <w:spacing w:line="283" w:lineRule="auto"/>
      </w:pPr>
      <w:bookmarkStart w:id="4" w:name="bookmark8"/>
      <w:r>
        <w:rPr>
          <w:rStyle w:val="Heading41"/>
          <w:b/>
          <w:bCs/>
        </w:rPr>
        <w:t>Práva a povinnosti smluvních stran</w:t>
      </w:r>
      <w:bookmarkEnd w:id="4"/>
    </w:p>
    <w:p w14:paraId="051CD484"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je povinen zařídit sjednanou záležitost s odbornou péčí, podle pokynů příkazce, v souladu s podklady k DNS a v souladu se zájmy příkazce, které příkazník zná nebo musí znát.</w:t>
      </w:r>
    </w:p>
    <w:p w14:paraId="3E1187BF"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čestně prohlašuje, že v době podpisu této smlouvy není podjat ve smyslu § 44 zákona. Pokud by v průběhu zadání nastaly nové skutečnosti ve vztahu k podjatosti, je příkazník povinen je bezodkladně oznámit příkazci. Pokud tak neučiní, má se za to, že žádné změny nenastaly. Příkazník současně čestně prohlašuje, že o všech skutečnostech, o kterých se dozví v souvislosti s výkonem své funkce, zachová mlčenlivost.</w:t>
      </w:r>
    </w:p>
    <w:p w14:paraId="41918247" w14:textId="77777777" w:rsidR="000918A4" w:rsidRDefault="00000000">
      <w:pPr>
        <w:pStyle w:val="Bodytext10"/>
        <w:numPr>
          <w:ilvl w:val="0"/>
          <w:numId w:val="8"/>
        </w:numPr>
        <w:tabs>
          <w:tab w:val="left" w:pos="373"/>
        </w:tabs>
        <w:spacing w:line="283" w:lineRule="auto"/>
        <w:jc w:val="both"/>
      </w:pPr>
      <w:r>
        <w:rPr>
          <w:rStyle w:val="Bodytext1"/>
        </w:rPr>
        <w:t>Příkazník odpovídá za zákonný průběh zadávacího řízení.</w:t>
      </w:r>
    </w:p>
    <w:p w14:paraId="063FBA1C"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se zavazuje neprodleně informovat příkazce o všech skutečnostech, které by mu mohly způsobit finanční, nebo jinou újmu, o překážkách, které by mohly ohrozit termíny stanovené touto smlouvou.</w:t>
      </w:r>
    </w:p>
    <w:p w14:paraId="55D36F41"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je povinen oznámit příkazci všechny okolnosti, které zjistil při zařizování záležitosti a jež mohou mít vliv na změnu jeho pokynů.</w:t>
      </w:r>
    </w:p>
    <w:p w14:paraId="2B5FFB76"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se zavazuje podat příkazci zprávu o postupu plnění této smlouvy, kdykoli o to příkazce požádá, a to způsobem, v rozsahu a ve lhůtě dle požadavku příkazce.</w:t>
      </w:r>
    </w:p>
    <w:p w14:paraId="1C3EB875"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se zavazuje, že bez předchozího souhlasu příkazce se neodchýlí od příkazcových pokynů.</w:t>
      </w:r>
    </w:p>
    <w:p w14:paraId="2D372B22" w14:textId="77777777" w:rsidR="000918A4" w:rsidRDefault="00000000">
      <w:pPr>
        <w:pStyle w:val="Bodytext10"/>
        <w:numPr>
          <w:ilvl w:val="0"/>
          <w:numId w:val="8"/>
        </w:numPr>
        <w:tabs>
          <w:tab w:val="left" w:pos="373"/>
        </w:tabs>
        <w:spacing w:line="283" w:lineRule="auto"/>
        <w:ind w:left="360" w:hanging="360"/>
        <w:jc w:val="both"/>
      </w:pPr>
      <w:r>
        <w:rPr>
          <w:rStyle w:val="Bodytext1"/>
        </w:rPr>
        <w:t>Příkazník je povinen upozornit příkazce bez zbytečného odkladu na nevhodnost jeho pokynů, jestliže mohl tuto nevhodnost zjistit při vynaložení odborné péče.</w:t>
      </w:r>
    </w:p>
    <w:p w14:paraId="387E8DE5" w14:textId="77777777" w:rsidR="000918A4" w:rsidRDefault="00000000">
      <w:pPr>
        <w:pStyle w:val="Bodytext10"/>
        <w:numPr>
          <w:ilvl w:val="0"/>
          <w:numId w:val="8"/>
        </w:numPr>
        <w:tabs>
          <w:tab w:val="left" w:pos="367"/>
        </w:tabs>
        <w:spacing w:line="288" w:lineRule="auto"/>
        <w:ind w:left="360" w:hanging="360"/>
        <w:jc w:val="both"/>
      </w:pPr>
      <w:r>
        <w:rPr>
          <w:rStyle w:val="Bodytext1"/>
        </w:rPr>
        <w:t>Příkazník se zavazuje, že bez zbytečného odkladu oznámí příkaze! potřebu uskutečnění právního jednání. K tomu mu příkazce vystaví plnou moc.</w:t>
      </w:r>
    </w:p>
    <w:p w14:paraId="6A165C29" w14:textId="77777777" w:rsidR="000918A4" w:rsidRDefault="00000000">
      <w:pPr>
        <w:pStyle w:val="Bodytext10"/>
        <w:numPr>
          <w:ilvl w:val="0"/>
          <w:numId w:val="8"/>
        </w:numPr>
        <w:tabs>
          <w:tab w:val="left" w:pos="371"/>
        </w:tabs>
        <w:spacing w:line="288" w:lineRule="auto"/>
        <w:ind w:left="360" w:hanging="360"/>
        <w:jc w:val="both"/>
      </w:pPr>
      <w:r>
        <w:rPr>
          <w:rStyle w:val="Bodytext1"/>
        </w:rPr>
        <w:t xml:space="preserve">Příkazník se zavazuje bez zbytečného odkladu, nejpozději do 3 dnů, předat příkazci všechny věci, které za něho převzal nebo obstaral při vyřizování sjednané záležitosti. Požaduje-li to jedna ze smluvních stran, </w:t>
      </w:r>
      <w:proofErr w:type="gramStart"/>
      <w:r>
        <w:rPr>
          <w:rStyle w:val="Bodytext1"/>
        </w:rPr>
        <w:t>sepíší</w:t>
      </w:r>
      <w:proofErr w:type="gramEnd"/>
      <w:r>
        <w:rPr>
          <w:rStyle w:val="Bodytext1"/>
        </w:rPr>
        <w:t xml:space="preserve"> smluvní strany o předání věci předávací protokol, který musí být podepsán oprávněnými zástupci smluvních stran.</w:t>
      </w:r>
    </w:p>
    <w:p w14:paraId="76DA8627" w14:textId="77777777" w:rsidR="000918A4" w:rsidRDefault="00000000">
      <w:pPr>
        <w:pStyle w:val="Bodytext10"/>
        <w:numPr>
          <w:ilvl w:val="0"/>
          <w:numId w:val="8"/>
        </w:numPr>
        <w:tabs>
          <w:tab w:val="left" w:pos="378"/>
        </w:tabs>
        <w:spacing w:line="288" w:lineRule="auto"/>
        <w:ind w:left="360" w:hanging="360"/>
        <w:jc w:val="both"/>
      </w:pPr>
      <w:r>
        <w:rPr>
          <w:rStyle w:val="Bodytext1"/>
        </w:rPr>
        <w:t>Příkazce souhlasí, že sjednanou záležitost může příkazník zařídit prostřednictvím subdodavatelů, odpovídá však, jako by plnil sám.</w:t>
      </w:r>
    </w:p>
    <w:p w14:paraId="385990A3" w14:textId="77777777" w:rsidR="000918A4" w:rsidRDefault="00000000">
      <w:pPr>
        <w:pStyle w:val="Bodytext10"/>
        <w:numPr>
          <w:ilvl w:val="0"/>
          <w:numId w:val="8"/>
        </w:numPr>
        <w:tabs>
          <w:tab w:val="left" w:pos="378"/>
        </w:tabs>
        <w:spacing w:after="220" w:line="288" w:lineRule="auto"/>
        <w:ind w:left="360" w:hanging="360"/>
        <w:jc w:val="both"/>
      </w:pPr>
      <w:r>
        <w:rPr>
          <w:rStyle w:val="Bodytext1"/>
        </w:rPr>
        <w:t xml:space="preserve">Příkazník je povinen mít po celou dobu provádění plnění podle této smlouvy sjednané pojištění odpovědnosti za škodu způsobenou při výkonu své činnosti třetím osobám s pojistným plněním ve výši nejméně </w:t>
      </w:r>
      <w:proofErr w:type="gramStart"/>
      <w:r>
        <w:rPr>
          <w:rStyle w:val="Bodytext1"/>
        </w:rPr>
        <w:t>2.000.000,-</w:t>
      </w:r>
      <w:proofErr w:type="gramEnd"/>
      <w:r>
        <w:rPr>
          <w:rStyle w:val="Bodytext1"/>
        </w:rPr>
        <w:t xml:space="preserve"> Kč (slovy: dva miliony korun českých) na pojistnou událost. Příkazník je na žádost příkazce povinen předložit doklad o existenci pojištění ve lhůtě stanovené příkazcem.</w:t>
      </w:r>
    </w:p>
    <w:p w14:paraId="5F0E8A77" w14:textId="77777777" w:rsidR="000918A4" w:rsidRDefault="00000000">
      <w:pPr>
        <w:pStyle w:val="Heading410"/>
        <w:keepNext/>
        <w:keepLines/>
        <w:numPr>
          <w:ilvl w:val="0"/>
          <w:numId w:val="3"/>
        </w:numPr>
        <w:tabs>
          <w:tab w:val="left" w:pos="367"/>
        </w:tabs>
      </w:pPr>
      <w:bookmarkStart w:id="5" w:name="bookmark10"/>
      <w:r>
        <w:rPr>
          <w:rStyle w:val="Heading41"/>
          <w:b/>
          <w:bCs/>
        </w:rPr>
        <w:lastRenderedPageBreak/>
        <w:t>Odměna a platební podmínky</w:t>
      </w:r>
      <w:bookmarkEnd w:id="5"/>
    </w:p>
    <w:p w14:paraId="4BE2DB7C" w14:textId="77777777" w:rsidR="000918A4" w:rsidRDefault="00000000">
      <w:pPr>
        <w:pStyle w:val="Bodytext10"/>
        <w:numPr>
          <w:ilvl w:val="0"/>
          <w:numId w:val="9"/>
        </w:numPr>
        <w:tabs>
          <w:tab w:val="left" w:pos="367"/>
        </w:tabs>
        <w:ind w:left="360" w:hanging="360"/>
        <w:jc w:val="both"/>
      </w:pPr>
      <w:r>
        <w:rPr>
          <w:rStyle w:val="Bodytext1"/>
        </w:rPr>
        <w:t xml:space="preserve">Příkazce se zavazuje za práce a činnosti uvedené v této smlouvě zaplatit příkazníkovi odměnu ve výši </w:t>
      </w:r>
      <w:proofErr w:type="gramStart"/>
      <w:r>
        <w:rPr>
          <w:rStyle w:val="Bodytext1"/>
        </w:rPr>
        <w:t>65.000,-</w:t>
      </w:r>
      <w:proofErr w:type="gramEnd"/>
      <w:r>
        <w:rPr>
          <w:rStyle w:val="Bodytext1"/>
        </w:rPr>
        <w:t xml:space="preserve"> Kč bez DPH (slovy: šedesát pět tisíc korun českých), po uveřejnění Oznámení o výsledku zadávacího řízení při zavedení DNS ve Věstníku veřejných zakázek, na základě </w:t>
      </w:r>
      <w:proofErr w:type="gramStart"/>
      <w:r>
        <w:rPr>
          <w:rStyle w:val="Bodytext1"/>
        </w:rPr>
        <w:t>faktury - daňového</w:t>
      </w:r>
      <w:proofErr w:type="gramEnd"/>
      <w:r>
        <w:rPr>
          <w:rStyle w:val="Bodytext1"/>
        </w:rPr>
        <w:t xml:space="preserve"> dokladu vystaveného příkazníkem se splatností 30 dnů ode dne doručení příkazci. Datum uskutečnění zdanitelného plnění nastává dnem předání Písemné zprávy zadavatele příkazci.</w:t>
      </w:r>
    </w:p>
    <w:p w14:paraId="590AFF3C" w14:textId="77777777" w:rsidR="000918A4" w:rsidRDefault="00000000">
      <w:pPr>
        <w:pStyle w:val="Bodytext10"/>
        <w:numPr>
          <w:ilvl w:val="0"/>
          <w:numId w:val="9"/>
        </w:numPr>
        <w:tabs>
          <w:tab w:val="left" w:pos="367"/>
        </w:tabs>
        <w:ind w:left="360" w:hanging="360"/>
        <w:jc w:val="both"/>
      </w:pPr>
      <w:r>
        <w:rPr>
          <w:rStyle w:val="Bodytext1"/>
        </w:rPr>
        <w:t>Odměna dle odst. 1 uvedená bez DPH je stanovena jako konečná a nepřekročitelná a zahrnuje veškeré náklady nezbytné k řádnému splnění závazků příkazníka, včetně inflace, a dále zahrnuje veškeré škody, které příkazníkovi vzniknou při provádění plnění dle této smlouvy.</w:t>
      </w:r>
    </w:p>
    <w:p w14:paraId="15EE7CD0" w14:textId="77777777" w:rsidR="000918A4" w:rsidRDefault="00000000">
      <w:pPr>
        <w:pStyle w:val="Bodytext10"/>
        <w:numPr>
          <w:ilvl w:val="0"/>
          <w:numId w:val="9"/>
        </w:numPr>
        <w:tabs>
          <w:tab w:val="left" w:pos="367"/>
        </w:tabs>
        <w:ind w:left="360" w:hanging="360"/>
        <w:jc w:val="both"/>
      </w:pPr>
      <w:r>
        <w:rPr>
          <w:rStyle w:val="Bodytext1"/>
        </w:rPr>
        <w:t>Pokud z jakéhokoliv důvodu na straně příkazce bude zadávací řízení po jeho uveřejnění kdykoliv v jeho průběhu zrušeno rozhodnutím příkazce, je příkazník oprávněn vyfakturovat pouze část sjednané odměny, a to takto:</w:t>
      </w:r>
    </w:p>
    <w:p w14:paraId="7936ED22" w14:textId="77777777" w:rsidR="000918A4" w:rsidRDefault="00000000">
      <w:pPr>
        <w:pStyle w:val="Bodytext10"/>
        <w:numPr>
          <w:ilvl w:val="0"/>
          <w:numId w:val="10"/>
        </w:numPr>
        <w:tabs>
          <w:tab w:val="left" w:pos="674"/>
        </w:tabs>
        <w:ind w:left="660" w:hanging="260"/>
        <w:jc w:val="both"/>
      </w:pPr>
      <w:r>
        <w:rPr>
          <w:rStyle w:val="Bodytext1"/>
        </w:rPr>
        <w:t>při rozhodnutí o zrušení zadávacího řízení před lhůtou pro příjmem žádostí o účast ve výši 40 % ze sjednané odměny,</w:t>
      </w:r>
    </w:p>
    <w:p w14:paraId="4B342CAF" w14:textId="77777777" w:rsidR="000918A4" w:rsidRDefault="00000000">
      <w:pPr>
        <w:pStyle w:val="Bodytext10"/>
        <w:numPr>
          <w:ilvl w:val="0"/>
          <w:numId w:val="10"/>
        </w:numPr>
        <w:tabs>
          <w:tab w:val="left" w:pos="674"/>
        </w:tabs>
        <w:ind w:left="660" w:hanging="260"/>
        <w:jc w:val="both"/>
      </w:pPr>
      <w:r>
        <w:rPr>
          <w:rStyle w:val="Bodytext1"/>
        </w:rPr>
        <w:t>při rozhodnutí o zrušení zadávacího řízení po vyhodnocení žádostí o účast ve výši 90 % ze sjednané odměny.</w:t>
      </w:r>
    </w:p>
    <w:p w14:paraId="2BA30ED1" w14:textId="77777777" w:rsidR="000918A4" w:rsidRDefault="00000000">
      <w:pPr>
        <w:pStyle w:val="Bodytext10"/>
        <w:numPr>
          <w:ilvl w:val="0"/>
          <w:numId w:val="9"/>
        </w:numPr>
        <w:tabs>
          <w:tab w:val="left" w:pos="367"/>
        </w:tabs>
        <w:jc w:val="both"/>
      </w:pPr>
      <w:r>
        <w:rPr>
          <w:rStyle w:val="Bodytext1"/>
        </w:rPr>
        <w:t>Faktura (daňový doklad) musí obsahovat zejména:</w:t>
      </w:r>
    </w:p>
    <w:p w14:paraId="297C2837" w14:textId="77777777" w:rsidR="000918A4" w:rsidRDefault="00000000">
      <w:pPr>
        <w:pStyle w:val="Bodytext10"/>
        <w:numPr>
          <w:ilvl w:val="0"/>
          <w:numId w:val="11"/>
        </w:numPr>
        <w:tabs>
          <w:tab w:val="left" w:pos="626"/>
        </w:tabs>
        <w:ind w:firstLine="360"/>
        <w:jc w:val="both"/>
      </w:pPr>
      <w:r>
        <w:rPr>
          <w:rStyle w:val="Bodytext1"/>
        </w:rPr>
        <w:t>označení osoby příkazníka včetně uvedení sídla, IČO a DIČ,</w:t>
      </w:r>
    </w:p>
    <w:p w14:paraId="1B1F99FA" w14:textId="77777777" w:rsidR="000918A4" w:rsidRDefault="00000000">
      <w:pPr>
        <w:pStyle w:val="Bodytext10"/>
        <w:numPr>
          <w:ilvl w:val="0"/>
          <w:numId w:val="11"/>
        </w:numPr>
        <w:tabs>
          <w:tab w:val="left" w:pos="626"/>
        </w:tabs>
        <w:ind w:firstLine="360"/>
        <w:jc w:val="both"/>
      </w:pPr>
      <w:r>
        <w:rPr>
          <w:rStyle w:val="Bodytext1"/>
        </w:rPr>
        <w:t>označení osoby příkazce včetně uvedení sídla, IČO a DIČ,</w:t>
      </w:r>
    </w:p>
    <w:p w14:paraId="2662D70D" w14:textId="77777777" w:rsidR="000918A4" w:rsidRDefault="00000000">
      <w:pPr>
        <w:pStyle w:val="Bodytext10"/>
        <w:numPr>
          <w:ilvl w:val="0"/>
          <w:numId w:val="11"/>
        </w:numPr>
        <w:tabs>
          <w:tab w:val="left" w:pos="626"/>
        </w:tabs>
        <w:ind w:firstLine="360"/>
        <w:jc w:val="both"/>
      </w:pPr>
      <w:r>
        <w:rPr>
          <w:rStyle w:val="Bodytext1"/>
        </w:rPr>
        <w:t>evidenční číslo faktury a datum vystavení faktury,</w:t>
      </w:r>
    </w:p>
    <w:p w14:paraId="38E0CF49" w14:textId="77777777" w:rsidR="000918A4" w:rsidRDefault="00000000">
      <w:pPr>
        <w:pStyle w:val="Bodytext10"/>
        <w:numPr>
          <w:ilvl w:val="0"/>
          <w:numId w:val="11"/>
        </w:numPr>
        <w:tabs>
          <w:tab w:val="left" w:pos="626"/>
        </w:tabs>
        <w:spacing w:line="283" w:lineRule="auto"/>
        <w:ind w:firstLine="360"/>
        <w:jc w:val="both"/>
      </w:pPr>
      <w:r>
        <w:rPr>
          <w:rStyle w:val="Bodytext1"/>
        </w:rPr>
        <w:t>rozsah a předmět plnění,</w:t>
      </w:r>
    </w:p>
    <w:p w14:paraId="237CFAE3" w14:textId="77777777" w:rsidR="000918A4" w:rsidRDefault="00000000">
      <w:pPr>
        <w:pStyle w:val="Bodytext10"/>
        <w:numPr>
          <w:ilvl w:val="0"/>
          <w:numId w:val="11"/>
        </w:numPr>
        <w:tabs>
          <w:tab w:val="left" w:pos="626"/>
        </w:tabs>
        <w:spacing w:line="283" w:lineRule="auto"/>
        <w:ind w:firstLine="360"/>
        <w:jc w:val="both"/>
      </w:pPr>
      <w:r>
        <w:rPr>
          <w:rStyle w:val="Bodytext1"/>
        </w:rPr>
        <w:t>den uskutečnění plnění,</w:t>
      </w:r>
    </w:p>
    <w:p w14:paraId="0CB1A85D" w14:textId="77777777" w:rsidR="000918A4" w:rsidRDefault="00000000">
      <w:pPr>
        <w:pStyle w:val="Bodytext10"/>
        <w:numPr>
          <w:ilvl w:val="0"/>
          <w:numId w:val="11"/>
        </w:numPr>
        <w:tabs>
          <w:tab w:val="left" w:pos="626"/>
        </w:tabs>
        <w:spacing w:line="283" w:lineRule="auto"/>
        <w:ind w:firstLine="360"/>
        <w:jc w:val="both"/>
      </w:pPr>
      <w:r>
        <w:rPr>
          <w:rStyle w:val="Bodytext1"/>
        </w:rPr>
        <w:t>označení této smlouvy včetně uvedení jejího evidenčního čísla,</w:t>
      </w:r>
    </w:p>
    <w:p w14:paraId="1694BFB8" w14:textId="77777777" w:rsidR="000918A4" w:rsidRDefault="00000000">
      <w:pPr>
        <w:pStyle w:val="Bodytext10"/>
        <w:numPr>
          <w:ilvl w:val="0"/>
          <w:numId w:val="11"/>
        </w:numPr>
        <w:tabs>
          <w:tab w:val="left" w:pos="626"/>
        </w:tabs>
        <w:spacing w:line="283" w:lineRule="auto"/>
        <w:ind w:firstLine="360"/>
        <w:jc w:val="both"/>
      </w:pPr>
      <w:r>
        <w:rPr>
          <w:rStyle w:val="Bodytext1"/>
        </w:rPr>
        <w:t>lhůtu splatnosti v souladu s odstavcem 1.,</w:t>
      </w:r>
    </w:p>
    <w:p w14:paraId="638BB7B4" w14:textId="77777777" w:rsidR="000918A4" w:rsidRDefault="00000000">
      <w:pPr>
        <w:pStyle w:val="Bodytext10"/>
        <w:numPr>
          <w:ilvl w:val="0"/>
          <w:numId w:val="11"/>
        </w:numPr>
        <w:tabs>
          <w:tab w:val="left" w:pos="626"/>
        </w:tabs>
        <w:spacing w:line="283" w:lineRule="auto"/>
        <w:ind w:firstLine="360"/>
        <w:jc w:val="both"/>
      </w:pPr>
      <w:r>
        <w:rPr>
          <w:rStyle w:val="Bodytext1"/>
        </w:rPr>
        <w:t>označení banky a číslo účtu, na který má být odměna poukázána.</w:t>
      </w:r>
    </w:p>
    <w:p w14:paraId="021367A2" w14:textId="77777777" w:rsidR="000918A4" w:rsidRDefault="00000000">
      <w:pPr>
        <w:pStyle w:val="Bodytext10"/>
        <w:numPr>
          <w:ilvl w:val="0"/>
          <w:numId w:val="9"/>
        </w:numPr>
        <w:tabs>
          <w:tab w:val="left" w:pos="367"/>
        </w:tabs>
        <w:spacing w:line="283" w:lineRule="auto"/>
        <w:ind w:left="360" w:hanging="360"/>
        <w:jc w:val="both"/>
      </w:pPr>
      <w:r>
        <w:rPr>
          <w:rStyle w:val="Bodytext1"/>
        </w:rPr>
        <w:t>Kromě náležitostí uvedených v předchozím odstavci musí faktura (daňový doklad) obsahovat náležitosti dle příslušných právních předpisů.</w:t>
      </w:r>
    </w:p>
    <w:p w14:paraId="3D7B7344" w14:textId="77777777" w:rsidR="000918A4" w:rsidRDefault="00000000">
      <w:pPr>
        <w:pStyle w:val="Bodytext10"/>
        <w:numPr>
          <w:ilvl w:val="0"/>
          <w:numId w:val="9"/>
        </w:numPr>
        <w:tabs>
          <w:tab w:val="left" w:pos="367"/>
        </w:tabs>
        <w:spacing w:line="283" w:lineRule="auto"/>
        <w:ind w:left="360" w:hanging="360"/>
        <w:jc w:val="both"/>
      </w:pPr>
      <w:r>
        <w:rPr>
          <w:rStyle w:val="Bodytext1"/>
        </w:rPr>
        <w:t>Jestliže faktura (daňový doklad) nebude obsahovat dohodnuté náležitosti, nebo náležitosti dle příslušných právních předpisů, nebo bude mít jiné vady, je příkazce oprávněn ji vrátit příkazníkovi s uvedením vad. V takovém případě se přeruší lhůta splatnosti a počne běžet znovu ve stejné délce prokazatelným doručením opravené faktury (daňového dokladu).</w:t>
      </w:r>
    </w:p>
    <w:p w14:paraId="4401C123" w14:textId="77777777" w:rsidR="000918A4" w:rsidRDefault="00000000">
      <w:pPr>
        <w:pStyle w:val="Bodytext10"/>
        <w:numPr>
          <w:ilvl w:val="0"/>
          <w:numId w:val="9"/>
        </w:numPr>
        <w:tabs>
          <w:tab w:val="left" w:pos="367"/>
        </w:tabs>
        <w:spacing w:line="283" w:lineRule="auto"/>
        <w:ind w:left="360" w:hanging="360"/>
        <w:jc w:val="both"/>
      </w:pPr>
      <w:r>
        <w:rPr>
          <w:rStyle w:val="Bodytext1"/>
        </w:rPr>
        <w:t>Dohodnutou odměnu uhradí příkazce na základě faktury (daňového dokladu), která obsahuje všechny náležitosti stanovené touto smlouvou a příslušnými právními předpisy, bezhotovostním převodem na účet příkazníka uvedený na faktuře.</w:t>
      </w:r>
    </w:p>
    <w:p w14:paraId="125B267F" w14:textId="77777777" w:rsidR="000918A4" w:rsidRDefault="00000000">
      <w:pPr>
        <w:pStyle w:val="Bodytext10"/>
        <w:numPr>
          <w:ilvl w:val="0"/>
          <w:numId w:val="9"/>
        </w:numPr>
        <w:tabs>
          <w:tab w:val="left" w:pos="367"/>
        </w:tabs>
        <w:spacing w:line="283" w:lineRule="auto"/>
        <w:ind w:left="360" w:hanging="360"/>
        <w:jc w:val="both"/>
        <w:sectPr w:rsidR="000918A4">
          <w:type w:val="continuous"/>
          <w:pgSz w:w="11900" w:h="16840"/>
          <w:pgMar w:top="1519" w:right="1532" w:bottom="1555" w:left="1554" w:header="0" w:footer="3" w:gutter="0"/>
          <w:cols w:space="720"/>
          <w:noEndnote/>
          <w:docGrid w:linePitch="360"/>
        </w:sectPr>
      </w:pPr>
      <w:r>
        <w:rPr>
          <w:rStyle w:val="Bodytext1"/>
        </w:rPr>
        <w:t xml:space="preserve">Příkazce souhlasí s použitím faktury zaslané ve formátu PDF na e-mail: </w:t>
      </w:r>
      <w:hyperlink r:id="rId9" w:history="1">
        <w:r>
          <w:rPr>
            <w:rStyle w:val="Bodytext1"/>
            <w:color w:val="307DAE"/>
            <w:lang w:val="en-US" w:eastAsia="en-US" w:bidi="en-US"/>
          </w:rPr>
          <w:t>podatelna@nemhav.cz</w:t>
        </w:r>
      </w:hyperlink>
      <w:r>
        <w:rPr>
          <w:rStyle w:val="Bodytext1"/>
          <w:color w:val="307DAE"/>
          <w:lang w:val="en-US" w:eastAsia="en-US" w:bidi="en-US"/>
        </w:rPr>
        <w:t xml:space="preserve">. </w:t>
      </w:r>
      <w:r>
        <w:rPr>
          <w:rStyle w:val="Bodytext1"/>
        </w:rPr>
        <w:t>Faktury budou opatřeny zaručeným elektronickým podpisem a budou splňovat veškeré náležitosti pro elektronické zasílání dokladů.</w:t>
      </w:r>
    </w:p>
    <w:p w14:paraId="4DE09440" w14:textId="77777777" w:rsidR="000918A4" w:rsidRDefault="00000000">
      <w:pPr>
        <w:pStyle w:val="Bodytext10"/>
        <w:numPr>
          <w:ilvl w:val="0"/>
          <w:numId w:val="9"/>
        </w:numPr>
        <w:tabs>
          <w:tab w:val="left" w:pos="357"/>
        </w:tabs>
        <w:spacing w:after="240" w:line="283" w:lineRule="auto"/>
        <w:ind w:left="380" w:hanging="380"/>
        <w:jc w:val="both"/>
      </w:pPr>
      <w:r>
        <w:rPr>
          <w:rStyle w:val="Bodytext1"/>
        </w:rPr>
        <w:t>Příkazníkovi je známo, že příkazce je ve smyslu § 109 zák. č. 235/2004 Sb., o dani z přidané hodnoty, ve znění pozdějších předpisů, ručitelem za nezaplacenou daň z přidané hodnoty z plnění, které je předmětem této smlouvy. V případě, že příkazce bude mít v době úhrady smluvní ceny hodnověrné informace vedoucí k závěru, že by mohl být v budoucnu správcem daně vyzván k úhradě nezaplacené daně z titulu ručení, v souladu s § 171 odst. 3 daňového řádu, je příkazce oprávněn za příkazníka uhradit daň z přidané hodnoty přímo správci daně dle § 109a zákona o DPH. Příkazník s tímto postupem výslovně souhlasí. Dále příkazník prohlašuje, že uhrazení DPH přímo správci daně, nebude na straně příkazce považováno za prodlení se splněním závazku uhradit příkazníkovi řádně a včas smluvní cenu.</w:t>
      </w:r>
    </w:p>
    <w:p w14:paraId="3BA44B58" w14:textId="77777777" w:rsidR="000918A4" w:rsidRDefault="00000000">
      <w:pPr>
        <w:pStyle w:val="Heading410"/>
        <w:keepNext/>
        <w:keepLines/>
        <w:numPr>
          <w:ilvl w:val="0"/>
          <w:numId w:val="3"/>
        </w:numPr>
        <w:tabs>
          <w:tab w:val="left" w:pos="357"/>
        </w:tabs>
      </w:pPr>
      <w:bookmarkStart w:id="6" w:name="bookmark12"/>
      <w:r>
        <w:rPr>
          <w:rStyle w:val="Heading41"/>
          <w:b/>
          <w:bCs/>
        </w:rPr>
        <w:t>Dohoda o smluvní pokutě, úrok z prodlení a náhrada škody</w:t>
      </w:r>
      <w:bookmarkEnd w:id="6"/>
    </w:p>
    <w:p w14:paraId="28EB3E9F" w14:textId="77777777" w:rsidR="000918A4" w:rsidRDefault="00000000">
      <w:pPr>
        <w:pStyle w:val="Bodytext10"/>
        <w:numPr>
          <w:ilvl w:val="0"/>
          <w:numId w:val="12"/>
        </w:numPr>
        <w:tabs>
          <w:tab w:val="left" w:pos="357"/>
        </w:tabs>
        <w:ind w:left="380" w:hanging="380"/>
        <w:jc w:val="both"/>
      </w:pPr>
      <w:r>
        <w:rPr>
          <w:rStyle w:val="Bodytext1"/>
        </w:rPr>
        <w:t>V případě, že příkazník nebude řádně plnit činnosti, ke kterým se zavázal v článku II. této smlouvy, zavazuje se příkazník uhradit příkazci smluvní pokutu ve výši 0,5 % z celkové odměny včetně DPH za každý případ.</w:t>
      </w:r>
    </w:p>
    <w:p w14:paraId="63CE1075" w14:textId="77777777" w:rsidR="000918A4" w:rsidRDefault="00000000">
      <w:pPr>
        <w:pStyle w:val="Bodytext10"/>
        <w:numPr>
          <w:ilvl w:val="0"/>
          <w:numId w:val="12"/>
        </w:numPr>
        <w:tabs>
          <w:tab w:val="left" w:pos="357"/>
        </w:tabs>
        <w:ind w:left="380" w:hanging="380"/>
        <w:jc w:val="both"/>
      </w:pPr>
      <w:r>
        <w:rPr>
          <w:rStyle w:val="Bodytext1"/>
        </w:rPr>
        <w:t xml:space="preserve">V případě, že příkazník nedodrží jakékoli termíny vyplývající z této smlouvy nebo stanovené příkazcem na základě této smlouvy, zavazuje se příkazník uhradit příkazci smluvní pokutu ve výši 0,5 </w:t>
      </w:r>
      <w:r>
        <w:rPr>
          <w:rStyle w:val="Bodytext1"/>
        </w:rPr>
        <w:lastRenderedPageBreak/>
        <w:t>% z celkové odměny včetně DPH za každý den prodlení.</w:t>
      </w:r>
    </w:p>
    <w:p w14:paraId="735A4945" w14:textId="77777777" w:rsidR="000918A4" w:rsidRDefault="00000000">
      <w:pPr>
        <w:pStyle w:val="Bodytext10"/>
        <w:numPr>
          <w:ilvl w:val="0"/>
          <w:numId w:val="12"/>
        </w:numPr>
        <w:tabs>
          <w:tab w:val="left" w:pos="357"/>
        </w:tabs>
        <w:ind w:left="380" w:hanging="380"/>
        <w:jc w:val="both"/>
      </w:pPr>
      <w:r>
        <w:rPr>
          <w:rStyle w:val="Bodytext1"/>
        </w:rPr>
        <w:t>V případě, že příkazník nesplní pokyn udělený příkazcem na základě této smlouvy, zavazuje se příkazník uhradit příkazci smluvní pokutu ve výši 0,5 % z celkové odměny včetně DPH za každé nesplnění pokynu.</w:t>
      </w:r>
    </w:p>
    <w:p w14:paraId="69B9C411" w14:textId="77777777" w:rsidR="000918A4" w:rsidRDefault="00000000">
      <w:pPr>
        <w:pStyle w:val="Bodytext10"/>
        <w:numPr>
          <w:ilvl w:val="0"/>
          <w:numId w:val="12"/>
        </w:numPr>
        <w:tabs>
          <w:tab w:val="left" w:pos="357"/>
        </w:tabs>
        <w:ind w:left="380" w:hanging="380"/>
        <w:jc w:val="both"/>
      </w:pPr>
      <w:r>
        <w:rPr>
          <w:rStyle w:val="Bodytext1"/>
        </w:rPr>
        <w:t>Smluvní pokuta je splatná do 30 dnů ode dne doručení písemného vyúčtování její výše příkazníkovi.</w:t>
      </w:r>
    </w:p>
    <w:p w14:paraId="16A39E83" w14:textId="77777777" w:rsidR="000918A4" w:rsidRDefault="00000000">
      <w:pPr>
        <w:pStyle w:val="Bodytext10"/>
        <w:numPr>
          <w:ilvl w:val="0"/>
          <w:numId w:val="12"/>
        </w:numPr>
        <w:tabs>
          <w:tab w:val="left" w:pos="357"/>
        </w:tabs>
        <w:ind w:left="380" w:hanging="380"/>
        <w:jc w:val="both"/>
      </w:pPr>
      <w:r>
        <w:rPr>
          <w:rStyle w:val="Bodytext1"/>
        </w:rPr>
        <w:t>Příkazce se zavazuje při prodlení se zaplacením faktury zaplatit příkazníkovi smluvní úrok z prodlení ve výši 0,05 % z fakturované částky za každý den prodlení.</w:t>
      </w:r>
    </w:p>
    <w:p w14:paraId="1E04D55E" w14:textId="77777777" w:rsidR="000918A4" w:rsidRDefault="00000000">
      <w:pPr>
        <w:pStyle w:val="Bodytext10"/>
        <w:numPr>
          <w:ilvl w:val="0"/>
          <w:numId w:val="12"/>
        </w:numPr>
        <w:tabs>
          <w:tab w:val="left" w:pos="357"/>
        </w:tabs>
        <w:ind w:left="380" w:hanging="380"/>
        <w:jc w:val="both"/>
      </w:pPr>
      <w:r>
        <w:rPr>
          <w:rStyle w:val="Bodytext1"/>
        </w:rPr>
        <w:t xml:space="preserve">Příkazce má právo na náhradu škody způsobené porušením jakékoli povinnosti příkazníkem vztahující se </w:t>
      </w:r>
      <w:proofErr w:type="spellStart"/>
      <w:r>
        <w:rPr>
          <w:rStyle w:val="Bodytext1"/>
        </w:rPr>
        <w:t>ktéto</w:t>
      </w:r>
      <w:proofErr w:type="spellEnd"/>
      <w:r>
        <w:rPr>
          <w:rStyle w:val="Bodytext1"/>
        </w:rPr>
        <w:t xml:space="preserve"> smlouvě. Příkazník rovněž odpovídá příkazci za škodu, která mu vznikne v důsledku jednání příkazníka, kterým je porušen Zákon.</w:t>
      </w:r>
    </w:p>
    <w:p w14:paraId="3A7A3F74" w14:textId="77777777" w:rsidR="000918A4" w:rsidRDefault="00000000">
      <w:pPr>
        <w:pStyle w:val="Bodytext10"/>
        <w:numPr>
          <w:ilvl w:val="0"/>
          <w:numId w:val="12"/>
        </w:numPr>
        <w:tabs>
          <w:tab w:val="left" w:pos="357"/>
        </w:tabs>
        <w:spacing w:after="240"/>
        <w:ind w:left="380" w:hanging="380"/>
        <w:jc w:val="both"/>
      </w:pPr>
      <w:r>
        <w:rPr>
          <w:rStyle w:val="Bodytext1"/>
        </w:rPr>
        <w:t>Smluvní pokuty sjednané touto smlouvou zaplatí povinná strana nezávisle na zavinění a na tom, zda a v jaké výši vznikne druhé straně škoda, kterou lze vymáhat samostatně. Smluvní pokuty se nezapočítávají na náhradu vzniklé škody.</w:t>
      </w:r>
    </w:p>
    <w:p w14:paraId="7EE129D7" w14:textId="77777777" w:rsidR="000918A4" w:rsidRDefault="00000000">
      <w:pPr>
        <w:pStyle w:val="Heading410"/>
        <w:keepNext/>
        <w:keepLines/>
        <w:spacing w:line="276" w:lineRule="auto"/>
      </w:pPr>
      <w:bookmarkStart w:id="7" w:name="bookmark14"/>
      <w:r>
        <w:rPr>
          <w:rStyle w:val="Heading41"/>
          <w:b/>
          <w:bCs/>
        </w:rPr>
        <w:t>VI. Zánik závazku</w:t>
      </w:r>
      <w:bookmarkEnd w:id="7"/>
    </w:p>
    <w:p w14:paraId="1F0F221B" w14:textId="77777777" w:rsidR="000918A4" w:rsidRDefault="00000000">
      <w:pPr>
        <w:pStyle w:val="Bodytext10"/>
        <w:numPr>
          <w:ilvl w:val="0"/>
          <w:numId w:val="13"/>
        </w:numPr>
        <w:tabs>
          <w:tab w:val="left" w:pos="357"/>
        </w:tabs>
        <w:spacing w:line="276" w:lineRule="auto"/>
        <w:ind w:left="380" w:hanging="380"/>
        <w:jc w:val="both"/>
      </w:pPr>
      <w:r>
        <w:rPr>
          <w:rStyle w:val="Bodytext1"/>
        </w:rPr>
        <w:t>Příkazce je oprávněn příkaz kdykoliv odvolat. Pouze v případě, že důvodem pro odvolání není porušení povinností vyplývající z této smlouvy ze strany příkazníka, má příkazník právo na úhradu nákladů, které v souvislosti s plněním této smlouvy účelně a prokazatelně vynaložil a na poměrnou část odměny přiměřenou vynaložené námaze.</w:t>
      </w:r>
    </w:p>
    <w:p w14:paraId="229C292C" w14:textId="77777777" w:rsidR="000918A4" w:rsidRDefault="00000000">
      <w:pPr>
        <w:pStyle w:val="Bodytext10"/>
        <w:numPr>
          <w:ilvl w:val="0"/>
          <w:numId w:val="13"/>
        </w:numPr>
        <w:tabs>
          <w:tab w:val="left" w:pos="357"/>
        </w:tabs>
        <w:spacing w:after="240" w:line="276" w:lineRule="auto"/>
        <w:ind w:left="380" w:hanging="380"/>
        <w:jc w:val="both"/>
      </w:pPr>
      <w:r>
        <w:rPr>
          <w:rStyle w:val="Bodytext1"/>
        </w:rPr>
        <w:t>Příkazník je oprávněn kdykoliv příkaz vypovědět. Příkazník je v takovém případě povinen uhradit příkazci škodu, která mu tím vznikla, jedině, že by důvod výpovědi spočíval v porušení povinností vyplývajících z této smlouvy ze strany příkazce.</w:t>
      </w:r>
    </w:p>
    <w:p w14:paraId="5BE43BC6" w14:textId="77777777" w:rsidR="000918A4" w:rsidRDefault="00000000">
      <w:pPr>
        <w:pStyle w:val="Heading410"/>
        <w:keepNext/>
        <w:keepLines/>
        <w:numPr>
          <w:ilvl w:val="0"/>
          <w:numId w:val="14"/>
        </w:numPr>
        <w:tabs>
          <w:tab w:val="left" w:pos="414"/>
        </w:tabs>
        <w:spacing w:line="283" w:lineRule="auto"/>
      </w:pPr>
      <w:bookmarkStart w:id="8" w:name="bookmark16"/>
      <w:r>
        <w:rPr>
          <w:rStyle w:val="Heading41"/>
          <w:b/>
          <w:bCs/>
        </w:rPr>
        <w:t>Zástupci smluvních stran a doručování písemností</w:t>
      </w:r>
      <w:bookmarkEnd w:id="8"/>
    </w:p>
    <w:p w14:paraId="5DD5FD02" w14:textId="77777777" w:rsidR="000918A4" w:rsidRDefault="00000000">
      <w:pPr>
        <w:pStyle w:val="Bodytext10"/>
        <w:numPr>
          <w:ilvl w:val="0"/>
          <w:numId w:val="15"/>
        </w:numPr>
        <w:tabs>
          <w:tab w:val="left" w:pos="357"/>
        </w:tabs>
        <w:spacing w:line="283" w:lineRule="auto"/>
        <w:jc w:val="both"/>
      </w:pPr>
      <w:r>
        <w:rPr>
          <w:rStyle w:val="Bodytext1"/>
        </w:rPr>
        <w:t>Ve věcech plnění této smlouvy je zástupcem a kontaktní osobou na straně příkazce:</w:t>
      </w:r>
    </w:p>
    <w:p w14:paraId="75582D02" w14:textId="33AF7C43" w:rsidR="000918A4" w:rsidRDefault="00000000">
      <w:pPr>
        <w:pStyle w:val="Bodytext10"/>
        <w:spacing w:line="283" w:lineRule="auto"/>
        <w:ind w:firstLine="380"/>
        <w:jc w:val="both"/>
      </w:pPr>
      <w:r>
        <w:rPr>
          <w:rStyle w:val="Bodytext1"/>
        </w:rPr>
        <w:t xml:space="preserve">- </w:t>
      </w:r>
    </w:p>
    <w:p w14:paraId="52C3AC86" w14:textId="77777777" w:rsidR="000918A4" w:rsidRDefault="00000000">
      <w:pPr>
        <w:pStyle w:val="Bodytext10"/>
        <w:numPr>
          <w:ilvl w:val="0"/>
          <w:numId w:val="15"/>
        </w:numPr>
        <w:tabs>
          <w:tab w:val="left" w:pos="357"/>
        </w:tabs>
        <w:spacing w:line="283" w:lineRule="auto"/>
        <w:jc w:val="both"/>
      </w:pPr>
      <w:r>
        <w:rPr>
          <w:rStyle w:val="Bodytext1"/>
        </w:rPr>
        <w:t>Ve věcech plnění této smlouvy je zástupcem a kontaktní osobou na straně příkazníka:</w:t>
      </w:r>
    </w:p>
    <w:p w14:paraId="37BE61D4" w14:textId="6E3EE071" w:rsidR="000918A4" w:rsidRDefault="00000000">
      <w:pPr>
        <w:pStyle w:val="Bodytext10"/>
        <w:spacing w:line="283" w:lineRule="auto"/>
        <w:ind w:firstLine="380"/>
        <w:jc w:val="both"/>
      </w:pPr>
      <w:r>
        <w:rPr>
          <w:rStyle w:val="Bodytext1"/>
        </w:rPr>
        <w:t xml:space="preserve">- </w:t>
      </w:r>
    </w:p>
    <w:p w14:paraId="1DBBD0FE" w14:textId="77777777" w:rsidR="000918A4" w:rsidRDefault="00000000">
      <w:pPr>
        <w:pStyle w:val="Bodytext10"/>
        <w:numPr>
          <w:ilvl w:val="0"/>
          <w:numId w:val="15"/>
        </w:numPr>
        <w:tabs>
          <w:tab w:val="left" w:pos="357"/>
        </w:tabs>
        <w:spacing w:line="283" w:lineRule="auto"/>
        <w:ind w:left="380" w:hanging="380"/>
        <w:jc w:val="both"/>
      </w:pPr>
      <w:r>
        <w:rPr>
          <w:rStyle w:val="Bodytext1"/>
        </w:rPr>
        <w:t>Určení zástupci smluvních stran jednají za smluvní strany ve všech věcech souvisejících s plněním této smlouvy, zejména podepisují zápisy zjednání smluvních stran a doklad o předání věcí. Určený zástupce příkazce je též oprávněn udělovat příkazníkovi pokyny.</w:t>
      </w:r>
    </w:p>
    <w:p w14:paraId="494D64FC" w14:textId="77777777" w:rsidR="000918A4" w:rsidRDefault="00000000">
      <w:pPr>
        <w:pStyle w:val="Bodytext10"/>
        <w:numPr>
          <w:ilvl w:val="0"/>
          <w:numId w:val="15"/>
        </w:numPr>
        <w:tabs>
          <w:tab w:val="left" w:pos="357"/>
        </w:tabs>
        <w:spacing w:after="240" w:line="283" w:lineRule="auto"/>
        <w:ind w:left="380" w:hanging="380"/>
        <w:jc w:val="both"/>
      </w:pPr>
      <w:r>
        <w:rPr>
          <w:rStyle w:val="Bodytext1"/>
        </w:rPr>
        <w:t>Změna určení výše uvedených zástupců smluvních stran nevyžaduje změnu této smlouvy. Smluvní strana, o jejíhož zástupce jde, je však povinna takovou změnu bez zbytečného odkladu písemně sdělit druhé smluvní straně.</w:t>
      </w:r>
      <w:r>
        <w:br w:type="page"/>
      </w:r>
    </w:p>
    <w:p w14:paraId="3927E0AD" w14:textId="77777777" w:rsidR="000918A4" w:rsidRDefault="00000000">
      <w:pPr>
        <w:pStyle w:val="Bodytext10"/>
        <w:numPr>
          <w:ilvl w:val="0"/>
          <w:numId w:val="15"/>
        </w:numPr>
        <w:tabs>
          <w:tab w:val="left" w:pos="372"/>
        </w:tabs>
        <w:ind w:left="380" w:hanging="380"/>
        <w:jc w:val="both"/>
      </w:pPr>
      <w:r>
        <w:rPr>
          <w:rStyle w:val="Bodytext1"/>
        </w:rPr>
        <w:lastRenderedPageBreak/>
        <w:t>Kromě jiných způsobů komunikace dohodnutých mezi stranami se za účinné považují osobní doručování, doručování doporučenou poštou, datovou schránkou a elektronickou poštou. Pro doručování platí kontaktní údaje smluvních stran a jejích zástupců uvedené v této smlouvě nebo kontaktní údaje, které si smluvní strany po uzavření této smlouvy písemně oznámily.</w:t>
      </w:r>
    </w:p>
    <w:p w14:paraId="49E3317A" w14:textId="77777777" w:rsidR="000918A4" w:rsidRDefault="00000000">
      <w:pPr>
        <w:pStyle w:val="Bodytext10"/>
        <w:numPr>
          <w:ilvl w:val="0"/>
          <w:numId w:val="15"/>
        </w:numPr>
        <w:tabs>
          <w:tab w:val="left" w:pos="372"/>
        </w:tabs>
        <w:spacing w:after="240"/>
        <w:ind w:left="380" w:hanging="380"/>
        <w:jc w:val="both"/>
      </w:pPr>
      <w:r>
        <w:rPr>
          <w:rStyle w:val="Bodytext1"/>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2BEDECFD" w14:textId="77777777" w:rsidR="000918A4" w:rsidRDefault="00000000">
      <w:pPr>
        <w:pStyle w:val="Heading410"/>
        <w:keepNext/>
        <w:keepLines/>
        <w:numPr>
          <w:ilvl w:val="0"/>
          <w:numId w:val="14"/>
        </w:numPr>
        <w:tabs>
          <w:tab w:val="left" w:pos="478"/>
        </w:tabs>
      </w:pPr>
      <w:bookmarkStart w:id="9" w:name="bookmark18"/>
      <w:r>
        <w:rPr>
          <w:rStyle w:val="Heading41"/>
          <w:b/>
          <w:bCs/>
        </w:rPr>
        <w:t>Zveřejnění smlouvy a obchodní tajemství</w:t>
      </w:r>
      <w:bookmarkEnd w:id="9"/>
    </w:p>
    <w:p w14:paraId="61A96D51" w14:textId="77777777" w:rsidR="000918A4" w:rsidRDefault="00000000">
      <w:pPr>
        <w:pStyle w:val="Bodytext10"/>
        <w:numPr>
          <w:ilvl w:val="0"/>
          <w:numId w:val="16"/>
        </w:numPr>
        <w:tabs>
          <w:tab w:val="left" w:pos="372"/>
        </w:tabs>
        <w:ind w:left="380" w:hanging="380"/>
        <w:jc w:val="both"/>
      </w:pPr>
      <w:r>
        <w:rPr>
          <w:rStyle w:val="Bodytext1"/>
        </w:rPr>
        <w:t>Příkazník výslovně souhlasí s tím, aby tato smlouva včetně jejich případných změn byla vedena v evidenci smluv, která je veřejně přístupná a která obsahuje údaje zejména o smluvních stranách, předmětu smlouvy, výši finančního plnění a datum jejího podpisu. Příkazník dále výslovně souhlasí s tím, aby tato smlouva včetně jejich případných změn byla zveřejněna na webových stránkách určených příkazcem.</w:t>
      </w:r>
    </w:p>
    <w:p w14:paraId="3BD39A3D" w14:textId="77777777" w:rsidR="000918A4" w:rsidRDefault="00000000">
      <w:pPr>
        <w:pStyle w:val="Bodytext10"/>
        <w:numPr>
          <w:ilvl w:val="0"/>
          <w:numId w:val="16"/>
        </w:numPr>
        <w:tabs>
          <w:tab w:val="left" w:pos="372"/>
        </w:tabs>
        <w:spacing w:after="240"/>
        <w:ind w:left="380" w:hanging="380"/>
        <w:jc w:val="both"/>
      </w:pPr>
      <w:r>
        <w:rPr>
          <w:rStyle w:val="Bodytext1"/>
        </w:rPr>
        <w:t>Příkazník prohlašuje, že skutečnosti uvedené v této smlouvě nepovažuje za obchodní tajemství a uděluje svolení k jejich užití a zveřejnění bez stanovení jakýchkoliv dalších podmínek.</w:t>
      </w:r>
    </w:p>
    <w:p w14:paraId="3FD0D985" w14:textId="77777777" w:rsidR="000918A4" w:rsidRDefault="00000000">
      <w:pPr>
        <w:pStyle w:val="Heading410"/>
        <w:keepNext/>
        <w:keepLines/>
        <w:numPr>
          <w:ilvl w:val="0"/>
          <w:numId w:val="14"/>
        </w:numPr>
        <w:tabs>
          <w:tab w:val="left" w:pos="372"/>
        </w:tabs>
        <w:spacing w:line="288" w:lineRule="auto"/>
      </w:pPr>
      <w:bookmarkStart w:id="10" w:name="bookmark20"/>
      <w:r>
        <w:rPr>
          <w:rStyle w:val="Heading41"/>
          <w:b/>
          <w:bCs/>
        </w:rPr>
        <w:t>Závěrečná ustanovení</w:t>
      </w:r>
      <w:bookmarkEnd w:id="10"/>
    </w:p>
    <w:p w14:paraId="4A35A878" w14:textId="77777777" w:rsidR="000918A4" w:rsidRDefault="00000000">
      <w:pPr>
        <w:pStyle w:val="Bodytext10"/>
        <w:numPr>
          <w:ilvl w:val="0"/>
          <w:numId w:val="17"/>
        </w:numPr>
        <w:tabs>
          <w:tab w:val="left" w:pos="372"/>
        </w:tabs>
        <w:spacing w:line="288" w:lineRule="auto"/>
        <w:ind w:left="380" w:hanging="380"/>
        <w:jc w:val="both"/>
      </w:pPr>
      <w:r>
        <w:rPr>
          <w:rStyle w:val="Bodytext1"/>
        </w:rPr>
        <w:t>Příkazník není oprávněn postoupit, převést ani zastavit tuto smlouvu ani jakákoli práva, povinnosti, dluhy, pohledávky nebo nároky vyplývající z této smlouvy bez předchozího písemného souhlasu příkazce.</w:t>
      </w:r>
    </w:p>
    <w:p w14:paraId="078CE5AE" w14:textId="77777777" w:rsidR="000918A4" w:rsidRDefault="00000000">
      <w:pPr>
        <w:pStyle w:val="Bodytext10"/>
        <w:numPr>
          <w:ilvl w:val="0"/>
          <w:numId w:val="17"/>
        </w:numPr>
        <w:tabs>
          <w:tab w:val="left" w:pos="372"/>
        </w:tabs>
        <w:spacing w:line="288" w:lineRule="auto"/>
        <w:jc w:val="both"/>
      </w:pPr>
      <w:r>
        <w:rPr>
          <w:rStyle w:val="Bodytext1"/>
        </w:rPr>
        <w:t>Není-li v této smlouvě ujednáno jinak, vztahuje se na vztahy z ní vyplývající občanský zákoník.</w:t>
      </w:r>
    </w:p>
    <w:p w14:paraId="4353EEC5" w14:textId="77777777" w:rsidR="000918A4" w:rsidRDefault="00000000">
      <w:pPr>
        <w:pStyle w:val="Bodytext10"/>
        <w:numPr>
          <w:ilvl w:val="0"/>
          <w:numId w:val="17"/>
        </w:numPr>
        <w:tabs>
          <w:tab w:val="left" w:pos="372"/>
        </w:tabs>
        <w:spacing w:line="288" w:lineRule="auto"/>
        <w:ind w:left="380" w:hanging="380"/>
        <w:jc w:val="both"/>
      </w:pPr>
      <w:r>
        <w:rPr>
          <w:rStyle w:val="Bodytext1"/>
        </w:rPr>
        <w:t xml:space="preserve">Tuto smlouvu je možno měnit pouze písemně na základě vzestupně číslovaných </w:t>
      </w:r>
      <w:proofErr w:type="gramStart"/>
      <w:r>
        <w:rPr>
          <w:rStyle w:val="Bodytext1"/>
        </w:rPr>
        <w:t>dodatků</w:t>
      </w:r>
      <w:proofErr w:type="gramEnd"/>
      <w:r>
        <w:rPr>
          <w:rStyle w:val="Bodytext1"/>
        </w:rPr>
        <w:t xml:space="preserve"> a to prostřednictvím osob oprávněných k uzavření této smlouvy.</w:t>
      </w:r>
    </w:p>
    <w:p w14:paraId="05FBDC01" w14:textId="77777777" w:rsidR="000918A4" w:rsidRDefault="00000000">
      <w:pPr>
        <w:pStyle w:val="Bodytext10"/>
        <w:numPr>
          <w:ilvl w:val="0"/>
          <w:numId w:val="17"/>
        </w:numPr>
        <w:tabs>
          <w:tab w:val="left" w:pos="372"/>
        </w:tabs>
        <w:spacing w:line="288" w:lineRule="auto"/>
        <w:ind w:left="380" w:hanging="380"/>
        <w:jc w:val="both"/>
      </w:pPr>
      <w:r>
        <w:rPr>
          <w:rStyle w:val="Bodytext1"/>
        </w:rPr>
        <w:t>Tato smlouva je vyhotovena ve třech vyhotoveních, které mají platnost a závaznost originálu. Příkazce obdrží dvě vyhotovení a jedno vyhotovení obdrží příkazník.</w:t>
      </w:r>
    </w:p>
    <w:p w14:paraId="2A33BD13" w14:textId="77777777" w:rsidR="000918A4" w:rsidRDefault="00000000">
      <w:pPr>
        <w:pStyle w:val="Bodytext10"/>
        <w:numPr>
          <w:ilvl w:val="0"/>
          <w:numId w:val="17"/>
        </w:numPr>
        <w:tabs>
          <w:tab w:val="left" w:pos="372"/>
        </w:tabs>
        <w:spacing w:after="240" w:line="288" w:lineRule="auto"/>
        <w:ind w:left="380" w:hanging="380"/>
        <w:jc w:val="both"/>
      </w:pPr>
      <w:r>
        <w:rPr>
          <w:rStyle w:val="Bodytext1"/>
        </w:rPr>
        <w:t>Smluvní strany prohlašují, že souhlasí s textem této smlouvy a že ji uzavřely na základě svobodné a vážné vůle.</w:t>
      </w:r>
    </w:p>
    <w:p w14:paraId="1DE949E9" w14:textId="77777777" w:rsidR="000918A4" w:rsidRDefault="00000000">
      <w:pPr>
        <w:pStyle w:val="Heading410"/>
        <w:keepNext/>
        <w:keepLines/>
        <w:numPr>
          <w:ilvl w:val="0"/>
          <w:numId w:val="14"/>
        </w:numPr>
        <w:tabs>
          <w:tab w:val="left" w:pos="372"/>
        </w:tabs>
        <w:spacing w:line="283" w:lineRule="auto"/>
      </w:pPr>
      <w:bookmarkStart w:id="11" w:name="bookmark22"/>
      <w:r>
        <w:rPr>
          <w:rStyle w:val="Heading41"/>
          <w:b/>
          <w:bCs/>
        </w:rPr>
        <w:t>Plná moc</w:t>
      </w:r>
      <w:bookmarkEnd w:id="11"/>
    </w:p>
    <w:p w14:paraId="19C5387A" w14:textId="77777777" w:rsidR="000918A4" w:rsidRDefault="00000000">
      <w:pPr>
        <w:pStyle w:val="Bodytext10"/>
        <w:numPr>
          <w:ilvl w:val="0"/>
          <w:numId w:val="18"/>
        </w:numPr>
        <w:tabs>
          <w:tab w:val="left" w:pos="372"/>
        </w:tabs>
        <w:spacing w:line="283" w:lineRule="auto"/>
        <w:ind w:left="380" w:hanging="380"/>
        <w:jc w:val="both"/>
      </w:pPr>
      <w:r>
        <w:rPr>
          <w:rStyle w:val="Bodytext1"/>
        </w:rPr>
        <w:t>Podpisem této smlouvy uděluje příkazce příkazníkovi plnou moc k provádění úkonů nezbytných pro výkon zadavatelských činností s výjimkou úkonů, které vylučuje Zákon (§ 43). Rozhodnout zejména o vyloučení, o zrušení zadávacího řízení, o námitkách apod. je oprávněn pouze příkazce.</w:t>
      </w:r>
    </w:p>
    <w:p w14:paraId="3E146913" w14:textId="77777777" w:rsidR="000918A4" w:rsidRDefault="00000000">
      <w:pPr>
        <w:pStyle w:val="Bodytext10"/>
        <w:numPr>
          <w:ilvl w:val="0"/>
          <w:numId w:val="18"/>
        </w:numPr>
        <w:tabs>
          <w:tab w:val="left" w:pos="372"/>
        </w:tabs>
        <w:spacing w:line="283" w:lineRule="auto"/>
        <w:ind w:left="380" w:hanging="380"/>
        <w:jc w:val="both"/>
      </w:pPr>
      <w:r>
        <w:rPr>
          <w:rStyle w:val="Bodytext1"/>
        </w:rPr>
        <w:t>Plná moc udělená příkazníkovi se vztahuje i na zastupování příkazce ve správním řízení u orgánu dohledu ve věci zadávacího řízení, které je předmětem dle této smlouvy.</w:t>
      </w:r>
    </w:p>
    <w:p w14:paraId="300FE60E" w14:textId="77777777" w:rsidR="000918A4" w:rsidRDefault="00000000">
      <w:pPr>
        <w:pStyle w:val="Bodytext10"/>
        <w:numPr>
          <w:ilvl w:val="0"/>
          <w:numId w:val="18"/>
        </w:numPr>
        <w:tabs>
          <w:tab w:val="left" w:pos="372"/>
        </w:tabs>
        <w:spacing w:line="283" w:lineRule="auto"/>
        <w:jc w:val="both"/>
        <w:sectPr w:rsidR="000918A4">
          <w:footerReference w:type="even" r:id="rId10"/>
          <w:footerReference w:type="default" r:id="rId11"/>
          <w:type w:val="continuous"/>
          <w:pgSz w:w="11900" w:h="16840"/>
          <w:pgMar w:top="1519" w:right="1532" w:bottom="1555" w:left="1554" w:header="1091" w:footer="3" w:gutter="0"/>
          <w:cols w:space="720"/>
          <w:noEndnote/>
          <w:docGrid w:linePitch="360"/>
        </w:sectPr>
      </w:pPr>
      <w:r>
        <w:rPr>
          <w:rStyle w:val="Bodytext1"/>
        </w:rPr>
        <w:t>Příkazník tuto plnou moc přijímá.</w:t>
      </w:r>
    </w:p>
    <w:p w14:paraId="6CF96CFE" w14:textId="77777777" w:rsidR="000918A4" w:rsidRDefault="000918A4">
      <w:pPr>
        <w:spacing w:line="240" w:lineRule="exact"/>
        <w:rPr>
          <w:sz w:val="19"/>
          <w:szCs w:val="19"/>
        </w:rPr>
      </w:pPr>
    </w:p>
    <w:p w14:paraId="37D7382C" w14:textId="77777777" w:rsidR="000918A4" w:rsidRDefault="000918A4">
      <w:pPr>
        <w:spacing w:line="240" w:lineRule="exact"/>
        <w:rPr>
          <w:sz w:val="19"/>
          <w:szCs w:val="19"/>
        </w:rPr>
      </w:pPr>
    </w:p>
    <w:p w14:paraId="5692B90A" w14:textId="77777777" w:rsidR="000918A4" w:rsidRDefault="000918A4">
      <w:pPr>
        <w:spacing w:before="39" w:after="39" w:line="240" w:lineRule="exact"/>
        <w:rPr>
          <w:sz w:val="19"/>
          <w:szCs w:val="19"/>
        </w:rPr>
      </w:pPr>
    </w:p>
    <w:p w14:paraId="55D1924B" w14:textId="77777777" w:rsidR="000918A4" w:rsidRDefault="000918A4">
      <w:pPr>
        <w:spacing w:line="1" w:lineRule="exact"/>
        <w:sectPr w:rsidR="000918A4">
          <w:type w:val="continuous"/>
          <w:pgSz w:w="11900" w:h="16840"/>
          <w:pgMar w:top="1515" w:right="0" w:bottom="1235" w:left="0" w:header="0" w:footer="3" w:gutter="0"/>
          <w:cols w:space="720"/>
          <w:noEndnote/>
          <w:docGrid w:linePitch="360"/>
        </w:sectPr>
      </w:pPr>
    </w:p>
    <w:p w14:paraId="63E62308" w14:textId="77777777" w:rsidR="000918A4" w:rsidRDefault="00000000">
      <w:pPr>
        <w:pStyle w:val="Bodytext10"/>
        <w:framePr w:w="1361" w:h="245" w:wrap="none" w:vAnchor="text" w:hAnchor="page" w:x="1555" w:y="23"/>
        <w:spacing w:line="240" w:lineRule="auto"/>
      </w:pPr>
      <w:r>
        <w:rPr>
          <w:rStyle w:val="Bodytext1"/>
        </w:rPr>
        <w:lastRenderedPageBreak/>
        <w:t>V Havířově dne</w:t>
      </w:r>
    </w:p>
    <w:p w14:paraId="471149AE" w14:textId="7D35418A" w:rsidR="000918A4" w:rsidRDefault="00000000">
      <w:pPr>
        <w:pStyle w:val="Bodytext10"/>
        <w:framePr w:w="2477" w:h="540" w:wrap="none" w:vAnchor="text" w:hAnchor="page" w:x="1563" w:y="1823"/>
      </w:pPr>
      <w:r>
        <w:rPr>
          <w:rStyle w:val="Bodytext1"/>
        </w:rPr>
        <w:t>za příkazce</w:t>
      </w:r>
    </w:p>
    <w:p w14:paraId="7D447B30" w14:textId="77777777" w:rsidR="000918A4" w:rsidRDefault="00000000">
      <w:pPr>
        <w:pStyle w:val="Bodytext10"/>
        <w:framePr w:w="1260" w:h="2347" w:wrap="none" w:vAnchor="text" w:hAnchor="page" w:x="6999" w:y="21"/>
        <w:spacing w:after="300"/>
      </w:pPr>
      <w:r>
        <w:rPr>
          <w:rStyle w:val="Bodytext1"/>
        </w:rPr>
        <w:t>V Ostravě dne</w:t>
      </w:r>
    </w:p>
    <w:p w14:paraId="1F0728BE" w14:textId="7F2039F3" w:rsidR="000918A4" w:rsidRDefault="00000000">
      <w:pPr>
        <w:pStyle w:val="Bodytext10"/>
        <w:framePr w:w="1260" w:h="2347" w:wrap="none" w:vAnchor="text" w:hAnchor="page" w:x="6999" w:y="21"/>
        <w:spacing w:after="220"/>
      </w:pPr>
      <w:r>
        <w:rPr>
          <w:rStyle w:val="Bodytext1"/>
        </w:rPr>
        <w:t>za příkazníka</w:t>
      </w:r>
    </w:p>
    <w:p w14:paraId="17DF4955" w14:textId="77777777" w:rsidR="000918A4" w:rsidRDefault="000918A4">
      <w:pPr>
        <w:spacing w:line="360" w:lineRule="exact"/>
      </w:pPr>
    </w:p>
    <w:p w14:paraId="6C0CF9B3" w14:textId="77777777" w:rsidR="000918A4" w:rsidRDefault="000918A4">
      <w:pPr>
        <w:spacing w:line="360" w:lineRule="exact"/>
      </w:pPr>
    </w:p>
    <w:p w14:paraId="48D42E3B" w14:textId="77777777" w:rsidR="000918A4" w:rsidRDefault="000918A4">
      <w:pPr>
        <w:spacing w:line="360" w:lineRule="exact"/>
      </w:pPr>
    </w:p>
    <w:p w14:paraId="0EFE5DFC" w14:textId="77777777" w:rsidR="000918A4" w:rsidRDefault="000918A4">
      <w:pPr>
        <w:spacing w:line="360" w:lineRule="exact"/>
      </w:pPr>
    </w:p>
    <w:p w14:paraId="4F684A23" w14:textId="77777777" w:rsidR="000918A4" w:rsidRDefault="000918A4">
      <w:pPr>
        <w:spacing w:line="360" w:lineRule="exact"/>
      </w:pPr>
    </w:p>
    <w:p w14:paraId="6EF10664" w14:textId="77777777" w:rsidR="000918A4" w:rsidRDefault="000918A4">
      <w:pPr>
        <w:spacing w:after="561" w:line="1" w:lineRule="exact"/>
      </w:pPr>
    </w:p>
    <w:p w14:paraId="2F8F16D3" w14:textId="77777777" w:rsidR="000918A4" w:rsidRDefault="000918A4">
      <w:pPr>
        <w:spacing w:line="1" w:lineRule="exact"/>
      </w:pPr>
    </w:p>
    <w:sectPr w:rsidR="000918A4">
      <w:pgSz w:w="11900" w:h="16840"/>
      <w:pgMar w:top="1515" w:right="1532" w:bottom="1235" w:left="1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C29A" w14:textId="77777777" w:rsidR="00A46C1F" w:rsidRDefault="00A46C1F">
      <w:r>
        <w:separator/>
      </w:r>
    </w:p>
  </w:endnote>
  <w:endnote w:type="continuationSeparator" w:id="0">
    <w:p w14:paraId="5AC05FB7" w14:textId="77777777" w:rsidR="00A46C1F" w:rsidRDefault="00A4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FAC" w14:textId="77777777" w:rsidR="000918A4" w:rsidRDefault="00000000">
    <w:pPr>
      <w:spacing w:line="1" w:lineRule="exact"/>
    </w:pPr>
    <w:r>
      <w:rPr>
        <w:noProof/>
      </w:rPr>
      <mc:AlternateContent>
        <mc:Choice Requires="wps">
          <w:drawing>
            <wp:anchor distT="0" distB="0" distL="0" distR="0" simplePos="0" relativeHeight="62914693" behindDoc="1" locked="0" layoutInCell="1" allowOverlap="1" wp14:anchorId="209A3DE3" wp14:editId="5844E835">
              <wp:simplePos x="0" y="0"/>
              <wp:positionH relativeFrom="page">
                <wp:posOffset>3741420</wp:posOffset>
              </wp:positionH>
              <wp:positionV relativeFrom="page">
                <wp:posOffset>9806940</wp:posOffset>
              </wp:positionV>
              <wp:extent cx="50165"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43DCAAAD" w14:textId="77777777" w:rsidR="000918A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209A3DE3" id="_x0000_t202" coordsize="21600,21600" o:spt="202" path="m,l,21600r21600,l21600,xe">
              <v:stroke joinstyle="miter"/>
              <v:path gradientshapeok="t" o:connecttype="rect"/>
            </v:shapetype>
            <v:shape id="Shape 5" o:spid="_x0000_s1026" type="#_x0000_t202" style="position:absolute;margin-left:294.6pt;margin-top:772.2pt;width:3.95pt;height:6.8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" filled="f" stroked="f">
              <v:textbox style="mso-fit-shape-to-text:t" inset="0,0,0,0">
                <w:txbxContent>
                  <w:p w14:paraId="43DCAAAD" w14:textId="77777777" w:rsidR="000918A4"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DE7A" w14:textId="77777777" w:rsidR="000918A4" w:rsidRDefault="00000000">
    <w:pPr>
      <w:spacing w:line="1" w:lineRule="exact"/>
    </w:pPr>
    <w:r>
      <w:rPr>
        <w:noProof/>
      </w:rPr>
      <mc:AlternateContent>
        <mc:Choice Requires="wps">
          <w:drawing>
            <wp:anchor distT="0" distB="0" distL="0" distR="0" simplePos="0" relativeHeight="62914691" behindDoc="1" locked="0" layoutInCell="1" allowOverlap="1" wp14:anchorId="668D22AD" wp14:editId="4F78367D">
              <wp:simplePos x="0" y="0"/>
              <wp:positionH relativeFrom="page">
                <wp:posOffset>3724275</wp:posOffset>
              </wp:positionH>
              <wp:positionV relativeFrom="page">
                <wp:posOffset>9871075</wp:posOffset>
              </wp:positionV>
              <wp:extent cx="22860"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22860" cy="77470"/>
                      </a:xfrm>
                      <a:prstGeom prst="rect">
                        <a:avLst/>
                      </a:prstGeom>
                      <a:noFill/>
                    </wps:spPr>
                    <wps:txbx>
                      <w:txbxContent>
                        <w:p w14:paraId="4E75CC1D"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668D22AD" id="_x0000_t202" coordsize="21600,21600" o:spt="202" path="m,l,21600r21600,l21600,xe">
              <v:stroke joinstyle="miter"/>
              <v:path gradientshapeok="t" o:connecttype="rect"/>
            </v:shapetype>
            <v:shape id="Shape 3" o:spid="_x0000_s1027" type="#_x0000_t202" style="position:absolute;margin-left:293.25pt;margin-top:777.25pt;width:1.8pt;height:6.1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" filled="f" stroked="f">
              <v:textbox style="mso-fit-shape-to-text:t" inset="0,0,0,0">
                <w:txbxContent>
                  <w:p w14:paraId="4E75CC1D"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80C5" w14:textId="77777777" w:rsidR="000918A4" w:rsidRDefault="00000000">
    <w:pPr>
      <w:spacing w:line="1" w:lineRule="exact"/>
    </w:pPr>
    <w:r>
      <w:rPr>
        <w:noProof/>
      </w:rPr>
      <mc:AlternateContent>
        <mc:Choice Requires="wps">
          <w:drawing>
            <wp:anchor distT="0" distB="0" distL="0" distR="0" simplePos="0" relativeHeight="62914697" behindDoc="1" locked="0" layoutInCell="1" allowOverlap="1" wp14:anchorId="51CF4BFA" wp14:editId="18A2853F">
              <wp:simplePos x="0" y="0"/>
              <wp:positionH relativeFrom="page">
                <wp:posOffset>3724275</wp:posOffset>
              </wp:positionH>
              <wp:positionV relativeFrom="page">
                <wp:posOffset>9871075</wp:posOffset>
              </wp:positionV>
              <wp:extent cx="22860" cy="77470"/>
              <wp:effectExtent l="0" t="0" r="0" b="0"/>
              <wp:wrapNone/>
              <wp:docPr id="13" name="Shape 13"/>
              <wp:cNvGraphicFramePr/>
              <a:graphic xmlns:a="http://schemas.openxmlformats.org/drawingml/2006/main">
                <a:graphicData uri="http://schemas.microsoft.com/office/word/2010/wordprocessingShape">
                  <wps:wsp>
                    <wps:cNvSpPr txBox="1"/>
                    <wps:spPr>
                      <a:xfrm>
                        <a:off x="0" y="0"/>
                        <a:ext cx="22860" cy="77470"/>
                      </a:xfrm>
                      <a:prstGeom prst="rect">
                        <a:avLst/>
                      </a:prstGeom>
                      <a:noFill/>
                    </wps:spPr>
                    <wps:txbx>
                      <w:txbxContent>
                        <w:p w14:paraId="3D60C0F9"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51CF4BFA" id="_x0000_t202" coordsize="21600,21600" o:spt="202" path="m,l,21600r21600,l21600,xe">
              <v:stroke joinstyle="miter"/>
              <v:path gradientshapeok="t" o:connecttype="rect"/>
            </v:shapetype>
            <v:shape id="Shape 13" o:spid="_x0000_s1028" type="#_x0000_t202" style="position:absolute;margin-left:293.25pt;margin-top:777.25pt;width:1.8pt;height:6.1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" filled="f" stroked="f">
              <v:textbox style="mso-fit-shape-to-text:t" inset="0,0,0,0">
                <w:txbxContent>
                  <w:p w14:paraId="3D60C0F9"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114E" w14:textId="77777777" w:rsidR="000918A4" w:rsidRDefault="00000000">
    <w:pPr>
      <w:spacing w:line="1" w:lineRule="exact"/>
    </w:pPr>
    <w:r>
      <w:rPr>
        <w:noProof/>
      </w:rPr>
      <mc:AlternateContent>
        <mc:Choice Requires="wps">
          <w:drawing>
            <wp:anchor distT="0" distB="0" distL="0" distR="0" simplePos="0" relativeHeight="62914695" behindDoc="1" locked="0" layoutInCell="1" allowOverlap="1" wp14:anchorId="2DDE8A0B" wp14:editId="4D629EC3">
              <wp:simplePos x="0" y="0"/>
              <wp:positionH relativeFrom="page">
                <wp:posOffset>3724275</wp:posOffset>
              </wp:positionH>
              <wp:positionV relativeFrom="page">
                <wp:posOffset>9871075</wp:posOffset>
              </wp:positionV>
              <wp:extent cx="22860" cy="77470"/>
              <wp:effectExtent l="0" t="0" r="0" b="0"/>
              <wp:wrapNone/>
              <wp:docPr id="11" name="Shape 11"/>
              <wp:cNvGraphicFramePr/>
              <a:graphic xmlns:a="http://schemas.openxmlformats.org/drawingml/2006/main">
                <a:graphicData uri="http://schemas.microsoft.com/office/word/2010/wordprocessingShape">
                  <wps:wsp>
                    <wps:cNvSpPr txBox="1"/>
                    <wps:spPr>
                      <a:xfrm>
                        <a:off x="0" y="0"/>
                        <a:ext cx="22860" cy="77470"/>
                      </a:xfrm>
                      <a:prstGeom prst="rect">
                        <a:avLst/>
                      </a:prstGeom>
                      <a:noFill/>
                    </wps:spPr>
                    <wps:txbx>
                      <w:txbxContent>
                        <w:p w14:paraId="41F17346"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2DDE8A0B" id="_x0000_t202" coordsize="21600,21600" o:spt="202" path="m,l,21600r21600,l21600,xe">
              <v:stroke joinstyle="miter"/>
              <v:path gradientshapeok="t" o:connecttype="rect"/>
            </v:shapetype>
            <v:shape id="Shape 11" o:spid="_x0000_s1029" type="#_x0000_t202" style="position:absolute;margin-left:293.25pt;margin-top:777.25pt;width:1.8pt;height:6.1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" filled="f" stroked="f">
              <v:textbox style="mso-fit-shape-to-text:t" inset="0,0,0,0">
                <w:txbxContent>
                  <w:p w14:paraId="41F17346" w14:textId="77777777" w:rsidR="000918A4"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90A4" w14:textId="77777777" w:rsidR="00A46C1F" w:rsidRDefault="00A46C1F"/>
  </w:footnote>
  <w:footnote w:type="continuationSeparator" w:id="0">
    <w:p w14:paraId="4E7ADA90" w14:textId="77777777" w:rsidR="00A46C1F" w:rsidRDefault="00A46C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C42"/>
    <w:multiLevelType w:val="multilevel"/>
    <w:tmpl w:val="6FC40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32F3C"/>
    <w:multiLevelType w:val="multilevel"/>
    <w:tmpl w:val="8D14D0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B167F"/>
    <w:multiLevelType w:val="multilevel"/>
    <w:tmpl w:val="6090F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3D5BAE"/>
    <w:multiLevelType w:val="multilevel"/>
    <w:tmpl w:val="F99A40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EB10B7"/>
    <w:multiLevelType w:val="multilevel"/>
    <w:tmpl w:val="04128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015AFA"/>
    <w:multiLevelType w:val="multilevel"/>
    <w:tmpl w:val="F886C3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87469"/>
    <w:multiLevelType w:val="multilevel"/>
    <w:tmpl w:val="43404E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C33687"/>
    <w:multiLevelType w:val="multilevel"/>
    <w:tmpl w:val="0AE09CA0"/>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9345E"/>
    <w:multiLevelType w:val="multilevel"/>
    <w:tmpl w:val="5518017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036E8"/>
    <w:multiLevelType w:val="multilevel"/>
    <w:tmpl w:val="34144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441748"/>
    <w:multiLevelType w:val="multilevel"/>
    <w:tmpl w:val="CAF4B1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11773"/>
    <w:multiLevelType w:val="multilevel"/>
    <w:tmpl w:val="7FDA757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1957A7"/>
    <w:multiLevelType w:val="multilevel"/>
    <w:tmpl w:val="E5CC40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3A6DFE"/>
    <w:multiLevelType w:val="multilevel"/>
    <w:tmpl w:val="F01E43DE"/>
    <w:lvl w:ilvl="0">
      <w:start w:val="7"/>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C501F"/>
    <w:multiLevelType w:val="multilevel"/>
    <w:tmpl w:val="F15E33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AE1E6D"/>
    <w:multiLevelType w:val="multilevel"/>
    <w:tmpl w:val="F48EA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BE08B3"/>
    <w:multiLevelType w:val="multilevel"/>
    <w:tmpl w:val="B352CF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37106"/>
    <w:multiLevelType w:val="multilevel"/>
    <w:tmpl w:val="802A6E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43667">
    <w:abstractNumId w:val="11"/>
  </w:num>
  <w:num w:numId="2" w16cid:durableId="1432117875">
    <w:abstractNumId w:val="14"/>
  </w:num>
  <w:num w:numId="3" w16cid:durableId="1836920860">
    <w:abstractNumId w:val="7"/>
  </w:num>
  <w:num w:numId="4" w16cid:durableId="352536683">
    <w:abstractNumId w:val="2"/>
  </w:num>
  <w:num w:numId="5" w16cid:durableId="352464609">
    <w:abstractNumId w:val="12"/>
  </w:num>
  <w:num w:numId="6" w16cid:durableId="2082949379">
    <w:abstractNumId w:val="17"/>
  </w:num>
  <w:num w:numId="7" w16cid:durableId="1794637945">
    <w:abstractNumId w:val="8"/>
  </w:num>
  <w:num w:numId="8" w16cid:durableId="1307977135">
    <w:abstractNumId w:val="15"/>
  </w:num>
  <w:num w:numId="9" w16cid:durableId="1754203784">
    <w:abstractNumId w:val="4"/>
  </w:num>
  <w:num w:numId="10" w16cid:durableId="2046565400">
    <w:abstractNumId w:val="3"/>
  </w:num>
  <w:num w:numId="11" w16cid:durableId="905066047">
    <w:abstractNumId w:val="5"/>
  </w:num>
  <w:num w:numId="12" w16cid:durableId="723067841">
    <w:abstractNumId w:val="16"/>
  </w:num>
  <w:num w:numId="13" w16cid:durableId="1742559006">
    <w:abstractNumId w:val="6"/>
  </w:num>
  <w:num w:numId="14" w16cid:durableId="2101294703">
    <w:abstractNumId w:val="13"/>
  </w:num>
  <w:num w:numId="15" w16cid:durableId="119810652">
    <w:abstractNumId w:val="9"/>
  </w:num>
  <w:num w:numId="16" w16cid:durableId="644286721">
    <w:abstractNumId w:val="10"/>
  </w:num>
  <w:num w:numId="17" w16cid:durableId="1713965433">
    <w:abstractNumId w:val="1"/>
  </w:num>
  <w:num w:numId="18" w16cid:durableId="88251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A4"/>
    <w:rsid w:val="000918A4"/>
    <w:rsid w:val="00932B62"/>
    <w:rsid w:val="00A46C1F"/>
    <w:rsid w:val="00CA4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CD13"/>
  <w15:docId w15:val="{EFD6BE13-05B0-42F9-B7E1-7C46770E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w w:val="80"/>
      <w:sz w:val="26"/>
      <w:szCs w:val="26"/>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8"/>
      <w:szCs w:val="28"/>
      <w:u w:val="none"/>
    </w:rPr>
  </w:style>
  <w:style w:type="character" w:customStyle="1" w:styleId="Bodytext5">
    <w:name w:val="Body text|5_"/>
    <w:basedOn w:val="Standardnpsmoodstavce"/>
    <w:link w:val="Bodytext50"/>
    <w:rPr>
      <w:b w:val="0"/>
      <w:bCs w:val="0"/>
      <w:i w:val="0"/>
      <w:iCs w:val="0"/>
      <w:smallCaps w:val="0"/>
      <w:strike w:val="0"/>
      <w:sz w:val="22"/>
      <w:szCs w:val="22"/>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w w:val="80"/>
      <w:sz w:val="26"/>
      <w:szCs w:val="26"/>
      <w:u w:val="none"/>
    </w:rPr>
  </w:style>
  <w:style w:type="paragraph" w:customStyle="1" w:styleId="Bodytext20">
    <w:name w:val="Body text|2"/>
    <w:basedOn w:val="Normln"/>
    <w:link w:val="Bodytext2"/>
    <w:pPr>
      <w:spacing w:line="269" w:lineRule="auto"/>
    </w:pPr>
    <w:rPr>
      <w:rFonts w:ascii="Arial" w:eastAsia="Arial" w:hAnsi="Arial" w:cs="Arial"/>
      <w:sz w:val="14"/>
      <w:szCs w:val="14"/>
    </w:rPr>
  </w:style>
  <w:style w:type="paragraph" w:customStyle="1" w:styleId="Picturecaption10">
    <w:name w:val="Picture caption|1"/>
    <w:basedOn w:val="Normln"/>
    <w:link w:val="Picturecaption1"/>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rPr>
      <w:rFonts w:ascii="Arial" w:eastAsia="Arial" w:hAnsi="Arial" w:cs="Arial"/>
      <w:w w:val="80"/>
      <w:sz w:val="26"/>
      <w:szCs w:val="26"/>
    </w:rPr>
  </w:style>
  <w:style w:type="paragraph" w:customStyle="1" w:styleId="Heading110">
    <w:name w:val="Heading #1|1"/>
    <w:basedOn w:val="Normln"/>
    <w:link w:val="Heading11"/>
    <w:pPr>
      <w:spacing w:line="264" w:lineRule="auto"/>
      <w:jc w:val="center"/>
      <w:outlineLvl w:val="0"/>
    </w:pPr>
    <w:rPr>
      <w:rFonts w:ascii="Arial" w:eastAsia="Arial" w:hAnsi="Arial" w:cs="Arial"/>
      <w:b/>
      <w:bCs/>
      <w:sz w:val="28"/>
      <w:szCs w:val="28"/>
    </w:rPr>
  </w:style>
  <w:style w:type="paragraph" w:customStyle="1" w:styleId="Bodytext50">
    <w:name w:val="Body text|5"/>
    <w:basedOn w:val="Normln"/>
    <w:link w:val="Bodytext5"/>
    <w:pPr>
      <w:spacing w:after="180" w:line="264" w:lineRule="auto"/>
      <w:jc w:val="center"/>
    </w:pPr>
    <w:rPr>
      <w:sz w:val="22"/>
      <w:szCs w:val="22"/>
    </w:rPr>
  </w:style>
  <w:style w:type="paragraph" w:customStyle="1" w:styleId="Bodytext10">
    <w:name w:val="Body text|1"/>
    <w:basedOn w:val="Normln"/>
    <w:link w:val="Bodytext1"/>
    <w:pPr>
      <w:spacing w:line="286" w:lineRule="auto"/>
    </w:pPr>
    <w:rPr>
      <w:rFonts w:ascii="Arial" w:eastAsia="Arial" w:hAnsi="Arial" w:cs="Arial"/>
      <w:sz w:val="19"/>
      <w:szCs w:val="19"/>
    </w:rPr>
  </w:style>
  <w:style w:type="paragraph" w:customStyle="1" w:styleId="Heading410">
    <w:name w:val="Heading #4|1"/>
    <w:basedOn w:val="Normln"/>
    <w:link w:val="Heading41"/>
    <w:pPr>
      <w:spacing w:line="286" w:lineRule="auto"/>
      <w:jc w:val="center"/>
      <w:outlineLvl w:val="3"/>
    </w:pPr>
    <w:rPr>
      <w:rFonts w:ascii="Arial" w:eastAsia="Arial" w:hAnsi="Arial" w:cs="Arial"/>
      <w:b/>
      <w:bCs/>
      <w:sz w:val="19"/>
      <w:szCs w:val="19"/>
    </w:rPr>
  </w:style>
  <w:style w:type="paragraph" w:customStyle="1" w:styleId="Heading310">
    <w:name w:val="Heading #3|1"/>
    <w:basedOn w:val="Normln"/>
    <w:link w:val="Heading31"/>
    <w:pPr>
      <w:outlineLvl w:val="2"/>
    </w:pPr>
    <w:rPr>
      <w:rFonts w:ascii="Arial" w:eastAsia="Arial" w:hAnsi="Arial" w:cs="Arial"/>
    </w:rPr>
  </w:style>
  <w:style w:type="paragraph" w:customStyle="1" w:styleId="Bodytext30">
    <w:name w:val="Body text|3"/>
    <w:basedOn w:val="Normln"/>
    <w:link w:val="Bodytext3"/>
    <w:pPr>
      <w:spacing w:line="283" w:lineRule="auto"/>
    </w:pPr>
    <w:rPr>
      <w:rFonts w:ascii="Arial" w:eastAsia="Arial" w:hAnsi="Arial" w:cs="Arial"/>
      <w:sz w:val="12"/>
      <w:szCs w:val="12"/>
    </w:rPr>
  </w:style>
  <w:style w:type="paragraph" w:customStyle="1" w:styleId="Heading210">
    <w:name w:val="Heading #2|1"/>
    <w:basedOn w:val="Normln"/>
    <w:link w:val="Heading21"/>
    <w:pPr>
      <w:spacing w:after="140" w:line="288" w:lineRule="auto"/>
      <w:outlineLvl w:val="1"/>
    </w:pPr>
    <w:rPr>
      <w:rFonts w:ascii="Arial" w:eastAsia="Arial" w:hAnsi="Arial" w:cs="Arial"/>
      <w:w w:val="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odatelna@nem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2290</Words>
  <Characters>13512</Characters>
  <Application>Microsoft Office Word</Application>
  <DocSecurity>0</DocSecurity>
  <Lines>112</Lines>
  <Paragraphs>31</Paragraphs>
  <ScaleCrop>false</ScaleCrop>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2025-06-17T10:11:00Z</dcterms:created>
  <dcterms:modified xsi:type="dcterms:W3CDTF">2025-06-17T10:11:00Z</dcterms:modified>
</cp:coreProperties>
</file>