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354217" w:rsidRDefault="00E6609B">
      <w:pPr>
        <w:spacing w:after="0"/>
        <w:ind w:left="120"/>
        <w:jc w:val="right"/>
      </w:pPr>
      <w:r>
        <w:rPr>
          <w:b/>
          <w:color w:val="000000"/>
        </w:rPr>
        <w:t>Číslo spisu: S/03800/MS/25</w:t>
      </w:r>
    </w:p>
    <w:p w:rsidR="00354217" w:rsidRDefault="00E6609B">
      <w:pPr>
        <w:spacing w:after="0"/>
        <w:ind w:left="120"/>
        <w:jc w:val="right"/>
      </w:pPr>
      <w:r>
        <w:rPr>
          <w:b/>
          <w:color w:val="000000"/>
        </w:rPr>
        <w:t>Číslo jednací: 03800/MS/25</w:t>
      </w:r>
    </w:p>
    <w:p w:rsidR="00354217" w:rsidRDefault="00E6609B">
      <w:pPr>
        <w:spacing w:after="0"/>
        <w:ind w:left="120"/>
        <w:jc w:val="right"/>
      </w:pPr>
      <w:r>
        <w:rPr>
          <w:b/>
          <w:color w:val="000000"/>
        </w:rPr>
        <w:t>Číslo akce: 0045/82/25</w:t>
      </w:r>
    </w:p>
    <w:p w:rsidR="00354217" w:rsidRDefault="00E6609B">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Moravskoslezské</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Nádražní 36, 756 61 Rožnov pod Radhoštěm</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Mgr. František Jaskula</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Lukáš Drastich</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444AAB" w:rsidP="004C6EC2">
      <w:pPr>
        <w:spacing w:before="40" w:after="0" w:line="240" w:lineRule="auto"/>
        <w:rPr>
          <w:rFonts w:cs="Arial"/>
        </w:rPr>
      </w:pPr>
      <w:r>
        <w:rPr>
          <w:rFonts w:cs="Arial"/>
          <w:b/>
        </w:rPr>
        <w:t>David Haitl</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64973751</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č. p. 57, 741</w:t>
      </w:r>
      <w:r w:rsidR="008E37F0">
        <w:rPr>
          <w:rFonts w:cs="Arial"/>
        </w:rPr>
        <w:t xml:space="preserve"> 01 </w:t>
      </w:r>
      <w:r>
        <w:rPr>
          <w:rFonts w:cs="Arial"/>
        </w:rPr>
        <w:t>Bernartice nad Odrou</w:t>
      </w:r>
      <w:r w:rsidR="008E37F0">
        <w:rPr>
          <w:rFonts w:cs="Arial"/>
        </w:rPr>
        <w:t xml:space="preserve">  </w:t>
      </w:r>
      <w:r w:rsidR="004C6EC2">
        <w:rPr>
          <w:rFonts w:cs="Arial"/>
        </w:rPr>
        <w:tab/>
      </w:r>
      <w:r w:rsidR="00BC524F" w:rsidRPr="004C6EC2">
        <w:rPr>
          <w:rFonts w:cs="Arial"/>
        </w:rPr>
        <w:br/>
      </w:r>
      <w:bookmarkStart w:id="0" w:name="_GoBack"/>
      <w:bookmarkEnd w:id="0"/>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Údržba bezlesí bývalého hliniště pastvou koní v k. ú. Kunín.</w:t>
      </w:r>
    </w:p>
    <w:p w:rsidR="00E20731" w:rsidRDefault="00444AAB" w:rsidP="00536EC3">
      <w:pPr>
        <w:spacing w:before="120" w:after="0" w:line="240" w:lineRule="auto"/>
        <w:ind w:left="397"/>
        <w:rPr>
          <w:b/>
        </w:rPr>
      </w:pPr>
      <w:r>
        <w:rPr>
          <w:b/>
        </w:rPr>
        <w:t>Na vybraných plochách dojde také k mulčování nedopasků z důvodu potlačení zlatobýlu sp.</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standardy č. E02 006 "Ochrana hospodářských zvířat před útoky velkých šelem", D02 007 "Likvidace vybraných invazních druhů rostlin (vč. následné péče o lokality)", D02 003 "Pastva",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44AAB">
        <w:t>93 130,00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t>19 557,30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112 687,30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8E37F0">
        <w:t>27</w:t>
      </w:r>
      <w:r w:rsidR="00FF5FC6" w:rsidRPr="00FF5FC6">
        <w:t>.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Nádražní 36, 756 61 Rožnov pod Radhoštěm</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w:t>
      </w:r>
      <w:r w:rsidRPr="00636EFD">
        <w:lastRenderedPageBreak/>
        <w:t>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26.</w:t>
      </w:r>
      <w:r w:rsidR="008E37F0">
        <w:t xml:space="preserve"> </w:t>
      </w:r>
      <w:r>
        <w:t>11.</w:t>
      </w:r>
      <w:r w:rsidR="008E37F0">
        <w:t xml:space="preserve"> </w:t>
      </w:r>
      <w:r>
        <w:t>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Kunín - p.č. 2356, 2357, 2360, 3607, 3609, 3610, 3611, 3612, 3613</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8E37F0" w:rsidRDefault="006B6135" w:rsidP="00D33759">
      <w:pPr>
        <w:pStyle w:val="Odstavecseseznamem"/>
      </w:pPr>
      <w:r w:rsidRPr="008E37F0">
        <w:t xml:space="preserve">Smlouva je vyhotovena ve dvou stejnopisech, z nichž každý má platnost originálu. Každá ze smluvních stran obdrží jeden stejnopis. </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8E37F0">
        <w:t>Smlouva nabývá účinnosti dnem podpisu oprávněným zástupcem poslední smluvní strany.</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8E37F0">
              <w:rPr>
                <w:rFonts w:cs="Arial"/>
              </w:rPr>
              <w:t>Rožnově</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r w:rsidR="008E37F0">
              <w:rPr>
                <w:rFonts w:cs="Arial"/>
              </w:rPr>
              <w:t>Kuníně</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44AAB" w:rsidP="00BC08E9">
            <w:pPr>
              <w:jc w:val="center"/>
              <w:rPr>
                <w:rFonts w:cs="Arial"/>
              </w:rPr>
            </w:pPr>
            <w:r>
              <w:rPr>
                <w:rFonts w:cs="Arial"/>
              </w:rPr>
              <w:t>Mgr. František Jaskula</w:t>
            </w:r>
          </w:p>
          <w:p w:rsidR="00876C8D" w:rsidRDefault="00444AAB" w:rsidP="00162206">
            <w:pPr>
              <w:spacing w:after="120"/>
              <w:jc w:val="center"/>
              <w:rPr>
                <w:rFonts w:cs="Arial"/>
              </w:rPr>
            </w:pPr>
            <w:r>
              <w:rPr>
                <w:rFonts w:cs="Arial"/>
              </w:rPr>
              <w:t>Regionální pracoviště Moravskoslezské</w:t>
            </w:r>
          </w:p>
        </w:tc>
        <w:tc>
          <w:tcPr>
            <w:tcW w:w="4667" w:type="dxa"/>
            <w:gridSpan w:val="2"/>
          </w:tcPr>
          <w:p w:rsidR="00876C8D" w:rsidRDefault="00444AAB" w:rsidP="00BC08E9">
            <w:pPr>
              <w:jc w:val="center"/>
              <w:rPr>
                <w:rFonts w:cs="Arial"/>
              </w:rPr>
            </w:pPr>
            <w:r>
              <w:rPr>
                <w:rFonts w:cs="Arial"/>
              </w:rPr>
              <w:t>David Haitl</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9B" w:rsidRDefault="00E6609B" w:rsidP="008B2D0A">
      <w:pPr>
        <w:spacing w:after="0" w:line="240" w:lineRule="auto"/>
      </w:pPr>
      <w:r>
        <w:separator/>
      </w:r>
    </w:p>
  </w:endnote>
  <w:endnote w:type="continuationSeparator" w:id="0">
    <w:p w:rsidR="00E6609B" w:rsidRDefault="00E6609B"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9B" w:rsidRDefault="00E6609B" w:rsidP="008B2D0A">
      <w:pPr>
        <w:spacing w:after="0" w:line="240" w:lineRule="auto"/>
      </w:pPr>
      <w:r>
        <w:separator/>
      </w:r>
    </w:p>
  </w:footnote>
  <w:footnote w:type="continuationSeparator" w:id="0">
    <w:p w:rsidR="00E6609B" w:rsidRDefault="00E6609B"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54217"/>
    <w:rsid w:val="00366B20"/>
    <w:rsid w:val="0037433A"/>
    <w:rsid w:val="003B4E32"/>
    <w:rsid w:val="003D1A80"/>
    <w:rsid w:val="0041037D"/>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E37F0"/>
    <w:rsid w:val="008F02ED"/>
    <w:rsid w:val="008F78FE"/>
    <w:rsid w:val="00933EF4"/>
    <w:rsid w:val="00942658"/>
    <w:rsid w:val="009C5424"/>
    <w:rsid w:val="009F14EA"/>
    <w:rsid w:val="00A07F67"/>
    <w:rsid w:val="00A14B20"/>
    <w:rsid w:val="00A4562D"/>
    <w:rsid w:val="00A518EF"/>
    <w:rsid w:val="00A52025"/>
    <w:rsid w:val="00A873D1"/>
    <w:rsid w:val="00A92C25"/>
    <w:rsid w:val="00AC08A7"/>
    <w:rsid w:val="00AD6D5F"/>
    <w:rsid w:val="00AE4A00"/>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6609B"/>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132</TotalTime>
  <Pages>5</Pages>
  <Words>1695</Words>
  <Characters>10005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Jana Vojkůvková</cp:lastModifiedBy>
  <cp:revision>90</cp:revision>
  <dcterms:created xsi:type="dcterms:W3CDTF">2023-07-26T15:17:00Z</dcterms:created>
  <dcterms:modified xsi:type="dcterms:W3CDTF">2025-06-16T14:08:00Z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