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D2C" w:rsidRDefault="00556EB8">
      <w:pPr>
        <w:spacing w:after="0"/>
        <w:ind w:left="0" w:right="22" w:firstLine="0"/>
        <w:jc w:val="center"/>
      </w:pPr>
      <w:r>
        <w:rPr>
          <w:sz w:val="24"/>
          <w:u w:val="single" w:color="000000"/>
        </w:rPr>
        <w:t>SMLOUVA O ZPROSTŘEDKOVÁNÍ UMĚLECKÉHO VÝKONU</w:t>
      </w:r>
    </w:p>
    <w:p w:rsidR="00563D2C" w:rsidRDefault="00556EB8">
      <w:pPr>
        <w:spacing w:after="139"/>
      </w:pPr>
      <w:r>
        <w:t>Tato smlouva o zprostředkování uměleckého výkonu (dále jen ”Smlouva”) je uzavřena mezi:</w:t>
      </w:r>
    </w:p>
    <w:p w:rsidR="00563D2C" w:rsidRDefault="00556EB8">
      <w:pPr>
        <w:spacing w:after="5" w:line="257" w:lineRule="auto"/>
        <w:ind w:left="-1" w:firstLine="4"/>
      </w:pPr>
      <w:r>
        <w:rPr>
          <w:sz w:val="24"/>
        </w:rPr>
        <w:t>Dodavatelem:</w:t>
      </w:r>
    </w:p>
    <w:p w:rsidR="00563D2C" w:rsidRDefault="00556EB8">
      <w:pPr>
        <w:spacing w:after="5" w:line="257" w:lineRule="auto"/>
        <w:ind w:left="-1" w:firstLine="4"/>
      </w:pPr>
      <w:proofErr w:type="spellStart"/>
      <w:r>
        <w:rPr>
          <w:sz w:val="24"/>
        </w:rPr>
        <w:t>Stand</w:t>
      </w:r>
      <w:proofErr w:type="spellEnd"/>
      <w:r>
        <w:rPr>
          <w:sz w:val="24"/>
        </w:rPr>
        <w:t>-up show s.r.o.</w:t>
      </w:r>
    </w:p>
    <w:p w:rsidR="00563D2C" w:rsidRDefault="00556EB8">
      <w:pPr>
        <w:ind w:left="24"/>
      </w:pPr>
      <w:r>
        <w:t>Nové sady 988/2</w:t>
      </w:r>
    </w:p>
    <w:p w:rsidR="00563D2C" w:rsidRDefault="00556EB8">
      <w:pPr>
        <w:spacing w:after="5" w:line="257" w:lineRule="auto"/>
        <w:ind w:left="-1" w:firstLine="4"/>
      </w:pPr>
      <w:r>
        <w:rPr>
          <w:sz w:val="24"/>
        </w:rPr>
        <w:t>Brno 602 OO</w:t>
      </w:r>
    </w:p>
    <w:p w:rsidR="00563D2C" w:rsidRDefault="00556EB8">
      <w:pPr>
        <w:spacing w:after="71" w:line="257" w:lineRule="auto"/>
        <w:ind w:left="-1" w:firstLine="4"/>
      </w:pPr>
      <w:r>
        <w:rPr>
          <w:sz w:val="24"/>
        </w:rPr>
        <w:t>IC: 19543352 DIČ: CZ19543352 a</w:t>
      </w:r>
    </w:p>
    <w:p w:rsidR="00563D2C" w:rsidRDefault="00556EB8">
      <w:pPr>
        <w:spacing w:after="5" w:line="257" w:lineRule="auto"/>
        <w:ind w:left="-1" w:firstLine="4"/>
      </w:pPr>
      <w:r>
        <w:rPr>
          <w:sz w:val="24"/>
        </w:rPr>
        <w:t>Objednavatelem:</w:t>
      </w:r>
    </w:p>
    <w:p w:rsidR="00563D2C" w:rsidRDefault="00556EB8">
      <w:pPr>
        <w:ind w:left="24"/>
      </w:pPr>
      <w:r>
        <w:t>Město Bruntál</w:t>
      </w:r>
    </w:p>
    <w:p w:rsidR="00563D2C" w:rsidRDefault="00556EB8">
      <w:pPr>
        <w:spacing w:after="5" w:line="257" w:lineRule="auto"/>
        <w:ind w:left="-1" w:firstLine="4"/>
      </w:pPr>
      <w:r>
        <w:rPr>
          <w:sz w:val="24"/>
        </w:rPr>
        <w:t>Nádražní 20</w:t>
      </w:r>
    </w:p>
    <w:p w:rsidR="00563D2C" w:rsidRDefault="00556EB8">
      <w:pPr>
        <w:ind w:left="17"/>
      </w:pPr>
      <w:r>
        <w:t>792 01 Bruntál</w:t>
      </w:r>
    </w:p>
    <w:p w:rsidR="00563D2C" w:rsidRDefault="00556EB8">
      <w:pPr>
        <w:spacing w:after="421" w:line="257" w:lineRule="auto"/>
        <w:ind w:left="-1" w:right="4350" w:firstLine="4"/>
      </w:pPr>
      <w:r>
        <w:rPr>
          <w:sz w:val="24"/>
        </w:rPr>
        <w:t xml:space="preserve">IC: CZ00295892 DIČ: CZ00295892 zastoupené místostarostou </w:t>
      </w:r>
      <w:proofErr w:type="spellStart"/>
      <w:r>
        <w:rPr>
          <w:sz w:val="24"/>
        </w:rPr>
        <w:t>xxxxxxxxxxxxxxxxxx</w:t>
      </w:r>
      <w:proofErr w:type="spellEnd"/>
    </w:p>
    <w:p w:rsidR="00563D2C" w:rsidRDefault="00556EB8">
      <w:pPr>
        <w:spacing w:after="158"/>
        <w:ind w:left="24"/>
      </w:pPr>
      <w:r>
        <w:t>Uzavírají tuto smlouvu o zprostředkování uměleckého výkonu.</w:t>
      </w:r>
    </w:p>
    <w:p w:rsidR="00563D2C" w:rsidRDefault="00556EB8">
      <w:pPr>
        <w:numPr>
          <w:ilvl w:val="0"/>
          <w:numId w:val="1"/>
        </w:numPr>
        <w:ind w:hanging="346"/>
      </w:pPr>
      <w:r>
        <w:t>Předmět smlouvy</w:t>
      </w:r>
    </w:p>
    <w:p w:rsidR="00563D2C" w:rsidRDefault="00556EB8">
      <w:pPr>
        <w:ind w:left="398"/>
      </w:pPr>
      <w:r>
        <w:t>Dodavatel se tou</w:t>
      </w:r>
      <w:r>
        <w:t>to smlouvou zavazuje zajistit uskutečnění divadelního představení ŠVANCI</w:t>
      </w:r>
    </w:p>
    <w:p w:rsidR="00563D2C" w:rsidRDefault="00556EB8">
      <w:pPr>
        <w:spacing w:after="101" w:line="257" w:lineRule="auto"/>
        <w:ind w:left="346" w:firstLine="4"/>
      </w:pPr>
      <w:proofErr w:type="gramStart"/>
      <w:r>
        <w:rPr>
          <w:sz w:val="24"/>
        </w:rPr>
        <w:t>SHOW - JÁ</w:t>
      </w:r>
      <w:proofErr w:type="gramEnd"/>
      <w:r>
        <w:rPr>
          <w:sz w:val="24"/>
        </w:rPr>
        <w:t xml:space="preserve"> SU JÁ, které se koná v těchto místech</w:t>
      </w:r>
    </w:p>
    <w:p w:rsidR="00563D2C" w:rsidRDefault="00556EB8">
      <w:pPr>
        <w:spacing w:after="137" w:line="257" w:lineRule="auto"/>
        <w:ind w:left="684" w:firstLine="4"/>
      </w:pPr>
      <w:r>
        <w:rPr>
          <w:sz w:val="24"/>
        </w:rPr>
        <w:t>• 24.9.2025 od 19:00 — Městské divadlo Bruntál, Partyzánská 55.</w:t>
      </w:r>
    </w:p>
    <w:p w:rsidR="00563D2C" w:rsidRDefault="00556EB8">
      <w:pPr>
        <w:numPr>
          <w:ilvl w:val="0"/>
          <w:numId w:val="1"/>
        </w:numPr>
        <w:ind w:hanging="346"/>
      </w:pPr>
      <w:r>
        <w:t>Zprostředkování uměleckého výkonu</w:t>
      </w:r>
    </w:p>
    <w:p w:rsidR="00563D2C" w:rsidRDefault="00556EB8">
      <w:pPr>
        <w:spacing w:after="94" w:line="257" w:lineRule="auto"/>
        <w:ind w:left="353" w:firstLine="4"/>
      </w:pPr>
      <w:r>
        <w:rPr>
          <w:sz w:val="24"/>
        </w:rPr>
        <w:t>Délka představení je 100-120 minut bez přestávky + autogramiáda a focení.</w:t>
      </w:r>
    </w:p>
    <w:p w:rsidR="00563D2C" w:rsidRDefault="00556EB8">
      <w:pPr>
        <w:numPr>
          <w:ilvl w:val="0"/>
          <w:numId w:val="1"/>
        </w:numPr>
        <w:spacing w:after="5" w:line="257" w:lineRule="auto"/>
        <w:ind w:hanging="346"/>
      </w:pPr>
      <w:r>
        <w:rPr>
          <w:sz w:val="24"/>
        </w:rPr>
        <w:t>Odměna a platba</w:t>
      </w:r>
    </w:p>
    <w:p w:rsidR="00563D2C" w:rsidRDefault="00556EB8">
      <w:pPr>
        <w:spacing w:after="251" w:line="216" w:lineRule="auto"/>
        <w:ind w:left="339" w:firstLine="7"/>
        <w:jc w:val="left"/>
      </w:pPr>
      <w:r>
        <w:t xml:space="preserve">Objednavatel se zavazuje zaplatit sjednanou odměnu ve výši 85 000 Kč bez DPH (slovy: </w:t>
      </w:r>
      <w:proofErr w:type="spellStart"/>
      <w:r>
        <w:t>osmdesátpěttisíckorunčeských</w:t>
      </w:r>
      <w:proofErr w:type="spellEnd"/>
      <w:r>
        <w:t xml:space="preserve">) za zprostředkování jednoho divadelního představení </w:t>
      </w:r>
      <w:r>
        <w:t xml:space="preserve">+ doprava 3000 Kč bez DPH. Platba bude provedena následovně: </w:t>
      </w:r>
      <w:proofErr w:type="gramStart"/>
      <w:r>
        <w:t>50%</w:t>
      </w:r>
      <w:proofErr w:type="gramEnd"/>
      <w:r>
        <w:t xml:space="preserve"> z celkové částky bude zaplaceno převodem do 7 dnů od podpisu smlouvy na základě vystavení faktury dodavatelem a zbývající částka bude zaplacena nejpozději 21 dní před konáním akce na základě </w:t>
      </w:r>
      <w:r>
        <w:t>vystavení faktury dodavatelem.</w:t>
      </w:r>
    </w:p>
    <w:p w:rsidR="00563D2C" w:rsidRDefault="00556EB8">
      <w:pPr>
        <w:numPr>
          <w:ilvl w:val="0"/>
          <w:numId w:val="1"/>
        </w:numPr>
        <w:ind w:hanging="346"/>
      </w:pPr>
      <w:r>
        <w:t>Organizační a technické podmínky</w:t>
      </w:r>
    </w:p>
    <w:p w:rsidR="00563D2C" w:rsidRDefault="00556EB8">
      <w:pPr>
        <w:spacing w:after="249" w:line="216" w:lineRule="auto"/>
        <w:ind w:left="346" w:firstLine="0"/>
        <w:jc w:val="left"/>
      </w:pPr>
      <w:r>
        <w:rPr>
          <w:sz w:val="24"/>
        </w:rPr>
        <w:t>Objednavatel zajistí veškeré organizační a pořadatelské služby, které zajišťují řádný průběh akce. Dále zajistí veškeré technické vybavení pro bezproblémový průběh akce, včetně bezpečnosti úči</w:t>
      </w:r>
      <w:r>
        <w:rPr>
          <w:sz w:val="24"/>
        </w:rPr>
        <w:t>nkujících a zabezpečení materiálního, technického a scénického mobiliáře proti zničení či zcizení.</w:t>
      </w:r>
    </w:p>
    <w:p w:rsidR="00563D2C" w:rsidRDefault="00556EB8">
      <w:pPr>
        <w:spacing w:after="135" w:line="257" w:lineRule="auto"/>
        <w:ind w:left="346" w:firstLine="4"/>
      </w:pPr>
      <w:r>
        <w:rPr>
          <w:sz w:val="24"/>
        </w:rPr>
        <w:t xml:space="preserve">Objednavatel zajistí na každé zastávce hereckou šatnu </w:t>
      </w:r>
      <w:proofErr w:type="gramStart"/>
      <w:r>
        <w:rPr>
          <w:sz w:val="24"/>
        </w:rPr>
        <w:t>s</w:t>
      </w:r>
      <w:proofErr w:type="gramEnd"/>
      <w:r>
        <w:rPr>
          <w:sz w:val="24"/>
        </w:rPr>
        <w:t xml:space="preserve"> zrcadlem, stolem, 3 židlemi, 6x balená neperlivá voda 0,51 a drobné občerstvení: IX </w:t>
      </w:r>
      <w:proofErr w:type="spellStart"/>
      <w:r>
        <w:rPr>
          <w:sz w:val="24"/>
        </w:rPr>
        <w:t>masovo</w:t>
      </w:r>
      <w:proofErr w:type="spellEnd"/>
      <w:r>
        <w:rPr>
          <w:sz w:val="24"/>
        </w:rPr>
        <w:t>-sýrová obl</w:t>
      </w:r>
      <w:r>
        <w:rPr>
          <w:sz w:val="24"/>
        </w:rPr>
        <w:t>ožená mísa pro 1 osobu, 1x vegetariánská obložená mísa pro 1 osobu, pečivo.</w:t>
      </w:r>
    </w:p>
    <w:p w:rsidR="00563D2C" w:rsidRDefault="00556EB8">
      <w:pPr>
        <w:spacing w:after="193"/>
        <w:ind w:left="398"/>
      </w:pPr>
      <w:r>
        <w:lastRenderedPageBreak/>
        <w:t>V zimních měsících musí být šatna vyhřátá nebo alternativně poskytnut hotelový pokoj (nikoli sklad nebo chodba).</w:t>
      </w:r>
    </w:p>
    <w:p w:rsidR="00563D2C" w:rsidRDefault="00556EB8">
      <w:pPr>
        <w:spacing w:after="102" w:line="257" w:lineRule="auto"/>
        <w:ind w:left="411" w:firstLine="4"/>
      </w:pPr>
      <w:r>
        <w:rPr>
          <w:sz w:val="24"/>
        </w:rPr>
        <w:t>Objednavatel zajišťuje 2 parkovací místa pro osobní vůz účinkujícíh</w:t>
      </w:r>
      <w:r>
        <w:rPr>
          <w:sz w:val="24"/>
        </w:rPr>
        <w:t>o.</w:t>
      </w:r>
    </w:p>
    <w:p w:rsidR="00563D2C" w:rsidRDefault="00556EB8">
      <w:pPr>
        <w:numPr>
          <w:ilvl w:val="0"/>
          <w:numId w:val="2"/>
        </w:numPr>
        <w:spacing w:after="5" w:line="257" w:lineRule="auto"/>
        <w:ind w:left="734" w:hanging="331"/>
      </w:pPr>
      <w:r>
        <w:rPr>
          <w:sz w:val="24"/>
        </w:rPr>
        <w:t>Technické požadavky</w:t>
      </w:r>
    </w:p>
    <w:p w:rsidR="00563D2C" w:rsidRDefault="00556EB8">
      <w:pPr>
        <w:spacing w:after="146"/>
        <w:ind w:left="398" w:right="230"/>
      </w:pPr>
      <w:r>
        <w:t>Technické požadavky pro vystoupení jsou závaznými podmínkami pro uskutečnění vystoupení a objednavatel je zajišťuje na svůj náklad. V případě nedodržení některé z nich není možné vystoupení realizovat, a objednavatel zůstává povinen zaplatit dohodnutou cen</w:t>
      </w:r>
      <w:r>
        <w:t>u včetně nákladů na dopravu.</w:t>
      </w:r>
    </w:p>
    <w:p w:rsidR="00563D2C" w:rsidRDefault="00556EB8">
      <w:pPr>
        <w:spacing w:after="177"/>
        <w:ind w:left="403" w:firstLine="0"/>
        <w:jc w:val="left"/>
      </w:pPr>
      <w:r>
        <w:rPr>
          <w:sz w:val="26"/>
        </w:rPr>
        <w:t>Technické požadavky:</w:t>
      </w:r>
    </w:p>
    <w:p w:rsidR="00563D2C" w:rsidRDefault="00556EB8">
      <w:pPr>
        <w:numPr>
          <w:ilvl w:val="1"/>
          <w:numId w:val="2"/>
        </w:numPr>
        <w:ind w:hanging="346"/>
      </w:pPr>
      <w:r>
        <w:t>Dostatečně velké pódium.</w:t>
      </w:r>
    </w:p>
    <w:p w:rsidR="00563D2C" w:rsidRDefault="00556EB8">
      <w:pPr>
        <w:numPr>
          <w:ilvl w:val="1"/>
          <w:numId w:val="2"/>
        </w:numPr>
        <w:spacing w:after="5" w:line="257" w:lineRule="auto"/>
        <w:ind w:hanging="346"/>
      </w:pPr>
      <w:r>
        <w:rPr>
          <w:sz w:val="24"/>
        </w:rPr>
        <w:t>Kvalitní ozvučení sálu s mix pultem.</w:t>
      </w:r>
    </w:p>
    <w:p w:rsidR="00563D2C" w:rsidRDefault="00556EB8">
      <w:pPr>
        <w:numPr>
          <w:ilvl w:val="1"/>
          <w:numId w:val="2"/>
        </w:numPr>
        <w:ind w:hanging="346"/>
      </w:pPr>
      <w:r>
        <w:t xml:space="preserve">Nasvícení účinkujícího na pódiu. Nejlépe </w:t>
      </w:r>
      <w:proofErr w:type="spellStart"/>
      <w:r>
        <w:t>stmívatelná</w:t>
      </w:r>
      <w:proofErr w:type="spellEnd"/>
      <w:r>
        <w:t xml:space="preserve"> divadelní světla + pult. </w:t>
      </w:r>
      <w:r>
        <w:rPr>
          <w:noProof/>
        </w:rPr>
        <w:drawing>
          <wp:inline distT="0" distB="0" distL="0" distR="0">
            <wp:extent cx="50309" cy="50311"/>
            <wp:effectExtent l="0" t="0" r="0" b="0"/>
            <wp:docPr id="3969" name="Picture 3969"/>
            <wp:cNvGraphicFramePr/>
            <a:graphic xmlns:a="http://schemas.openxmlformats.org/drawingml/2006/main">
              <a:graphicData uri="http://schemas.openxmlformats.org/drawingml/2006/picture">
                <pic:pic xmlns:pic="http://schemas.openxmlformats.org/drawingml/2006/picture">
                  <pic:nvPicPr>
                    <pic:cNvPr id="3969" name="Picture 3969"/>
                    <pic:cNvPicPr/>
                  </pic:nvPicPr>
                  <pic:blipFill>
                    <a:blip r:embed="rId5"/>
                    <a:stretch>
                      <a:fillRect/>
                    </a:stretch>
                  </pic:blipFill>
                  <pic:spPr>
                    <a:xfrm>
                      <a:off x="0" y="0"/>
                      <a:ext cx="50309" cy="50311"/>
                    </a:xfrm>
                    <a:prstGeom prst="rect">
                      <a:avLst/>
                    </a:prstGeom>
                  </pic:spPr>
                </pic:pic>
              </a:graphicData>
            </a:graphic>
          </wp:inline>
        </w:drawing>
      </w:r>
      <w:r>
        <w:t xml:space="preserve"> Promítací </w:t>
      </w:r>
      <w:proofErr w:type="gramStart"/>
      <w:r>
        <w:t>plátno - prosíme</w:t>
      </w:r>
      <w:proofErr w:type="gramEnd"/>
      <w:r>
        <w:t xml:space="preserve"> o největší možnou velikost plátna pro</w:t>
      </w:r>
      <w:r>
        <w:t xml:space="preserve"> co nejlepší zážitek, aspoň 3 metry na šířku.</w:t>
      </w:r>
    </w:p>
    <w:p w:rsidR="00563D2C" w:rsidRDefault="00556EB8">
      <w:pPr>
        <w:numPr>
          <w:ilvl w:val="1"/>
          <w:numId w:val="2"/>
        </w:numPr>
        <w:ind w:hanging="346"/>
      </w:pPr>
      <w:r>
        <w:t>Video-projektor, nejlépe aspoň 4000 lumenů pro co nejlepší zážitek. Připojený přes HDMI funkční kabel s dostatečnou délkou k našemu technikovi.</w:t>
      </w:r>
    </w:p>
    <w:p w:rsidR="00563D2C" w:rsidRDefault="00556EB8">
      <w:pPr>
        <w:numPr>
          <w:ilvl w:val="1"/>
          <w:numId w:val="2"/>
        </w:numPr>
        <w:ind w:hanging="346"/>
      </w:pPr>
      <w:r>
        <w:t>1 XLR připojení (připojení mikrofonu-</w:t>
      </w:r>
      <w:proofErr w:type="spellStart"/>
      <w:r>
        <w:t>headset</w:t>
      </w:r>
      <w:proofErr w:type="spellEnd"/>
      <w:r>
        <w:t>, který si vozíme vlas</w:t>
      </w:r>
      <w:r>
        <w:t>tní).</w:t>
      </w:r>
    </w:p>
    <w:p w:rsidR="00563D2C" w:rsidRDefault="00556EB8">
      <w:pPr>
        <w:numPr>
          <w:ilvl w:val="1"/>
          <w:numId w:val="2"/>
        </w:numPr>
        <w:ind w:hanging="346"/>
      </w:pPr>
      <w:r>
        <w:t>1 XLR připojení (prosíme o zajištění 1x bezdrátového mikrofonu).</w:t>
      </w:r>
    </w:p>
    <w:p w:rsidR="00563D2C" w:rsidRDefault="00556EB8">
      <w:pPr>
        <w:numPr>
          <w:ilvl w:val="1"/>
          <w:numId w:val="2"/>
        </w:numPr>
        <w:spacing w:after="60"/>
        <w:ind w:hanging="346"/>
      </w:pPr>
      <w:r>
        <w:t xml:space="preserve">Volný stůl pro </w:t>
      </w:r>
      <w:proofErr w:type="gramStart"/>
      <w:r>
        <w:t>technika - nejlépe</w:t>
      </w:r>
      <w:proofErr w:type="gramEnd"/>
      <w:r>
        <w:t xml:space="preserve"> někde na boku na podiu. Popřípadě dle domluvy, </w:t>
      </w:r>
      <w:proofErr w:type="spellStart"/>
      <w:r>
        <w:t>max</w:t>
      </w:r>
      <w:proofErr w:type="spellEnd"/>
      <w:r>
        <w:t xml:space="preserve"> ale cca 15 metrů od pódia, kvůli dosahu dálkového ovladače. Nutno projednat předem.</w:t>
      </w:r>
    </w:p>
    <w:p w:rsidR="00563D2C" w:rsidRDefault="00556EB8">
      <w:pPr>
        <w:numPr>
          <w:ilvl w:val="1"/>
          <w:numId w:val="2"/>
        </w:numPr>
        <w:ind w:hanging="346"/>
      </w:pPr>
      <w:r>
        <w:t>Připojení k elek</w:t>
      </w:r>
      <w:r>
        <w:t xml:space="preserve">třině na pódiu, minimálně 6x </w:t>
      </w:r>
      <w:proofErr w:type="gramStart"/>
      <w:r>
        <w:t>230V</w:t>
      </w:r>
      <w:proofErr w:type="gramEnd"/>
      <w:r>
        <w:t>.</w:t>
      </w:r>
    </w:p>
    <w:p w:rsidR="00563D2C" w:rsidRDefault="00556EB8">
      <w:pPr>
        <w:numPr>
          <w:ilvl w:val="1"/>
          <w:numId w:val="2"/>
        </w:numPr>
        <w:spacing w:after="75" w:line="257" w:lineRule="auto"/>
        <w:ind w:hanging="346"/>
      </w:pPr>
      <w:r>
        <w:rPr>
          <w:sz w:val="24"/>
        </w:rPr>
        <w:t>Zkušeného zvukaře a osvětlovače na místě nejpozději v 17:00.</w:t>
      </w:r>
    </w:p>
    <w:p w:rsidR="00563D2C" w:rsidRDefault="00556EB8">
      <w:pPr>
        <w:spacing w:after="91" w:line="257" w:lineRule="auto"/>
        <w:ind w:left="403" w:firstLine="4"/>
      </w:pPr>
      <w:r>
        <w:rPr>
          <w:sz w:val="24"/>
        </w:rPr>
        <w:t>Přítomnost zvukaře a osvětlovače během vystoupení je nutná.</w:t>
      </w:r>
    </w:p>
    <w:p w:rsidR="00563D2C" w:rsidRDefault="00556EB8">
      <w:pPr>
        <w:numPr>
          <w:ilvl w:val="0"/>
          <w:numId w:val="2"/>
        </w:numPr>
        <w:spacing w:after="5" w:line="257" w:lineRule="auto"/>
        <w:ind w:left="734" w:hanging="331"/>
      </w:pPr>
      <w:r>
        <w:rPr>
          <w:sz w:val="24"/>
        </w:rPr>
        <w:t>Zrušení akce</w:t>
      </w:r>
    </w:p>
    <w:p w:rsidR="00563D2C" w:rsidRDefault="00556EB8">
      <w:pPr>
        <w:numPr>
          <w:ilvl w:val="0"/>
          <w:numId w:val="3"/>
        </w:numPr>
        <w:ind w:left="719" w:hanging="331"/>
      </w:pPr>
      <w:r>
        <w:t xml:space="preserve">V případě, že objednavatel zruší akci po potvrzení této smlouvy, má povinnost zaplatit </w:t>
      </w:r>
      <w:r>
        <w:t xml:space="preserve">dodavateli </w:t>
      </w:r>
      <w:proofErr w:type="gramStart"/>
      <w:r>
        <w:t>50%</w:t>
      </w:r>
      <w:proofErr w:type="gramEnd"/>
      <w:r>
        <w:t xml:space="preserve"> z celkové částky.</w:t>
      </w:r>
    </w:p>
    <w:p w:rsidR="00563D2C" w:rsidRDefault="00556EB8">
      <w:pPr>
        <w:numPr>
          <w:ilvl w:val="0"/>
          <w:numId w:val="3"/>
        </w:numPr>
        <w:ind w:left="719" w:hanging="331"/>
      </w:pPr>
      <w:r>
        <w:t>Objednavatel je povinen písemně oznámit zrušení akce dodavateli nejpozději 30 dní před plánovaným datem konání dané akce. Pokud objednavatel nedodrží tuto lhůtu, je povinen zaplatit dodavateli plný honorář, který byl dohodnut pro výkon.</w:t>
      </w:r>
    </w:p>
    <w:p w:rsidR="00563D2C" w:rsidRDefault="00556EB8">
      <w:pPr>
        <w:numPr>
          <w:ilvl w:val="0"/>
          <w:numId w:val="3"/>
        </w:numPr>
        <w:spacing w:after="141"/>
        <w:ind w:left="719" w:hanging="331"/>
      </w:pPr>
      <w:r>
        <w:t xml:space="preserve">Pokud objednavatel nebo dodavatel zruší akci z důvodů vyšší moci, jako jsou např. přírodní katastrofy, vážné onemocnění umělce, budou strany spolupracovat na nalezení řešení, které bude v souladu s danou situací a budou se </w:t>
      </w:r>
      <w:proofErr w:type="spellStart"/>
      <w:r>
        <w:t>snažít</w:t>
      </w:r>
      <w:proofErr w:type="spellEnd"/>
      <w:r>
        <w:t xml:space="preserve"> najít </w:t>
      </w:r>
      <w:proofErr w:type="spellStart"/>
      <w:r>
        <w:t>náhrádní</w:t>
      </w:r>
      <w:proofErr w:type="spellEnd"/>
      <w:r>
        <w:t xml:space="preserve"> termín.</w:t>
      </w:r>
    </w:p>
    <w:p w:rsidR="00563D2C" w:rsidRDefault="00556EB8">
      <w:pPr>
        <w:spacing w:after="85"/>
        <w:ind w:left="398"/>
      </w:pPr>
      <w:r>
        <w:t xml:space="preserve">7. </w:t>
      </w:r>
      <w:r>
        <w:t>Ostatní ustanoven</w:t>
      </w:r>
      <w:r>
        <w:t>í</w:t>
      </w:r>
    </w:p>
    <w:p w:rsidR="00563D2C" w:rsidRDefault="00556EB8">
      <w:pPr>
        <w:numPr>
          <w:ilvl w:val="0"/>
          <w:numId w:val="4"/>
        </w:numPr>
        <w:spacing w:after="358"/>
        <w:ind w:hanging="339"/>
      </w:pPr>
      <w:r>
        <w:lastRenderedPageBreak/>
        <w:t xml:space="preserve">Objednavatel bude uvádět název představení jako ŠVANCI </w:t>
      </w:r>
      <w:proofErr w:type="gramStart"/>
      <w:r>
        <w:t>SHOW - JÁ</w:t>
      </w:r>
      <w:proofErr w:type="gramEnd"/>
      <w:r>
        <w:t xml:space="preserve"> SU JÁ. V případě porušení tohoto pravidla dodavatel není povinen uskutečnit dohodnuté představení a objednavatel je povinen vyplatit dohodnutý honorář včetně všech uvedenýc</w:t>
      </w:r>
      <w:r>
        <w:t>h benefitů ve smlouvě.</w:t>
      </w:r>
    </w:p>
    <w:p w:rsidR="00563D2C" w:rsidRDefault="00556EB8">
      <w:pPr>
        <w:numPr>
          <w:ilvl w:val="0"/>
          <w:numId w:val="4"/>
        </w:numPr>
        <w:ind w:hanging="339"/>
      </w:pPr>
      <w:r>
        <w:t>Dodavatel zašle grafické podklady a tiskovou zprávu pro objednavatele po zaplacení první části faktury.</w:t>
      </w:r>
    </w:p>
    <w:p w:rsidR="00563D2C" w:rsidRDefault="00556EB8">
      <w:pPr>
        <w:numPr>
          <w:ilvl w:val="0"/>
          <w:numId w:val="4"/>
        </w:numPr>
        <w:spacing w:after="348"/>
        <w:ind w:hanging="339"/>
      </w:pPr>
      <w:r>
        <w:t>Veškeré úpravy propagačního materiálu objednavatelem je nutné zaslat dodavateli ke schválení.</w:t>
      </w:r>
    </w:p>
    <w:p w:rsidR="00563D2C" w:rsidRDefault="00556EB8">
      <w:pPr>
        <w:numPr>
          <w:ilvl w:val="0"/>
          <w:numId w:val="4"/>
        </w:numPr>
        <w:spacing w:after="354"/>
        <w:ind w:hanging="339"/>
      </w:pPr>
      <w:r>
        <w:t>Případné umístění reklamních předmě</w:t>
      </w:r>
      <w:r>
        <w:t>tů, bannerů apod. na pódiu, od sponzorů objednavatele, je nutné vše sdělit dodavateli pro schválení.</w:t>
      </w:r>
    </w:p>
    <w:p w:rsidR="00563D2C" w:rsidRDefault="00556EB8">
      <w:pPr>
        <w:numPr>
          <w:ilvl w:val="0"/>
          <w:numId w:val="4"/>
        </w:numPr>
        <w:spacing w:after="195"/>
        <w:ind w:hanging="339"/>
      </w:pPr>
      <w:r>
        <w:t>Doporučená cena vstupenky je stanovena na 490 Kč včetně DPH a provize z předprodeje.</w:t>
      </w:r>
    </w:p>
    <w:p w:rsidR="00563D2C" w:rsidRDefault="00556EB8">
      <w:pPr>
        <w:numPr>
          <w:ilvl w:val="0"/>
          <w:numId w:val="4"/>
        </w:numPr>
        <w:spacing w:after="146"/>
        <w:ind w:hanging="339"/>
      </w:pPr>
      <w:r>
        <w:t>Maximální kapacita je domluvena do 399 diváků.</w:t>
      </w:r>
    </w:p>
    <w:p w:rsidR="00563D2C" w:rsidRDefault="00556EB8">
      <w:pPr>
        <w:spacing w:after="5" w:line="257" w:lineRule="auto"/>
        <w:ind w:left="367" w:firstLine="4"/>
      </w:pPr>
      <w:r>
        <w:rPr>
          <w:sz w:val="24"/>
        </w:rPr>
        <w:t xml:space="preserve">8. </w:t>
      </w:r>
      <w:r>
        <w:rPr>
          <w:sz w:val="24"/>
        </w:rPr>
        <w:t>Další ustanovení</w:t>
      </w:r>
    </w:p>
    <w:p w:rsidR="00563D2C" w:rsidRDefault="00556EB8">
      <w:pPr>
        <w:numPr>
          <w:ilvl w:val="0"/>
          <w:numId w:val="5"/>
        </w:numPr>
        <w:spacing w:after="195"/>
        <w:ind w:hanging="331"/>
      </w:pPr>
      <w:r>
        <w:t>Tat</w:t>
      </w:r>
      <w:r>
        <w:t>o smlouva představuje úplnou dohodu mezi stranami a nahrazuje všechny předchozí ústní nebo písemné dohody týkající se zprostředkování uměleckého výkonu.</w:t>
      </w:r>
    </w:p>
    <w:p w:rsidR="00563D2C" w:rsidRDefault="00556EB8">
      <w:pPr>
        <w:numPr>
          <w:ilvl w:val="0"/>
          <w:numId w:val="5"/>
        </w:numPr>
        <w:spacing w:after="433" w:line="257" w:lineRule="auto"/>
        <w:ind w:hanging="331"/>
      </w:pPr>
      <w:r>
        <w:rPr>
          <w:sz w:val="24"/>
        </w:rPr>
        <w:t>Žádná změna této smlouvy není platná, pokud není provedena písemně a podepsána oběma stranami.</w:t>
      </w:r>
    </w:p>
    <w:p w:rsidR="00563D2C" w:rsidRDefault="00556EB8">
      <w:pPr>
        <w:numPr>
          <w:ilvl w:val="0"/>
          <w:numId w:val="6"/>
        </w:numPr>
        <w:spacing w:after="421"/>
        <w:ind w:right="112" w:hanging="339"/>
      </w:pPr>
      <w:r>
        <w:t>Pokud není možné realizovat či dokončit představení z důvodu zavinění objednavatele, má dodavatel nárok na zaplacení dohodnutého honoráře, cestovného a veškerých smluvených odměn.</w:t>
      </w:r>
    </w:p>
    <w:p w:rsidR="00563D2C" w:rsidRDefault="00556EB8">
      <w:pPr>
        <w:numPr>
          <w:ilvl w:val="0"/>
          <w:numId w:val="6"/>
        </w:numPr>
        <w:spacing w:after="5" w:line="257" w:lineRule="auto"/>
        <w:ind w:right="112" w:hanging="339"/>
      </w:pPr>
      <w:r>
        <w:rPr>
          <w:sz w:val="24"/>
        </w:rPr>
        <w:t>Tato smlouva musí být uzavřena před realizací a nabývá platnosti dnem podpis</w:t>
      </w:r>
      <w:r>
        <w:rPr>
          <w:sz w:val="24"/>
        </w:rPr>
        <w:t>u.</w:t>
      </w:r>
    </w:p>
    <w:p w:rsidR="00563D2C" w:rsidRDefault="00563D2C"/>
    <w:p w:rsidR="00556EB8" w:rsidRDefault="00556EB8" w:rsidP="00556EB8">
      <w:pPr>
        <w:ind w:left="0" w:firstLine="0"/>
        <w:sectPr w:rsidR="00556EB8">
          <w:pgSz w:w="11920" w:h="16840"/>
          <w:pgMar w:top="2471" w:right="1613" w:bottom="2463" w:left="1498" w:header="708" w:footer="708" w:gutter="0"/>
          <w:cols w:space="708"/>
        </w:sectPr>
      </w:pPr>
    </w:p>
    <w:p w:rsidR="00563D2C" w:rsidRDefault="00556EB8">
      <w:pPr>
        <w:tabs>
          <w:tab w:val="right" w:pos="6662"/>
        </w:tabs>
        <w:spacing w:after="1485"/>
        <w:ind w:left="-641" w:firstLine="0"/>
        <w:jc w:val="left"/>
      </w:pPr>
      <w:r>
        <w:rPr>
          <w:noProof/>
        </w:rPr>
        <w:drawing>
          <wp:inline distT="0" distB="0" distL="0" distR="0">
            <wp:extent cx="1330899" cy="105196"/>
            <wp:effectExtent l="0" t="0" r="0" b="0"/>
            <wp:docPr id="9983" name="Picture 9983"/>
            <wp:cNvGraphicFramePr/>
            <a:graphic xmlns:a="http://schemas.openxmlformats.org/drawingml/2006/main">
              <a:graphicData uri="http://schemas.openxmlformats.org/drawingml/2006/picture">
                <pic:pic xmlns:pic="http://schemas.openxmlformats.org/drawingml/2006/picture">
                  <pic:nvPicPr>
                    <pic:cNvPr id="9983" name="Picture 9983"/>
                    <pic:cNvPicPr/>
                  </pic:nvPicPr>
                  <pic:blipFill>
                    <a:blip r:embed="rId6"/>
                    <a:stretch>
                      <a:fillRect/>
                    </a:stretch>
                  </pic:blipFill>
                  <pic:spPr>
                    <a:xfrm>
                      <a:off x="0" y="0"/>
                      <a:ext cx="1330899" cy="105196"/>
                    </a:xfrm>
                    <a:prstGeom prst="rect">
                      <a:avLst/>
                    </a:prstGeom>
                  </pic:spPr>
                </pic:pic>
              </a:graphicData>
            </a:graphic>
          </wp:inline>
        </w:drawing>
      </w:r>
      <w:r>
        <w:t xml:space="preserve">. </w:t>
      </w:r>
      <w:proofErr w:type="gramStart"/>
      <w:r>
        <w:t>.d</w:t>
      </w:r>
      <w:bookmarkStart w:id="0" w:name="_GoBack"/>
      <w:bookmarkEnd w:id="0"/>
      <w:r>
        <w:t>ne</w:t>
      </w:r>
      <w:proofErr w:type="gramEnd"/>
      <w:r>
        <w:t>:13.6.2025</w:t>
      </w:r>
      <w:r>
        <w:tab/>
      </w:r>
      <w:r>
        <w:rPr>
          <w:noProof/>
        </w:rPr>
        <mc:AlternateContent>
          <mc:Choice Requires="wpg">
            <w:drawing>
              <wp:inline distT="0" distB="0" distL="0" distR="0">
                <wp:extent cx="1372060" cy="4574"/>
                <wp:effectExtent l="0" t="0" r="0" b="0"/>
                <wp:docPr id="9986" name="Group 9986"/>
                <wp:cNvGraphicFramePr/>
                <a:graphic xmlns:a="http://schemas.openxmlformats.org/drawingml/2006/main">
                  <a:graphicData uri="http://schemas.microsoft.com/office/word/2010/wordprocessingGroup">
                    <wpg:wgp>
                      <wpg:cNvGrpSpPr/>
                      <wpg:grpSpPr>
                        <a:xfrm>
                          <a:off x="0" y="0"/>
                          <a:ext cx="1372060" cy="4574"/>
                          <a:chOff x="0" y="0"/>
                          <a:chExt cx="1372060" cy="4574"/>
                        </a:xfrm>
                      </wpg:grpSpPr>
                      <wps:wsp>
                        <wps:cNvPr id="9985" name="Shape 9985"/>
                        <wps:cNvSpPr/>
                        <wps:spPr>
                          <a:xfrm>
                            <a:off x="0" y="0"/>
                            <a:ext cx="1372060" cy="4574"/>
                          </a:xfrm>
                          <a:custGeom>
                            <a:avLst/>
                            <a:gdLst/>
                            <a:ahLst/>
                            <a:cxnLst/>
                            <a:rect l="0" t="0" r="0" b="0"/>
                            <a:pathLst>
                              <a:path w="1372060" h="4574">
                                <a:moveTo>
                                  <a:pt x="0" y="2287"/>
                                </a:moveTo>
                                <a:lnTo>
                                  <a:pt x="1372060" y="2287"/>
                                </a:lnTo>
                              </a:path>
                            </a:pathLst>
                          </a:custGeom>
                          <a:ln w="457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986" style="width:108.036pt;height:0.360168pt;mso-position-horizontal-relative:char;mso-position-vertical-relative:line" coordsize="13720,45">
                <v:shape id="Shape 9985" style="position:absolute;width:13720;height:45;left:0;top:0;" coordsize="1372060,4574" path="m0,2287l1372060,2287">
                  <v:stroke weight="0.360168pt" endcap="flat" joinstyle="miter" miterlimit="1" on="true" color="#000000"/>
                  <v:fill on="false" color="#000000"/>
                </v:shape>
              </v:group>
            </w:pict>
          </mc:Fallback>
        </mc:AlternateContent>
      </w:r>
      <w:r>
        <w:t xml:space="preserve">. </w:t>
      </w:r>
      <w:proofErr w:type="gramStart"/>
      <w:r>
        <w:t>.dne</w:t>
      </w:r>
      <w:proofErr w:type="gramEnd"/>
      <w:r>
        <w:t>:9.62025</w:t>
      </w:r>
    </w:p>
    <w:p w:rsidR="00563D2C" w:rsidRDefault="00556EB8">
      <w:pPr>
        <w:tabs>
          <w:tab w:val="center" w:pos="5391"/>
        </w:tabs>
        <w:spacing w:after="5" w:line="257" w:lineRule="auto"/>
        <w:ind w:left="-1" w:firstLine="0"/>
        <w:jc w:val="left"/>
      </w:pPr>
      <w:r>
        <w:rPr>
          <w:sz w:val="24"/>
        </w:rPr>
        <w:t>Objednavatel</w:t>
      </w:r>
      <w:r>
        <w:rPr>
          <w:sz w:val="24"/>
        </w:rPr>
        <w:tab/>
        <w:t>Dodavatel</w:t>
      </w:r>
    </w:p>
    <w:sectPr w:rsidR="00563D2C">
      <w:type w:val="continuous"/>
      <w:pgSz w:w="11920" w:h="16840"/>
      <w:pgMar w:top="2471" w:right="2658" w:bottom="4589" w:left="2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3.75pt;height:3.75pt" coordsize="" o:spt="100" o:bullet="t" adj="0,,0" path="" stroked="f">
        <v:stroke joinstyle="miter"/>
        <v:imagedata r:id="rId1" o:title="image4"/>
        <v:formulas/>
        <v:path o:connecttype="segments"/>
      </v:shape>
    </w:pict>
  </w:numPicBullet>
  <w:abstractNum w:abstractNumId="0" w15:restartNumberingAfterBreak="0">
    <w:nsid w:val="367B4C38"/>
    <w:multiLevelType w:val="hybridMultilevel"/>
    <w:tmpl w:val="79DED40E"/>
    <w:lvl w:ilvl="0" w:tplc="CCD2430A">
      <w:start w:val="9"/>
      <w:numFmt w:val="decimal"/>
      <w:lvlText w:val="%1."/>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CD4A2EE">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304769A">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13AF14C">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8A493F8">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4694A8">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2BCFFA2">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010EF2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B143F1E">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4E1E2D6E"/>
    <w:multiLevelType w:val="hybridMultilevel"/>
    <w:tmpl w:val="143A5AFA"/>
    <w:lvl w:ilvl="0" w:tplc="B9F4748A">
      <w:start w:val="1"/>
      <w:numFmt w:val="bullet"/>
      <w:lvlText w:val="•"/>
      <w:lvlJc w:val="left"/>
      <w:pPr>
        <w:ind w:left="72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5C78C44E">
      <w:start w:val="1"/>
      <w:numFmt w:val="bullet"/>
      <w:lvlText w:val="o"/>
      <w:lvlJc w:val="left"/>
      <w:pPr>
        <w:ind w:left="11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7F242606">
      <w:start w:val="1"/>
      <w:numFmt w:val="bullet"/>
      <w:lvlText w:val="▪"/>
      <w:lvlJc w:val="left"/>
      <w:pPr>
        <w:ind w:left="18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F9668B20">
      <w:start w:val="1"/>
      <w:numFmt w:val="bullet"/>
      <w:lvlText w:val="•"/>
      <w:lvlJc w:val="left"/>
      <w:pPr>
        <w:ind w:left="25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DA26A744">
      <w:start w:val="1"/>
      <w:numFmt w:val="bullet"/>
      <w:lvlText w:val="o"/>
      <w:lvlJc w:val="left"/>
      <w:pPr>
        <w:ind w:left="330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6D220FB4">
      <w:start w:val="1"/>
      <w:numFmt w:val="bullet"/>
      <w:lvlText w:val="▪"/>
      <w:lvlJc w:val="left"/>
      <w:pPr>
        <w:ind w:left="402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18EAD16">
      <w:start w:val="1"/>
      <w:numFmt w:val="bullet"/>
      <w:lvlText w:val="•"/>
      <w:lvlJc w:val="left"/>
      <w:pPr>
        <w:ind w:left="474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D264F3B2">
      <w:start w:val="1"/>
      <w:numFmt w:val="bullet"/>
      <w:lvlText w:val="o"/>
      <w:lvlJc w:val="left"/>
      <w:pPr>
        <w:ind w:left="546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B68721A">
      <w:start w:val="1"/>
      <w:numFmt w:val="bullet"/>
      <w:lvlText w:val="▪"/>
      <w:lvlJc w:val="left"/>
      <w:pPr>
        <w:ind w:left="6185"/>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58C259C5"/>
    <w:multiLevelType w:val="hybridMultilevel"/>
    <w:tmpl w:val="23AE1D98"/>
    <w:lvl w:ilvl="0" w:tplc="C0D8C8DA">
      <w:start w:val="1"/>
      <w:numFmt w:val="lowerLetter"/>
      <w:lvlText w:val="(%1)"/>
      <w:lvlJc w:val="left"/>
      <w:pPr>
        <w:ind w:left="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7D8BBDE">
      <w:start w:val="1"/>
      <w:numFmt w:val="lowerLetter"/>
      <w:lvlText w:val="%2"/>
      <w:lvlJc w:val="left"/>
      <w:pPr>
        <w:ind w:left="10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400E2A6">
      <w:start w:val="1"/>
      <w:numFmt w:val="lowerRoman"/>
      <w:lvlText w:val="%3"/>
      <w:lvlJc w:val="left"/>
      <w:pPr>
        <w:ind w:left="18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99A5456">
      <w:start w:val="1"/>
      <w:numFmt w:val="decimal"/>
      <w:lvlText w:val="%4"/>
      <w:lvlJc w:val="left"/>
      <w:pPr>
        <w:ind w:left="25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FB043A6">
      <w:start w:val="1"/>
      <w:numFmt w:val="lowerLetter"/>
      <w:lvlText w:val="%5"/>
      <w:lvlJc w:val="left"/>
      <w:pPr>
        <w:ind w:left="32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A346DB8">
      <w:start w:val="1"/>
      <w:numFmt w:val="lowerRoman"/>
      <w:lvlText w:val="%6"/>
      <w:lvlJc w:val="left"/>
      <w:pPr>
        <w:ind w:left="39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4ACFFEC">
      <w:start w:val="1"/>
      <w:numFmt w:val="decimal"/>
      <w:lvlText w:val="%7"/>
      <w:lvlJc w:val="left"/>
      <w:pPr>
        <w:ind w:left="46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41A7FF6">
      <w:start w:val="1"/>
      <w:numFmt w:val="lowerLetter"/>
      <w:lvlText w:val="%8"/>
      <w:lvlJc w:val="left"/>
      <w:pPr>
        <w:ind w:left="54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F34302C">
      <w:start w:val="1"/>
      <w:numFmt w:val="lowerRoman"/>
      <w:lvlText w:val="%9"/>
      <w:lvlJc w:val="left"/>
      <w:pPr>
        <w:ind w:left="61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A472D25"/>
    <w:multiLevelType w:val="hybridMultilevel"/>
    <w:tmpl w:val="62F0FB0A"/>
    <w:lvl w:ilvl="0" w:tplc="3FFE680C">
      <w:start w:val="1"/>
      <w:numFmt w:val="decimal"/>
      <w:lvlText w:val="%1."/>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362844">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C6A397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70AFA9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5847E5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774A4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E92B2A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2C87E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0CED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0839B4"/>
    <w:multiLevelType w:val="hybridMultilevel"/>
    <w:tmpl w:val="C06C8D16"/>
    <w:lvl w:ilvl="0" w:tplc="FA8C738C">
      <w:start w:val="1"/>
      <w:numFmt w:val="lowerLetter"/>
      <w:lvlText w:val="(%1)"/>
      <w:lvlJc w:val="left"/>
      <w:pPr>
        <w:ind w:left="72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B7454E0">
      <w:start w:val="1"/>
      <w:numFmt w:val="lowerLetter"/>
      <w:lvlText w:val="%2"/>
      <w:lvlJc w:val="left"/>
      <w:pPr>
        <w:ind w:left="10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E308584">
      <w:start w:val="1"/>
      <w:numFmt w:val="lowerRoman"/>
      <w:lvlText w:val="%3"/>
      <w:lvlJc w:val="left"/>
      <w:pPr>
        <w:ind w:left="18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49CDF24">
      <w:start w:val="1"/>
      <w:numFmt w:val="decimal"/>
      <w:lvlText w:val="%4"/>
      <w:lvlJc w:val="left"/>
      <w:pPr>
        <w:ind w:left="25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609E02">
      <w:start w:val="1"/>
      <w:numFmt w:val="lowerLetter"/>
      <w:lvlText w:val="%5"/>
      <w:lvlJc w:val="left"/>
      <w:pPr>
        <w:ind w:left="324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C90B948">
      <w:start w:val="1"/>
      <w:numFmt w:val="lowerRoman"/>
      <w:lvlText w:val="%6"/>
      <w:lvlJc w:val="left"/>
      <w:pPr>
        <w:ind w:left="396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7167E5A">
      <w:start w:val="1"/>
      <w:numFmt w:val="decimal"/>
      <w:lvlText w:val="%7"/>
      <w:lvlJc w:val="left"/>
      <w:pPr>
        <w:ind w:left="468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B261C28">
      <w:start w:val="1"/>
      <w:numFmt w:val="lowerLetter"/>
      <w:lvlText w:val="%8"/>
      <w:lvlJc w:val="left"/>
      <w:pPr>
        <w:ind w:left="540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48C5C54">
      <w:start w:val="1"/>
      <w:numFmt w:val="lowerRoman"/>
      <w:lvlText w:val="%9"/>
      <w:lvlJc w:val="left"/>
      <w:pPr>
        <w:ind w:left="612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7DF1622C"/>
    <w:multiLevelType w:val="hybridMultilevel"/>
    <w:tmpl w:val="EE9C6D56"/>
    <w:lvl w:ilvl="0" w:tplc="0E0AFB86">
      <w:start w:val="5"/>
      <w:numFmt w:val="decimal"/>
      <w:lvlText w:val="%1."/>
      <w:lvlJc w:val="left"/>
      <w:pPr>
        <w:ind w:left="7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DAD984">
      <w:start w:val="1"/>
      <w:numFmt w:val="bullet"/>
      <w:lvlText w:val="•"/>
      <w:lvlPicBulletId w:val="0"/>
      <w:lvlJc w:val="left"/>
      <w:pPr>
        <w:ind w:left="1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B63682">
      <w:start w:val="1"/>
      <w:numFmt w:val="bullet"/>
      <w:lvlText w:val="▪"/>
      <w:lvlJc w:val="left"/>
      <w:pPr>
        <w:ind w:left="1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3AF334">
      <w:start w:val="1"/>
      <w:numFmt w:val="bullet"/>
      <w:lvlText w:val="•"/>
      <w:lvlJc w:val="left"/>
      <w:pPr>
        <w:ind w:left="2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F2F9E0">
      <w:start w:val="1"/>
      <w:numFmt w:val="bullet"/>
      <w:lvlText w:val="o"/>
      <w:lvlJc w:val="left"/>
      <w:pPr>
        <w:ind w:left="2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DC8428">
      <w:start w:val="1"/>
      <w:numFmt w:val="bullet"/>
      <w:lvlText w:val="▪"/>
      <w:lvlJc w:val="left"/>
      <w:pPr>
        <w:ind w:left="3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E06C4">
      <w:start w:val="1"/>
      <w:numFmt w:val="bullet"/>
      <w:lvlText w:val="•"/>
      <w:lvlJc w:val="left"/>
      <w:pPr>
        <w:ind w:left="4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AADDBE">
      <w:start w:val="1"/>
      <w:numFmt w:val="bullet"/>
      <w:lvlText w:val="o"/>
      <w:lvlJc w:val="left"/>
      <w:pPr>
        <w:ind w:left="4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0060712">
      <w:start w:val="1"/>
      <w:numFmt w:val="bullet"/>
      <w:lvlText w:val="▪"/>
      <w:lvlJc w:val="left"/>
      <w:pPr>
        <w:ind w:left="5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2C"/>
    <w:rsid w:val="00556EB8"/>
    <w:rsid w:val="00563D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C52F"/>
  <w15:docId w15:val="{BD148E20-BA3E-469E-9414-7A83A922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
      <w:ind w:left="10" w:hanging="10"/>
      <w:jc w:val="both"/>
    </w:pPr>
    <w:rPr>
      <w:rFonts w:ascii="Calibri" w:eastAsia="Calibri" w:hAnsi="Calibri" w:cs="Calibri"/>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4372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Sedláčková Zdeňka</dc:creator>
  <cp:keywords/>
  <cp:lastModifiedBy>Sedláčková Zdeňka</cp:lastModifiedBy>
  <cp:revision>2</cp:revision>
  <dcterms:created xsi:type="dcterms:W3CDTF">2025-06-13T10:14:00Z</dcterms:created>
  <dcterms:modified xsi:type="dcterms:W3CDTF">2025-06-13T10:14:00Z</dcterms:modified>
</cp:coreProperties>
</file>