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anchor distT="0" distB="0" distL="0" distR="0" simplePos="0" relativeHeight="62914690" behindDoc="1" locked="0" layoutInCell="1" allowOverlap="1">
            <wp:simplePos x="0" y="0"/>
            <wp:positionH relativeFrom="margin">
              <wp:posOffset>88265</wp:posOffset>
            </wp:positionH>
            <wp:positionV relativeFrom="margin">
              <wp:posOffset>8973185</wp:posOffset>
            </wp:positionV>
            <wp:extent cx="164465" cy="1644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4465" cy="164465"/>
                    </a:xfrm>
                    <a:prstGeom prst="rect"/>
                  </pic:spPr>
                </pic:pic>
              </a:graphicData>
            </a:graphic>
          </wp:anchor>
        </w:drawing>
      </w:r>
      <w:r>
        <w:drawing>
          <wp:anchor distT="0" distB="0" distL="0" distR="0" simplePos="0" relativeHeight="62914691" behindDoc="1" locked="0" layoutInCell="1" allowOverlap="1">
            <wp:simplePos x="0" y="0"/>
            <wp:positionH relativeFrom="margin">
              <wp:posOffset>12065</wp:posOffset>
            </wp:positionH>
            <wp:positionV relativeFrom="margin">
              <wp:posOffset>5882640</wp:posOffset>
            </wp:positionV>
            <wp:extent cx="4319270" cy="33845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4319270" cy="338455"/>
                    </a:xfrm>
                    <a:prstGeom prst="rect"/>
                  </pic:spPr>
                </pic:pic>
              </a:graphicData>
            </a:graphic>
          </wp:anchor>
        </w:drawing>
      </w:r>
      <w:r>
        <w:drawing>
          <wp:inline>
            <wp:extent cx="27305" cy="2730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27305" cy="27305"/>
                    </a:xfrm>
                    <a:prstGeom prst="rect"/>
                  </pic:spPr>
                </pic:pic>
              </a:graphicData>
            </a:graphic>
          </wp:inline>
        </w:drawing>
      </w:r>
    </w:p>
    <w:p>
      <w:pPr>
        <w:widowControl w:val="0"/>
        <w:spacing w:after="659" w:line="1" w:lineRule="exact"/>
      </w:pPr>
    </w:p>
    <w:p>
      <w:pPr>
        <w:framePr w:w="9811" w:h="1766" w:vSpace="446" w:wrap="notBeside" w:vAnchor="text" w:hAnchor="text" w:y="707"/>
        <w:widowControl w:val="0"/>
        <w:rPr>
          <w:sz w:val="2"/>
          <w:szCs w:val="2"/>
        </w:rPr>
      </w:pPr>
      <w:r>
        <w:drawing>
          <wp:inline>
            <wp:extent cx="6229985" cy="112141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6229985" cy="1121410"/>
                    </a:xfrm>
                    <a:prstGeom prst="rect"/>
                  </pic:spPr>
                </pic:pic>
              </a:graphicData>
            </a:graphic>
          </wp:inline>
        </w:drawing>
      </w:r>
    </w:p>
    <w:p>
      <w:pPr>
        <w:widowControl w:val="0"/>
        <w:spacing w:line="1" w:lineRule="exact"/>
      </w:pPr>
      <w:r>
        <mc:AlternateContent>
          <mc:Choice Requires="wps">
            <w:drawing>
              <wp:anchor distT="0" distB="0" distL="0" distR="3392170" simplePos="0" relativeHeight="125829378" behindDoc="0" locked="0" layoutInCell="1" allowOverlap="1">
                <wp:simplePos x="0" y="0"/>
                <wp:positionH relativeFrom="column">
                  <wp:posOffset>152400</wp:posOffset>
                </wp:positionH>
                <wp:positionV relativeFrom="paragraph">
                  <wp:posOffset>0</wp:posOffset>
                </wp:positionV>
                <wp:extent cx="1645920" cy="189230"/>
                <wp:wrapTopAndBottom/>
                <wp:docPr id="7" name="Shape 7"/>
                <a:graphic xmlns:a="http://schemas.openxmlformats.org/drawingml/2006/main">
                  <a:graphicData uri="http://schemas.microsoft.com/office/word/2010/wordprocessingShape">
                    <wps:wsp>
                      <wps:cNvSpPr txBox="1"/>
                      <wps:spPr>
                        <a:xfrm>
                          <a:ext cx="164592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Příloha č. 2 SOD č. 542/2025 Výzva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12.pt;margin-top:0;width:129.59999999999999pt;height:14.9pt;z-index:-125829375;mso-wrap-distance-left:0;mso-wrap-distance-right:267.10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b w:val="0"/>
                          <w:bCs w:val="0"/>
                          <w:color w:val="000000"/>
                          <w:spacing w:val="0"/>
                          <w:w w:val="100"/>
                          <w:position w:val="0"/>
                          <w:sz w:val="16"/>
                          <w:szCs w:val="16"/>
                          <w:shd w:val="clear" w:color="auto" w:fill="auto"/>
                          <w:lang w:val="cs-CZ" w:eastAsia="cs-CZ" w:bidi="cs-CZ"/>
                        </w:rPr>
                        <w:t>Příloha č. 2 SOD č. 542/2025 Výzva</w:t>
                      </w:r>
                    </w:p>
                  </w:txbxContent>
                </v:textbox>
                <w10:wrap type="topAndBottom"/>
              </v:shape>
            </w:pict>
          </mc:Fallback>
        </mc:AlternateContent>
      </w:r>
      <w:r>
        <mc:AlternateContent>
          <mc:Choice Requires="wps">
            <w:drawing>
              <wp:anchor distT="0" distB="0" distL="0" distR="0" simplePos="0" relativeHeight="125829380" behindDoc="0" locked="0" layoutInCell="1" allowOverlap="1">
                <wp:simplePos x="0" y="0"/>
                <wp:positionH relativeFrom="column">
                  <wp:posOffset>152400</wp:posOffset>
                </wp:positionH>
                <wp:positionV relativeFrom="paragraph">
                  <wp:posOffset>573405</wp:posOffset>
                </wp:positionV>
                <wp:extent cx="6013450" cy="999490"/>
                <wp:wrapTopAndBottom/>
                <wp:docPr id="9" name="Shape 9"/>
                <a:graphic xmlns:a="http://schemas.openxmlformats.org/drawingml/2006/main">
                  <a:graphicData uri="http://schemas.microsoft.com/office/word/2010/wordprocessingShape">
                    <wps:wsp>
                      <wps:cNvSpPr txBox="1"/>
                      <wps:spPr>
                        <a:xfrm>
                          <a:ext cx="6013450" cy="999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VD Fláje – revizní uzávěr: osazení nového revizního uzávěru na VD Fláje pravého i levého nátoku do spodních výpustí– potápěčské práce 2025</w:t>
                            </w:r>
                          </w:p>
                          <w:p>
                            <w:pPr>
                              <w:pStyle w:val="Style2"/>
                              <w:keepNext w:val="0"/>
                              <w:keepLines w:val="0"/>
                              <w:widowControl w:val="0"/>
                              <w:shd w:val="clear" w:color="auto" w:fill="auto"/>
                              <w:tabs>
                                <w:tab w:pos="8009" w:val="left"/>
                              </w:tabs>
                              <w:bidi w:val="0"/>
                              <w:spacing w:before="0" w:after="140" w:line="276" w:lineRule="auto"/>
                              <w:ind w:left="0" w:right="0" w:firstLine="180"/>
                              <w:jc w:val="left"/>
                              <w:rPr>
                                <w:sz w:val="18"/>
                                <w:szCs w:val="18"/>
                              </w:rPr>
                            </w:pP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13.05.2025 13:34</w:t>
                            </w:r>
                          </w:p>
                          <w:p>
                            <w:pPr>
                              <w:pStyle w:val="Style2"/>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2"/>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wps:txbx>
                      <wps:bodyPr lIns="0" tIns="0" rIns="0" bIns="0">
                        <a:noAutoFit/>
                      </wps:bodyPr>
                    </wps:wsp>
                  </a:graphicData>
                </a:graphic>
              </wp:anchor>
            </w:drawing>
          </mc:Choice>
          <mc:Fallback>
            <w:pict>
              <v:shape id="_x0000_s1035" type="#_x0000_t202" style="position:absolute;margin-left:12.pt;margin-top:45.149999999999999pt;width:473.5pt;height:78.700000000000003pt;z-index:-125829373;mso-wrap-distance-left:0;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VD Fláje – revizní uzávěr: osazení nového revizního uzávěru na VD Fláje pravého i levého nátoku do spodních výpustí– potápěčské práce 2025</w:t>
                      </w:r>
                    </w:p>
                    <w:p>
                      <w:pPr>
                        <w:pStyle w:val="Style2"/>
                        <w:keepNext w:val="0"/>
                        <w:keepLines w:val="0"/>
                        <w:widowControl w:val="0"/>
                        <w:shd w:val="clear" w:color="auto" w:fill="auto"/>
                        <w:tabs>
                          <w:tab w:pos="8009" w:val="left"/>
                        </w:tabs>
                        <w:bidi w:val="0"/>
                        <w:spacing w:before="0" w:after="140" w:line="276" w:lineRule="auto"/>
                        <w:ind w:left="0" w:right="0" w:firstLine="180"/>
                        <w:jc w:val="left"/>
                        <w:rPr>
                          <w:sz w:val="18"/>
                          <w:szCs w:val="18"/>
                        </w:rPr>
                      </w:pP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13.05.2025 13:34</w:t>
                      </w:r>
                    </w:p>
                    <w:p>
                      <w:pPr>
                        <w:pStyle w:val="Style2"/>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2"/>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v:textbox>
                <w10:wrap type="topAndBottom"/>
              </v:shape>
            </w:pict>
          </mc:Fallback>
        </mc:AlternateContent>
      </w:r>
      <w:r>
        <mc:AlternateContent>
          <mc:Choice Requires="wps">
            <w:drawing>
              <wp:anchor distT="0" distB="0" distL="0" distR="3684905" simplePos="0" relativeHeight="125829382" behindDoc="0" locked="0" layoutInCell="1" allowOverlap="1">
                <wp:simplePos x="0" y="0"/>
                <wp:positionH relativeFrom="column">
                  <wp:posOffset>234950</wp:posOffset>
                </wp:positionH>
                <wp:positionV relativeFrom="paragraph">
                  <wp:posOffset>1655445</wp:posOffset>
                </wp:positionV>
                <wp:extent cx="1353185" cy="198120"/>
                <wp:wrapTopAndBottom/>
                <wp:docPr id="11" name="Shape 11"/>
                <a:graphic xmlns:a="http://schemas.openxmlformats.org/drawingml/2006/main">
                  <a:graphicData uri="http://schemas.microsoft.com/office/word/2010/wordprocessingShape">
                    <wps:wsp>
                      <wps:cNvSpPr txBox="1"/>
                      <wps:spPr>
                        <a:xfrm>
                          <a:ext cx="135318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shd w:val="clear" w:color="auto" w:fill="auto"/>
                                <w:lang w:val="cs-CZ" w:eastAsia="cs-CZ" w:bidi="cs-CZ"/>
                              </w:rPr>
                              <w:t>Vážení obchodní partneři,</w:t>
                            </w:r>
                          </w:p>
                        </w:txbxContent>
                      </wps:txbx>
                      <wps:bodyPr lIns="0" tIns="0" rIns="0" bIns="0">
                        <a:noAutoFit/>
                      </wps:bodyPr>
                    </wps:wsp>
                  </a:graphicData>
                </a:graphic>
              </wp:anchor>
            </w:drawing>
          </mc:Choice>
          <mc:Fallback>
            <w:pict>
              <v:shape id="_x0000_s1037" type="#_x0000_t202" style="position:absolute;margin-left:18.5pt;margin-top:130.34999999999999pt;width:106.55pt;height:15.6pt;z-index:-125829371;mso-wrap-distance-left:0;mso-wrap-distance-right:290.15000000000003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val="0"/>
                          <w:bCs w:val="0"/>
                          <w:color w:val="000000"/>
                          <w:spacing w:val="0"/>
                          <w:w w:val="100"/>
                          <w:position w:val="0"/>
                          <w:sz w:val="20"/>
                          <w:szCs w:val="20"/>
                          <w:shd w:val="clear" w:color="auto" w:fill="auto"/>
                          <w:lang w:val="cs-CZ" w:eastAsia="cs-CZ" w:bidi="cs-CZ"/>
                        </w:rPr>
                        <w:t>Vážení obchodní partneři,</w:t>
                      </w:r>
                    </w:p>
                  </w:txbxContent>
                </v:textbox>
                <w10:wrap type="topAndBottom"/>
              </v:shape>
            </w:pict>
          </mc:Fallback>
        </mc:AlternateContent>
      </w:r>
    </w:p>
    <w:p>
      <w:pPr>
        <w:pStyle w:val="Style9"/>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 základě uzavřené "Rámcové dohody na potápěčské práce pro roky 2025 a 2026" č. objednatele 1296/2024, vás vyzýváme k výkonu potápěčských prací.</w:t>
      </w:r>
    </w:p>
    <w:p>
      <w:pPr>
        <w:pStyle w:val="Style9"/>
        <w:keepNext w:val="0"/>
        <w:keepLines w:val="0"/>
        <w:widowControl w:val="0"/>
        <w:numPr>
          <w:ilvl w:val="0"/>
          <w:numId w:val="1"/>
        </w:numPr>
        <w:shd w:val="clear" w:color="auto" w:fill="auto"/>
        <w:tabs>
          <w:tab w:pos="368" w:val="left"/>
        </w:tabs>
        <w:bidi w:val="0"/>
        <w:spacing w:before="0" w:after="180" w:line="240" w:lineRule="auto"/>
        <w:ind w:left="0" w:right="0" w:firstLine="0"/>
        <w:jc w:val="left"/>
      </w:pPr>
      <w:bookmarkStart w:id="0" w:name="bookmark0"/>
      <w:bookmarkEnd w:id="0"/>
      <w:r>
        <w:rPr>
          <w:rFonts w:ascii="Times New Roman" w:eastAsia="Times New Roman" w:hAnsi="Times New Roman" w:cs="Times New Roman"/>
          <w:color w:val="000000"/>
          <w:spacing w:val="0"/>
          <w:w w:val="100"/>
          <w:position w:val="0"/>
          <w:shd w:val="clear" w:color="auto" w:fill="auto"/>
          <w:lang w:val="cs-CZ" w:eastAsia="cs-CZ" w:bidi="cs-CZ"/>
        </w:rPr>
        <w:t>Místo plnění: VD Fláje</w:t>
      </w:r>
    </w:p>
    <w:p>
      <w:pPr>
        <w:pStyle w:val="Style9"/>
        <w:keepNext w:val="0"/>
        <w:keepLines w:val="0"/>
        <w:widowControl w:val="0"/>
        <w:numPr>
          <w:ilvl w:val="0"/>
          <w:numId w:val="1"/>
        </w:numPr>
        <w:shd w:val="clear" w:color="auto" w:fill="auto"/>
        <w:tabs>
          <w:tab w:pos="368" w:val="left"/>
        </w:tabs>
        <w:bidi w:val="0"/>
        <w:spacing w:before="0" w:after="0" w:line="240" w:lineRule="auto"/>
        <w:ind w:left="0" w:right="0" w:firstLine="0"/>
        <w:jc w:val="left"/>
      </w:pPr>
      <w:bookmarkStart w:id="1" w:name="bookmark1"/>
      <w:bookmarkEnd w:id="1"/>
      <w:r>
        <w:rPr>
          <w:rFonts w:ascii="Times New Roman" w:eastAsia="Times New Roman" w:hAnsi="Times New Roman" w:cs="Times New Roman"/>
          <w:color w:val="000000"/>
          <w:spacing w:val="0"/>
          <w:w w:val="100"/>
          <w:position w:val="0"/>
          <w:shd w:val="clear" w:color="auto" w:fill="auto"/>
          <w:lang w:val="cs-CZ" w:eastAsia="cs-CZ" w:bidi="cs-CZ"/>
        </w:rPr>
        <w:t>Popis obsahu předmětu plnění:</w:t>
      </w:r>
    </w:p>
    <w:p>
      <w:pPr>
        <w:pStyle w:val="Style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Požadujeme zajistit tyto práce za využití potápěčské techniky:</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2" w:name="bookmark2"/>
      <w:bookmarkEnd w:id="2"/>
      <w:r>
        <w:rPr>
          <w:rFonts w:ascii="Times New Roman" w:eastAsia="Times New Roman" w:hAnsi="Times New Roman" w:cs="Times New Roman"/>
          <w:color w:val="000000"/>
          <w:spacing w:val="0"/>
          <w:w w:val="100"/>
          <w:position w:val="0"/>
          <w:shd w:val="clear" w:color="auto" w:fill="auto"/>
          <w:lang w:val="cs-CZ" w:eastAsia="cs-CZ" w:bidi="cs-CZ"/>
        </w:rPr>
        <w:t>Zřízení pracoviště</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Demontáž a zpětná montáž česlí</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Řádné dočištění dosedací plochy</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5" w:name="bookmark5"/>
      <w:bookmarkEnd w:id="5"/>
      <w:r>
        <w:rPr>
          <w:rFonts w:ascii="Times New Roman" w:eastAsia="Times New Roman" w:hAnsi="Times New Roman" w:cs="Times New Roman"/>
          <w:color w:val="000000"/>
          <w:spacing w:val="0"/>
          <w:w w:val="100"/>
          <w:position w:val="0"/>
          <w:shd w:val="clear" w:color="auto" w:fill="auto"/>
          <w:lang w:val="cs-CZ" w:eastAsia="cs-CZ" w:bidi="cs-CZ"/>
        </w:rPr>
        <w:t>Osazení pomocných trnů</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6" w:name="bookmark6"/>
      <w:bookmarkEnd w:id="6"/>
      <w:r>
        <w:rPr>
          <w:rFonts w:ascii="Times New Roman" w:eastAsia="Times New Roman" w:hAnsi="Times New Roman" w:cs="Times New Roman"/>
          <w:color w:val="000000"/>
          <w:spacing w:val="0"/>
          <w:w w:val="100"/>
          <w:position w:val="0"/>
          <w:shd w:val="clear" w:color="auto" w:fill="auto"/>
          <w:lang w:val="cs-CZ" w:eastAsia="cs-CZ" w:bidi="cs-CZ"/>
        </w:rPr>
        <w:t>Osazení revizního uzávěru</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7" w:name="bookmark7"/>
      <w:bookmarkEnd w:id="7"/>
      <w:r>
        <w:rPr>
          <w:rFonts w:ascii="Times New Roman" w:eastAsia="Times New Roman" w:hAnsi="Times New Roman" w:cs="Times New Roman"/>
          <w:color w:val="000000"/>
          <w:spacing w:val="0"/>
          <w:w w:val="100"/>
          <w:position w:val="0"/>
          <w:shd w:val="clear" w:color="auto" w:fill="auto"/>
          <w:lang w:val="cs-CZ" w:eastAsia="cs-CZ" w:bidi="cs-CZ"/>
        </w:rPr>
        <w:t>Demontáž revizního uzávěru</w:t>
      </w:r>
    </w:p>
    <w:p>
      <w:pPr>
        <w:pStyle w:val="Style9"/>
        <w:keepNext w:val="0"/>
        <w:keepLines w:val="0"/>
        <w:widowControl w:val="0"/>
        <w:numPr>
          <w:ilvl w:val="0"/>
          <w:numId w:val="3"/>
        </w:numPr>
        <w:shd w:val="clear" w:color="auto" w:fill="auto"/>
        <w:tabs>
          <w:tab w:pos="740" w:val="left"/>
        </w:tabs>
        <w:bidi w:val="0"/>
        <w:spacing w:before="0" w:after="0" w:line="240" w:lineRule="auto"/>
        <w:ind w:left="0" w:right="0" w:firstLine="380"/>
        <w:jc w:val="left"/>
      </w:pPr>
      <w:bookmarkStart w:id="8" w:name="bookmark8"/>
      <w:bookmarkEnd w:id="8"/>
      <w:r>
        <w:rPr>
          <w:rFonts w:ascii="Times New Roman" w:eastAsia="Times New Roman" w:hAnsi="Times New Roman" w:cs="Times New Roman"/>
          <w:color w:val="000000"/>
          <w:spacing w:val="0"/>
          <w:w w:val="100"/>
          <w:position w:val="0"/>
          <w:shd w:val="clear" w:color="auto" w:fill="auto"/>
          <w:lang w:val="cs-CZ" w:eastAsia="cs-CZ" w:bidi="cs-CZ"/>
        </w:rPr>
        <w:t>Uzavření kobky SV česlovými poli</w:t>
      </w:r>
    </w:p>
    <w:p>
      <w:pPr>
        <w:pStyle w:val="Style9"/>
        <w:keepNext w:val="0"/>
        <w:keepLines w:val="0"/>
        <w:widowControl w:val="0"/>
        <w:numPr>
          <w:ilvl w:val="0"/>
          <w:numId w:val="3"/>
        </w:numPr>
        <w:shd w:val="clear" w:color="auto" w:fill="auto"/>
        <w:tabs>
          <w:tab w:pos="740" w:val="left"/>
        </w:tabs>
        <w:bidi w:val="0"/>
        <w:spacing w:before="0" w:after="180" w:line="240" w:lineRule="auto"/>
        <w:ind w:left="0" w:right="0" w:firstLine="380"/>
        <w:jc w:val="left"/>
      </w:pPr>
      <w:bookmarkStart w:id="9" w:name="bookmark9"/>
      <w:bookmarkEnd w:id="9"/>
      <w:r>
        <w:rPr>
          <w:rFonts w:ascii="Times New Roman" w:eastAsia="Times New Roman" w:hAnsi="Times New Roman" w:cs="Times New Roman"/>
          <w:color w:val="000000"/>
          <w:spacing w:val="0"/>
          <w:w w:val="100"/>
          <w:position w:val="0"/>
          <w:shd w:val="clear" w:color="auto" w:fill="auto"/>
          <w:lang w:val="cs-CZ" w:eastAsia="cs-CZ" w:bidi="cs-CZ"/>
        </w:rPr>
        <w:t>Likvidace pracoviště a uvedení do původního stavu</w:t>
      </w:r>
    </w:p>
    <w:p>
      <w:pPr>
        <w:pStyle w:val="Style9"/>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 průběhu potápěčských prací bude pořízena fotodokumentace, videozáznam a bude vypracována nálezová zpráva.</w:t>
      </w:r>
    </w:p>
    <w:p>
      <w:pPr>
        <w:pStyle w:val="Style9"/>
        <w:keepNext w:val="0"/>
        <w:keepLines w:val="0"/>
        <w:widowControl w:val="0"/>
        <w:numPr>
          <w:ilvl w:val="0"/>
          <w:numId w:val="1"/>
        </w:numPr>
        <w:shd w:val="clear" w:color="auto" w:fill="auto"/>
        <w:tabs>
          <w:tab w:pos="378" w:val="left"/>
        </w:tabs>
        <w:bidi w:val="0"/>
        <w:spacing w:before="0" w:after="180" w:line="240" w:lineRule="auto"/>
        <w:ind w:left="0" w:right="0" w:firstLine="0"/>
        <w:jc w:val="left"/>
      </w:pPr>
      <w:bookmarkStart w:id="10" w:name="bookmark10"/>
      <w:bookmarkEnd w:id="10"/>
      <w:r>
        <w:rPr>
          <w:rFonts w:ascii="Times New Roman" w:eastAsia="Times New Roman" w:hAnsi="Times New Roman" w:cs="Times New Roman"/>
          <w:color w:val="000000"/>
          <w:spacing w:val="0"/>
          <w:w w:val="100"/>
          <w:position w:val="0"/>
          <w:shd w:val="clear" w:color="auto" w:fill="auto"/>
          <w:lang w:val="cs-CZ" w:eastAsia="cs-CZ" w:bidi="cs-CZ"/>
        </w:rPr>
        <w:t>Termín: 23.6.2025 až 31.8.2025</w:t>
      </w:r>
    </w:p>
    <w:p>
      <w:pPr>
        <w:pStyle w:val="Style9"/>
        <w:keepNext w:val="0"/>
        <w:keepLines w:val="0"/>
        <w:widowControl w:val="0"/>
        <w:numPr>
          <w:ilvl w:val="0"/>
          <w:numId w:val="1"/>
        </w:numPr>
        <w:shd w:val="clear" w:color="auto" w:fill="auto"/>
        <w:tabs>
          <w:tab w:pos="378" w:val="left"/>
        </w:tabs>
        <w:bidi w:val="0"/>
        <w:spacing w:before="0" w:after="660" w:line="240" w:lineRule="auto"/>
        <w:ind w:left="0" w:right="0" w:firstLine="0"/>
        <w:jc w:val="left"/>
      </w:pPr>
      <w:bookmarkStart w:id="11" w:name="bookmark11"/>
      <w:bookmarkEnd w:id="11"/>
      <w:r>
        <w:rPr>
          <w:rFonts w:ascii="Times New Roman" w:eastAsia="Times New Roman" w:hAnsi="Times New Roman" w:cs="Times New Roman"/>
          <w:color w:val="000000"/>
          <w:spacing w:val="0"/>
          <w:w w:val="100"/>
          <w:position w:val="0"/>
          <w:shd w:val="clear" w:color="auto" w:fill="auto"/>
          <w:lang w:val="cs-CZ" w:eastAsia="cs-CZ" w:bidi="cs-CZ"/>
        </w:rPr>
        <w:t>Návrh SOD, ceník potáp. prací:</w:t>
      </w:r>
    </w:p>
    <w:p>
      <w:pPr>
        <w:pStyle w:val="Style11"/>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VD Fláje - revizní uzávěr_návrh SoD.docxPříloha č. 1 Ceník potápěčských prací .xlsx</w:t>
      </w:r>
    </w:p>
    <w:p>
      <w:pPr>
        <w:pStyle w:val="Style13"/>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S pozdravem</w:t>
      </w:r>
    </w:p>
    <w:p>
      <w:pPr>
        <w:pStyle w:val="Style13"/>
        <w:keepNext w:val="0"/>
        <w:keepLines w:val="0"/>
        <w:widowControl w:val="0"/>
        <w:shd w:val="clear" w:color="auto" w:fill="auto"/>
        <w:tabs>
          <w:tab w:leader="underscore" w:pos="5510"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TDS, odbor inženýringu, oblast střed </w:t>
        <w:tab/>
        <w:t xml:space="preserve"> Povodí Ohře, státní podnik</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Novosedlická 758, 415 01 Teplice tel. : mobil: e-mail : </w:t>
      </w:r>
      <w:r>
        <w:rPr>
          <w:color w:val="0000FF"/>
          <w:spacing w:val="0"/>
          <w:w w:val="100"/>
          <w:position w:val="0"/>
          <w:shd w:val="clear" w:color="auto" w:fill="auto"/>
          <w:lang w:val="cs-CZ" w:eastAsia="cs-CZ" w:bidi="cs-CZ"/>
        </w:rPr>
        <w:t>http: /</w:t>
      </w:r>
    </w:p>
    <w:p>
      <w:pPr>
        <w:pStyle w:val="Style16"/>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spacing w:val="0"/>
          <w:w w:val="100"/>
          <w:position w:val="0"/>
          <w:shd w:val="clear" w:color="auto" w:fill="auto"/>
          <w:lang w:val="cs-CZ" w:eastAsia="cs-CZ" w:bidi="cs-CZ"/>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p>
    <w:p>
      <w:pPr>
        <w:pStyle w:val="Style18"/>
        <w:keepNext w:val="0"/>
        <w:keepLines w:val="0"/>
        <w:widowControl w:val="0"/>
        <w:shd w:val="clear" w:color="auto" w:fill="auto"/>
        <w:bidi w:val="0"/>
        <w:spacing w:before="0"/>
        <w:ind w:right="0"/>
        <w:jc w:val="left"/>
      </w:pPr>
      <w:r>
        <w:rPr>
          <w:spacing w:val="0"/>
          <w:w w:val="100"/>
          <w:position w:val="0"/>
          <w:shd w:val="clear" w:color="auto" w:fill="auto"/>
          <w:lang w:val="cs-CZ" w:eastAsia="cs-CZ" w:bidi="cs-CZ"/>
        </w:rPr>
        <w:t>S ohledem na životní prostředí zvažte prosím tisk této zprávy. Před odesláním kontrolováno antivirovým systémem SOPHOS.</w:t>
      </w:r>
    </w:p>
    <w:sectPr>
      <w:footnotePr>
        <w:pos w:val="pageBottom"/>
        <w:numFmt w:val="decimal"/>
        <w:numRestart w:val="continuous"/>
      </w:footnotePr>
      <w:pgSz w:w="11909" w:h="16838"/>
      <w:pgMar w:top="0" w:left="1414" w:right="2560" w:bottom="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2"/>
      <w:szCs w:val="22"/>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2">
    <w:name w:val="Char Style 12"/>
    <w:basedOn w:val="DefaultParagraphFont"/>
    <w:link w:val="Style11"/>
    <w:rPr>
      <w:b w:val="0"/>
      <w:bCs w:val="0"/>
      <w:i w:val="0"/>
      <w:iCs w:val="0"/>
      <w:smallCaps w:val="0"/>
      <w:strike w:val="0"/>
      <w:sz w:val="18"/>
      <w:szCs w:val="18"/>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7">
    <w:name w:val="Char Style 17"/>
    <w:basedOn w:val="DefaultParagraphFont"/>
    <w:link w:val="Style16"/>
    <w:rPr>
      <w:b w:val="0"/>
      <w:bCs w:val="0"/>
      <w:i w:val="0"/>
      <w:iCs w:val="0"/>
      <w:smallCaps w:val="0"/>
      <w:strike w:val="0"/>
      <w:color w:val="808080"/>
      <w:sz w:val="16"/>
      <w:szCs w:val="16"/>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color w:val="5F5F5F"/>
      <w:sz w:val="18"/>
      <w:szCs w:val="18"/>
      <w:u w:val="none"/>
    </w:rPr>
  </w:style>
  <w:style w:type="paragraph" w:customStyle="1" w:styleId="Style2">
    <w:name w:val="Style 2"/>
    <w:basedOn w:val="Normal"/>
    <w:link w:val="CharStyle3"/>
    <w:pPr>
      <w:widowControl w:val="0"/>
      <w:shd w:val="clear" w:color="auto" w:fill="FFFFFF"/>
      <w:spacing w:line="257" w:lineRule="auto"/>
    </w:pPr>
    <w:rPr>
      <w:rFonts w:ascii="Arial" w:eastAsia="Arial" w:hAnsi="Arial" w:cs="Arial"/>
      <w:b/>
      <w:bCs/>
      <w:i w:val="0"/>
      <w:iCs w:val="0"/>
      <w:smallCaps w:val="0"/>
      <w:strike w:val="0"/>
      <w:sz w:val="22"/>
      <w:szCs w:val="22"/>
      <w:u w:val="none"/>
    </w:rPr>
  </w:style>
  <w:style w:type="paragraph" w:customStyle="1" w:styleId="Style9">
    <w:name w:val="Style 9"/>
    <w:basedOn w:val="Normal"/>
    <w:link w:val="CharStyle10"/>
    <w:pPr>
      <w:widowControl w:val="0"/>
      <w:shd w:val="clear" w:color="auto" w:fill="FFFFFF"/>
      <w:spacing w:after="90"/>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400"/>
    </w:pPr>
    <w:rPr>
      <w:b w:val="0"/>
      <w:bCs w:val="0"/>
      <w:i w:val="0"/>
      <w:iCs w:val="0"/>
      <w:smallCaps w:val="0"/>
      <w:strike w:val="0"/>
      <w:sz w:val="18"/>
      <w:szCs w:val="18"/>
      <w:u w:val="none"/>
    </w:rPr>
  </w:style>
  <w:style w:type="paragraph" w:customStyle="1" w:styleId="Style13">
    <w:name w:val="Style 13"/>
    <w:basedOn w:val="Normal"/>
    <w:link w:val="CharStyle14"/>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40"/>
    </w:pPr>
    <w:rPr>
      <w:b w:val="0"/>
      <w:bCs w:val="0"/>
      <w:i w:val="0"/>
      <w:iCs w:val="0"/>
      <w:smallCaps w:val="0"/>
      <w:strike w:val="0"/>
      <w:color w:val="808080"/>
      <w:sz w:val="16"/>
      <w:szCs w:val="16"/>
      <w:u w:val="none"/>
    </w:rPr>
  </w:style>
  <w:style w:type="paragraph" w:customStyle="1" w:styleId="Style18">
    <w:name w:val="Style 18"/>
    <w:basedOn w:val="Normal"/>
    <w:link w:val="CharStyle19"/>
    <w:pPr>
      <w:widowControl w:val="0"/>
      <w:shd w:val="clear" w:color="auto" w:fill="FFFFFF"/>
      <w:spacing w:after="180" w:line="276" w:lineRule="auto"/>
      <w:ind w:left="160" w:firstLine="220"/>
    </w:pPr>
    <w:rPr>
      <w:rFonts w:ascii="Arial" w:eastAsia="Arial" w:hAnsi="Arial" w:cs="Arial"/>
      <w:b w:val="0"/>
      <w:bCs w:val="0"/>
      <w:i w:val="0"/>
      <w:iCs w:val="0"/>
      <w:smallCaps w:val="0"/>
      <w:strike w:val="0"/>
      <w:color w:val="5F5F5F"/>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