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773" w:h="461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SOD č. 538/2025 Oceněný soupis prací</w:t>
      </w:r>
    </w:p>
    <w:p>
      <w:pPr>
        <w:pStyle w:val="Style4"/>
        <w:keepNext w:val="0"/>
        <w:keepLines w:val="0"/>
        <w:framePr w:w="3773" w:h="461" w:wrap="none" w:hAnchor="page" w:x="101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 na potápěčské práce pro roky 2025 a 2026</w:t>
      </w:r>
    </w:p>
    <w:p>
      <w:pPr>
        <w:pStyle w:val="Style6"/>
        <w:keepNext w:val="0"/>
        <w:keepLines w:val="0"/>
        <w:framePr w:w="2218" w:h="230" w:wrap="none" w:hAnchor="page" w:x="8686" w:y="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CENÍK POTÁPĚČSKÝCH PRACÍ</w:t>
      </w:r>
    </w:p>
    <w:p>
      <w:pPr>
        <w:pStyle w:val="Style8"/>
        <w:keepNext w:val="0"/>
        <w:keepLines w:val="0"/>
        <w:framePr w:w="907" w:h="264" w:wrap="none" w:hAnchor="page" w:x="5676" w:y="9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cena bez DPH</w:t>
      </w:r>
    </w:p>
    <w:p>
      <w:pPr>
        <w:pStyle w:val="Style8"/>
        <w:keepNext w:val="0"/>
        <w:keepLines w:val="0"/>
        <w:framePr w:w="811" w:h="1406" w:wrap="none" w:hAnchor="page" w:x="6790" w:y="9562"/>
        <w:widowControl w:val="0"/>
        <w:shd w:val="clear" w:color="auto" w:fill="auto"/>
        <w:bidi w:val="0"/>
        <w:spacing w:before="0" w:after="60" w:line="240" w:lineRule="auto"/>
        <w:ind w:left="0" w:right="16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celkem</w:t>
      </w:r>
    </w:p>
    <w:p>
      <w:pPr>
        <w:pStyle w:val="Style8"/>
        <w:keepNext w:val="0"/>
        <w:keepLines w:val="0"/>
        <w:framePr w:w="811" w:h="1406" w:wrap="none" w:hAnchor="page" w:x="6790" w:y="9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9 600,00</w:t>
      </w:r>
    </w:p>
    <w:p>
      <w:pPr>
        <w:pStyle w:val="Style8"/>
        <w:keepNext w:val="0"/>
        <w:keepLines w:val="0"/>
        <w:framePr w:w="811" w:h="1406" w:wrap="none" w:hAnchor="page" w:x="6790" w:y="9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811" w:h="1406" w:wrap="none" w:hAnchor="page" w:x="6790" w:y="9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811" w:h="1406" w:wrap="none" w:hAnchor="page" w:x="6790" w:y="9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0,00</w:t>
      </w:r>
    </w:p>
    <w:p>
      <w:pPr>
        <w:pStyle w:val="Style8"/>
        <w:keepNext w:val="0"/>
        <w:keepLines w:val="0"/>
        <w:framePr w:w="811" w:h="1406" w:wrap="none" w:hAnchor="page" w:x="6790" w:y="9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12 000,00</w:t>
      </w:r>
    </w:p>
    <w:p>
      <w:pPr>
        <w:pStyle w:val="Style8"/>
        <w:keepNext w:val="0"/>
        <w:keepLines w:val="0"/>
        <w:framePr w:w="811" w:h="1406" w:wrap="none" w:hAnchor="page" w:x="6790" w:y="9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187 220,00</w:t>
      </w:r>
    </w:p>
    <w:p>
      <w:pPr>
        <w:pStyle w:val="Style8"/>
        <w:keepNext w:val="0"/>
        <w:keepLines w:val="0"/>
        <w:framePr w:w="811" w:h="1406" w:wrap="none" w:hAnchor="page" w:x="6790" w:y="95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208 820,00</w:t>
      </w:r>
    </w:p>
    <w:p>
      <w:pPr>
        <w:pStyle w:val="Style8"/>
        <w:keepNext w:val="0"/>
        <w:keepLines w:val="0"/>
        <w:framePr w:w="1450" w:h="1186" w:wrap="none" w:hAnchor="page" w:x="1572" w:y="9629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</w:t>
      </w:r>
    </w:p>
    <w:p>
      <w:pPr>
        <w:pStyle w:val="Style8"/>
        <w:keepNext w:val="0"/>
        <w:keepLines w:val="0"/>
        <w:framePr w:w="1450" w:h="1186" w:wrap="none" w:hAnchor="page" w:x="1572" w:y="9629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zpracování videozáznamu zpracování plánu BOZP aktualizace plánu BOPZ ubytování pracovníků vypracování nálezové zprávy doprava</w:t>
      </w:r>
    </w:p>
    <w:p>
      <w:pPr>
        <w:pStyle w:val="Style8"/>
        <w:keepNext w:val="0"/>
        <w:keepLines w:val="0"/>
        <w:framePr w:w="533" w:h="523" w:wrap="none" w:hAnchor="page" w:x="7068" w:y="11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26 000,00</w:t>
      </w:r>
    </w:p>
    <w:p>
      <w:pPr>
        <w:pStyle w:val="Style8"/>
        <w:keepNext w:val="0"/>
        <w:keepLines w:val="0"/>
        <w:framePr w:w="533" w:h="523" w:wrap="none" w:hAnchor="page" w:x="7068" w:y="11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14 000,00</w:t>
      </w:r>
    </w:p>
    <w:p>
      <w:pPr>
        <w:pStyle w:val="Style8"/>
        <w:keepNext w:val="0"/>
        <w:keepLines w:val="0"/>
        <w:framePr w:w="533" w:h="523" w:wrap="none" w:hAnchor="page" w:x="7068" w:y="112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40 000,00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Služby nad rámec RD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autojeřáb 10h/den bez provize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 autojeřábu</w:t>
      </w:r>
    </w:p>
    <w:p>
      <w:pPr>
        <w:pStyle w:val="Style8"/>
        <w:keepNext w:val="0"/>
        <w:keepLines w:val="0"/>
        <w:framePr w:w="3456" w:h="2112" w:wrap="none" w:hAnchor="page" w:x="1030" w:y="9629"/>
        <w:widowControl w:val="0"/>
        <w:numPr>
          <w:ilvl w:val="0"/>
          <w:numId w:val="1"/>
        </w:numPr>
        <w:shd w:val="clear" w:color="auto" w:fill="auto"/>
        <w:tabs>
          <w:tab w:pos="557" w:val="left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doprava energetického centra (kompresor, elektroagrerát)</w:t>
      </w:r>
    </w:p>
    <w:p>
      <w:pPr>
        <w:pStyle w:val="Style8"/>
        <w:keepNext w:val="0"/>
        <w:keepLines w:val="0"/>
        <w:framePr w:w="3787" w:h="619" w:wrap="none" w:hAnchor="page" w:x="2431" w:y="692"/>
        <w:widowControl w:val="0"/>
        <w:shd w:val="clear" w:color="auto" w:fill="auto"/>
        <w:bidi w:val="0"/>
        <w:spacing w:before="0" w:after="0" w:line="432" w:lineRule="auto"/>
        <w:ind w:left="160" w:right="0" w:hanging="160"/>
        <w:jc w:val="left"/>
        <w:rPr>
          <w:sz w:val="13"/>
          <w:szCs w:val="13"/>
        </w:rPr>
      </w:pPr>
      <w:r>
        <w:rPr>
          <w:b/>
          <w:bCs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Příloha č. 1 - Ceník potápěčských prací pro roky 2025 a 2026 položka</w:t>
      </w:r>
    </w:p>
    <w:tbl>
      <w:tblPr>
        <w:tblOverlap w:val="never"/>
        <w:jc w:val="left"/>
        <w:tblLayout w:type="fixed"/>
      </w:tblPr>
      <w:tblGrid>
        <w:gridCol w:w="499"/>
        <w:gridCol w:w="3062"/>
        <w:gridCol w:w="744"/>
        <w:gridCol w:w="643"/>
        <w:gridCol w:w="744"/>
        <w:gridCol w:w="907"/>
      </w:tblGrid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 revizního výpustí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ké práce stavební: "VD Fláje - revizní uzávěr" - osazení nového uzávěru na VD Fláje pravého i levého nátoku do spodních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01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4 530 688,00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2 366 816,00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1 219 756,00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125 000,00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65 000,00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25 200,00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124 975,00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400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25 200,00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215 946,00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40 000,00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4 995,00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23 976,00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6600" w:h="8054" w:wrap="none" w:hAnchor="page" w:x="1030" w:y="131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6600" w:h="8054" w:wrap="none" w:hAnchor="page" w:x="1030" w:y="131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655 296,00</w:t>
            </w:r>
          </w:p>
        </w:tc>
      </w:tr>
    </w:tbl>
    <w:p>
      <w:pPr>
        <w:framePr w:w="6600" w:h="8054" w:wrap="none" w:hAnchor="page" w:x="1030" w:y="1316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686"/>
        <w:gridCol w:w="653"/>
        <w:gridCol w:w="658"/>
      </w:tblGrid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997" w:h="2256" w:wrap="none" w:hAnchor="page" w:x="4640" w:y="94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997" w:h="2256" w:wrap="none" w:hAnchor="page" w:x="4640" w:y="94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997" w:h="2256" w:wrap="none" w:hAnchor="page" w:x="4640" w:y="9486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3404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13000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1997" w:h="2256" w:wrap="none" w:hAnchor="page" w:x="4640" w:y="948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</w:t>
            </w:r>
          </w:p>
        </w:tc>
      </w:tr>
    </w:tbl>
    <w:p>
      <w:pPr>
        <w:framePr w:w="1997" w:h="2256" w:wrap="none" w:hAnchor="page" w:x="4640" w:y="9486"/>
        <w:widowControl w:val="0"/>
        <w:spacing w:line="1" w:lineRule="exact"/>
      </w:pPr>
    </w:p>
    <w:p>
      <w:pPr>
        <w:pStyle w:val="Style6"/>
        <w:keepNext w:val="0"/>
        <w:keepLines w:val="0"/>
        <w:framePr w:w="6581" w:h="394" w:wrap="none" w:hAnchor="page" w:x="1030" w:y="1200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Pozn.: Práce budou prováděny 6 kvalifikovanými pracovníky v časovém fondu 28 pracovních dnů. Veškeré ponory musí být realizovány potápěčem a zajištěny jisticím potápěčem.</w:t>
      </w:r>
    </w:p>
    <w:tbl>
      <w:tblPr>
        <w:tblOverlap w:val="never"/>
        <w:jc w:val="left"/>
        <w:tblLayout w:type="fixed"/>
      </w:tblPr>
      <w:tblGrid>
        <w:gridCol w:w="2414"/>
        <w:gridCol w:w="2078"/>
      </w:tblGrid>
      <w:tr>
        <w:trPr>
          <w:trHeight w:val="168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Rozpis ponorů: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1.den 0 ponorů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15.den 2 ponory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2.den 0 ponorů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16.den 3 ponory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3.den 1 ponor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17.den 2 ponory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4.den 3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18.den 3 ponory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5.den 3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19.den 2 ponory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6.den 3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20.den 3 ponory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7.den 2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21.den 3 ponory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8.den 3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22.den 3 ponory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9.den 2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23.den 3 ponory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10.den 3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24. den 2 ponory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11.den 3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25.den 3 ponory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12.den 3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26.den 1 ponor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13.den 2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27.den 0 ponorů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14.den 3 ponory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28.den 0 ponorů</w:t>
            </w:r>
          </w:p>
        </w:tc>
      </w:tr>
      <w:tr>
        <w:trPr>
          <w:trHeight w:val="206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framePr w:w="4493" w:h="2558" w:wrap="none" w:hAnchor="page" w:x="1030" w:y="1250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Veškeré ponory musí být realizovány potápěčem a zajištěny jisticím potápěčem.</w:t>
            </w:r>
          </w:p>
        </w:tc>
      </w:tr>
    </w:tbl>
    <w:p>
      <w:pPr>
        <w:framePr w:w="4493" w:h="2558" w:wrap="none" w:hAnchor="page" w:x="1030" w:y="12500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635000</wp:posOffset>
            </wp:positionH>
            <wp:positionV relativeFrom="margin">
              <wp:posOffset>435610</wp:posOffset>
            </wp:positionV>
            <wp:extent cx="4212590" cy="70192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212590" cy="7019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</w:pPr>
    </w:p>
    <w:sectPr>
      <w:footerReference w:type="default" r:id="rId7"/>
      <w:footnotePr>
        <w:pos w:val="pageBottom"/>
        <w:numFmt w:val="decimal"/>
        <w:numRestart w:val="continuous"/>
      </w:footnotePr>
      <w:pgSz w:w="11909" w:h="16834"/>
      <w:pgMar w:top="411" w:left="1000" w:right="1005" w:bottom="54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6865620</wp:posOffset>
              </wp:positionH>
              <wp:positionV relativeFrom="page">
                <wp:posOffset>10279380</wp:posOffset>
              </wp:positionV>
              <wp:extent cx="39370" cy="10033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0.60000000000002pt;margin-top:809.39999999999998pt;width:3.1000000000000001pt;height:7.9000000000000004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6">
    <w:name w:val="Char Style 16"/>
    <w:basedOn w:val="DefaultParagraphFont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line="33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