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0E" w:rsidRDefault="001A2B05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změně příslušnosti hospodařit s majetkem státu</w:t>
      </w:r>
      <w:r>
        <w:rPr>
          <w:rStyle w:val="Nadpis1"/>
          <w:b/>
          <w:bCs/>
        </w:rPr>
        <w:br/>
        <w:t>č. 20250416</w:t>
      </w:r>
      <w:bookmarkEnd w:id="0"/>
    </w:p>
    <w:p w:rsidR="00DC420E" w:rsidRDefault="001A2B05">
      <w:pPr>
        <w:pStyle w:val="Titulektabulky0"/>
        <w:ind w:left="10"/>
      </w:pPr>
      <w:r>
        <w:rPr>
          <w:rStyle w:val="Titulektabulky"/>
          <w:b/>
          <w:bCs/>
        </w:rPr>
        <w:t>Česká republika - Správa státních hmotných rezerv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6566"/>
      </w:tblGrid>
      <w:tr w:rsidR="00DC4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14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se sídlem:</w:t>
            </w:r>
          </w:p>
        </w:tc>
        <w:tc>
          <w:tcPr>
            <w:tcW w:w="6566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Praha 5 – Malá Strana, Šeříková 616/1, PSČ 150 85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právně jednající:</w:t>
            </w:r>
          </w:p>
        </w:tc>
        <w:tc>
          <w:tcPr>
            <w:tcW w:w="6566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 xml:space="preserve">Ing. Pavel Švagr, CSc., předseda Správy státních </w:t>
            </w:r>
            <w:r>
              <w:rPr>
                <w:rStyle w:val="Jin"/>
              </w:rPr>
              <w:t>hmotných rezerv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566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48133990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566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CZ48133990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14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566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Česká národní banka, pobočka Praha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č. účtu:</w:t>
            </w:r>
          </w:p>
        </w:tc>
        <w:tc>
          <w:tcPr>
            <w:tcW w:w="6566" w:type="dxa"/>
            <w:shd w:val="clear" w:color="auto" w:fill="auto"/>
          </w:tcPr>
          <w:p w:rsidR="00DC420E" w:rsidRDefault="00A24A93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xx-xxxxxxxx/xxxx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566" w:type="dxa"/>
            <w:shd w:val="clear" w:color="auto" w:fill="auto"/>
            <w:vAlign w:val="bottom"/>
          </w:tcPr>
          <w:p w:rsidR="00DC420E" w:rsidRDefault="00A24A93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Ing. Xxxxxxxx xxxxx</w:t>
            </w:r>
            <w:r w:rsidR="001A2B05">
              <w:rPr>
                <w:rStyle w:val="Jin"/>
              </w:rPr>
              <w:t>, ředitel Odboru příprav pro krizové stavy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tel.:</w:t>
            </w:r>
          </w:p>
        </w:tc>
        <w:tc>
          <w:tcPr>
            <w:tcW w:w="6566" w:type="dxa"/>
            <w:shd w:val="clear" w:color="auto" w:fill="auto"/>
          </w:tcPr>
          <w:p w:rsidR="00DC420E" w:rsidRDefault="00A24A93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+420 xxx xxx xxx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714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e-mail:</w:t>
            </w:r>
          </w:p>
        </w:tc>
        <w:tc>
          <w:tcPr>
            <w:tcW w:w="6566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left="1140"/>
            </w:pPr>
            <w:hyperlink r:id="rId7" w:history="1">
              <w:r>
                <w:rPr>
                  <w:rStyle w:val="Jin"/>
                </w:rPr>
                <w:t>obchod_oph@sshr.gov.cz</w:t>
              </w:r>
            </w:hyperlink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4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datová schránka:</w:t>
            </w:r>
          </w:p>
        </w:tc>
        <w:tc>
          <w:tcPr>
            <w:tcW w:w="6566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left="1140"/>
            </w:pPr>
            <w:r>
              <w:rPr>
                <w:rStyle w:val="Jin"/>
              </w:rPr>
              <w:t>4iqaa3x</w:t>
            </w:r>
          </w:p>
        </w:tc>
      </w:tr>
    </w:tbl>
    <w:p w:rsidR="00DC420E" w:rsidRDefault="00DC420E">
      <w:pPr>
        <w:spacing w:after="479" w:line="1" w:lineRule="exact"/>
      </w:pPr>
    </w:p>
    <w:p w:rsidR="00DC420E" w:rsidRDefault="001A2B05">
      <w:pPr>
        <w:pStyle w:val="Zkladntext1"/>
        <w:spacing w:after="300"/>
      </w:pPr>
      <w:r>
        <w:rPr>
          <w:rStyle w:val="Zkladntext"/>
        </w:rPr>
        <w:t xml:space="preserve">jako </w:t>
      </w:r>
      <w:r>
        <w:rPr>
          <w:rStyle w:val="Zkladntext"/>
          <w:b/>
          <w:bCs/>
        </w:rPr>
        <w:t xml:space="preserve">předávající organizační složka státu </w:t>
      </w: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„předávající“)</w:t>
      </w:r>
    </w:p>
    <w:p w:rsidR="00DC420E" w:rsidRDefault="001A2B05">
      <w:pPr>
        <w:pStyle w:val="Zkladntext1"/>
        <w:spacing w:after="300"/>
        <w:jc w:val="center"/>
      </w:pPr>
      <w:r>
        <w:rPr>
          <w:rStyle w:val="Zkladntext"/>
        </w:rPr>
        <w:t>a</w:t>
      </w:r>
    </w:p>
    <w:p w:rsidR="00DC420E" w:rsidRDefault="001A2B05">
      <w:pPr>
        <w:pStyle w:val="Titulektabulky0"/>
        <w:ind w:left="5"/>
      </w:pPr>
      <w:r>
        <w:rPr>
          <w:rStyle w:val="Titulektabulky"/>
          <w:b/>
          <w:bCs/>
        </w:rPr>
        <w:t>Sdružené zdravotnické zařízení Krnov,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6000"/>
      </w:tblGrid>
      <w:tr w:rsidR="00DC420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251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se sídlem:</w:t>
            </w:r>
          </w:p>
        </w:tc>
        <w:tc>
          <w:tcPr>
            <w:tcW w:w="6000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left="600"/>
            </w:pPr>
            <w:r>
              <w:rPr>
                <w:rStyle w:val="Jin"/>
              </w:rPr>
              <w:t xml:space="preserve">I.P. Pavlova 552/9, Pod </w:t>
            </w:r>
            <w:r>
              <w:rPr>
                <w:rStyle w:val="Jin"/>
              </w:rPr>
              <w:t>Bezručovým vrchem, 794 01 Krnov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zastoupena: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MUDr. Ladislav Václavec, MBA, ředitel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Česká spořitelna, a.s.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51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číslo účtu:</w:t>
            </w:r>
          </w:p>
        </w:tc>
        <w:tc>
          <w:tcPr>
            <w:tcW w:w="6000" w:type="dxa"/>
            <w:shd w:val="clear" w:color="auto" w:fill="auto"/>
          </w:tcPr>
          <w:p w:rsidR="00DC420E" w:rsidRDefault="00A24A93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Xxxxxxxx/xxxx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51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000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00844641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000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CZ00844641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C420E" w:rsidRDefault="00A24A93">
            <w:pPr>
              <w:pStyle w:val="Jin0"/>
              <w:spacing w:after="0"/>
              <w:ind w:firstLine="600"/>
              <w:jc w:val="both"/>
            </w:pPr>
            <w:r>
              <w:rPr>
                <w:rStyle w:val="Jin"/>
              </w:rPr>
              <w:t>Ing. Xxxxx xxxxxxxx,</w:t>
            </w:r>
            <w:r w:rsidR="001A2B05">
              <w:rPr>
                <w:rStyle w:val="Jin"/>
              </w:rPr>
              <w:t xml:space="preserve"> vedoucí oddělení zdravotnické </w:t>
            </w:r>
            <w:r w:rsidR="001A2B05">
              <w:rPr>
                <w:rStyle w:val="Jin"/>
              </w:rPr>
              <w:t>techniky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251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tel.: e-mail: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 xml:space="preserve">+420 554 690 256, + </w:t>
            </w:r>
            <w:r>
              <w:rPr>
                <w:rStyle w:val="Jin"/>
                <w:rFonts w:ascii="Times New Roman" w:eastAsia="Times New Roman" w:hAnsi="Times New Roman" w:cs="Times New Roman"/>
                <w:sz w:val="20"/>
                <w:szCs w:val="20"/>
              </w:rPr>
              <w:t xml:space="preserve">420 </w:t>
            </w:r>
            <w:r w:rsidR="00A24A93">
              <w:rPr>
                <w:rStyle w:val="Jin"/>
              </w:rPr>
              <w:t>xxxxxxxxxxxxxxx</w:t>
            </w:r>
          </w:p>
          <w:bookmarkStart w:id="1" w:name="_GoBack"/>
          <w:bookmarkEnd w:id="1"/>
          <w:p w:rsidR="00DC420E" w:rsidRDefault="00A24A93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fldChar w:fldCharType="begin"/>
            </w:r>
            <w:r>
              <w:rPr>
                <w:rStyle w:val="Jin"/>
              </w:rPr>
              <w:instrText xml:space="preserve"> HYPERLINK "mailto:xxxxxxx.xxxxxx@szzkrnov.cz" </w:instrText>
            </w:r>
            <w:r>
              <w:rPr>
                <w:rStyle w:val="Jin"/>
              </w:rPr>
              <w:fldChar w:fldCharType="separate"/>
            </w:r>
            <w:r w:rsidRPr="003B5C48">
              <w:rPr>
                <w:rStyle w:val="Hypertextovodkaz"/>
              </w:rPr>
              <w:t>xxxxxxx.xxxxxx@szzkrnov.cz</w:t>
            </w:r>
            <w:r>
              <w:rPr>
                <w:rStyle w:val="Jin"/>
              </w:rPr>
              <w:fldChar w:fldCharType="end"/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</w:tcPr>
          <w:p w:rsidR="00DC420E" w:rsidRDefault="001A2B05">
            <w:pPr>
              <w:pStyle w:val="Jin0"/>
              <w:spacing w:after="0"/>
            </w:pPr>
            <w:r>
              <w:rPr>
                <w:rStyle w:val="Jin"/>
              </w:rPr>
              <w:t>datová schránka:</w:t>
            </w:r>
          </w:p>
        </w:tc>
        <w:tc>
          <w:tcPr>
            <w:tcW w:w="6000" w:type="dxa"/>
            <w:shd w:val="clear" w:color="auto" w:fill="auto"/>
          </w:tcPr>
          <w:p w:rsidR="00DC420E" w:rsidRDefault="001A2B05">
            <w:pPr>
              <w:pStyle w:val="Jin0"/>
              <w:spacing w:after="0"/>
              <w:ind w:firstLine="600"/>
            </w:pPr>
            <w:r>
              <w:rPr>
                <w:rStyle w:val="Jin"/>
              </w:rPr>
              <w:t>fiwk7nq</w:t>
            </w:r>
          </w:p>
        </w:tc>
      </w:tr>
    </w:tbl>
    <w:p w:rsidR="00DC420E" w:rsidRDefault="00DC420E">
      <w:pPr>
        <w:spacing w:after="219" w:line="1" w:lineRule="exact"/>
      </w:pPr>
    </w:p>
    <w:p w:rsidR="00DC420E" w:rsidRDefault="001A2B05">
      <w:pPr>
        <w:pStyle w:val="Nadpis20"/>
        <w:keepNext/>
        <w:keepLines/>
        <w:jc w:val="left"/>
      </w:pPr>
      <w:bookmarkStart w:id="2" w:name="bookmark2"/>
      <w:r>
        <w:rPr>
          <w:rStyle w:val="Nadpis2"/>
        </w:rPr>
        <w:t xml:space="preserve">jako </w:t>
      </w:r>
      <w:r>
        <w:rPr>
          <w:rStyle w:val="Nadpis2"/>
          <w:b/>
          <w:bCs/>
        </w:rPr>
        <w:t xml:space="preserve">přejímající organizace </w:t>
      </w:r>
      <w:r>
        <w:rPr>
          <w:rStyle w:val="Nadpis2"/>
        </w:rPr>
        <w:t xml:space="preserve">(dále jen </w:t>
      </w:r>
      <w:r>
        <w:rPr>
          <w:rStyle w:val="Nadpis2"/>
          <w:b/>
          <w:bCs/>
        </w:rPr>
        <w:t>„přejímající“</w:t>
      </w:r>
      <w:r>
        <w:rPr>
          <w:rStyle w:val="Nadpis2"/>
        </w:rPr>
        <w:t>)</w:t>
      </w:r>
      <w:bookmarkEnd w:id="2"/>
    </w:p>
    <w:p w:rsidR="00DC420E" w:rsidRDefault="001A2B05">
      <w:pPr>
        <w:pStyle w:val="Zkladntext1"/>
        <w:spacing w:after="780"/>
      </w:pPr>
      <w:r>
        <w:rPr>
          <w:rStyle w:val="Zkladntext"/>
        </w:rPr>
        <w:t xml:space="preserve">(dále také společně jako </w:t>
      </w:r>
      <w:r>
        <w:rPr>
          <w:rStyle w:val="Zkladntext"/>
          <w:b/>
          <w:bCs/>
        </w:rPr>
        <w:t>„smluvní strany“</w:t>
      </w:r>
      <w:r>
        <w:rPr>
          <w:rStyle w:val="Zkladntext"/>
        </w:rPr>
        <w:t>)</w:t>
      </w:r>
    </w:p>
    <w:p w:rsidR="00DC420E" w:rsidRDefault="001A2B05">
      <w:pPr>
        <w:pStyle w:val="Zkladntext1"/>
        <w:spacing w:after="380"/>
        <w:jc w:val="both"/>
      </w:pPr>
      <w:r>
        <w:rPr>
          <w:rStyle w:val="Zkladntext"/>
        </w:rPr>
        <w:t>Předávající a přejímající se podle ustanovení § 9 zákona č. 219/2000 Sb., o majetku České republiky a jejím vystupování v právních vztazích, ve znění pozdějších předpisů (dále jen „zákon o majetku státu“), s ohledem na ustanovení § 14 a násl. vyhlášky MF č</w:t>
      </w:r>
      <w:r>
        <w:rPr>
          <w:rStyle w:val="Zkladntext"/>
        </w:rPr>
        <w:t xml:space="preserve">. 62/2001 Sb., o hospodaření organizačních složek státu a státních organizací s majetkem státu, ve znění pozdějších předpisů, s přiměřeným použitím zákona č. 89/2012 Sb., občanský zákoník, ve znění pozdějších předpisů, dohodli, že touto smlouvou </w:t>
      </w:r>
      <w:r>
        <w:rPr>
          <w:rStyle w:val="Zkladntext"/>
          <w:b/>
          <w:bCs/>
        </w:rPr>
        <w:t xml:space="preserve">dochází k </w:t>
      </w:r>
      <w:r>
        <w:rPr>
          <w:rStyle w:val="Zkladntext"/>
          <w:b/>
          <w:bCs/>
        </w:rPr>
        <w:t>bezúplatnému převodu příslušnosti hospodařit s majetkem státu ve veřejném zájmu v souladu s § 22 odst. 3 zákona o majetku státu</w:t>
      </w:r>
      <w:r>
        <w:rPr>
          <w:rStyle w:val="Zkladntext"/>
        </w:rPr>
        <w:t>.</w:t>
      </w:r>
    </w:p>
    <w:p w:rsidR="00DC420E" w:rsidRDefault="00DC420E">
      <w:pPr>
        <w:pStyle w:val="Nadpis20"/>
        <w:keepNext/>
        <w:keepLines/>
        <w:numPr>
          <w:ilvl w:val="0"/>
          <w:numId w:val="1"/>
        </w:numPr>
        <w:spacing w:after="200"/>
      </w:pPr>
      <w:bookmarkStart w:id="3" w:name="bookmark4"/>
      <w:bookmarkEnd w:id="3"/>
    </w:p>
    <w:p w:rsidR="00DC420E" w:rsidRDefault="001A2B05">
      <w:pPr>
        <w:pStyle w:val="Zkladntext1"/>
        <w:numPr>
          <w:ilvl w:val="0"/>
          <w:numId w:val="2"/>
        </w:numPr>
        <w:tabs>
          <w:tab w:val="left" w:pos="377"/>
        </w:tabs>
        <w:spacing w:after="80"/>
        <w:ind w:left="360" w:hanging="360"/>
        <w:jc w:val="both"/>
      </w:pPr>
      <w:r>
        <w:rPr>
          <w:rStyle w:val="Zkladntext"/>
        </w:rPr>
        <w:t>Na základě usnesení vlády České republiky se ve veřejném zájmu převádí majetek blíže definovaný této smlouvě na přejímajícího,</w:t>
      </w:r>
      <w:r>
        <w:rPr>
          <w:rStyle w:val="Zkladntext"/>
        </w:rPr>
        <w:t xml:space="preserve"> a to v souladu s udělenou výjimkou z podmínky trvalé nepotřebnosti dle § 21 odst. 2 zákona o majetku státu, a § 22 odst. 3 zákona o majetku státu.</w:t>
      </w:r>
    </w:p>
    <w:p w:rsidR="00DC420E" w:rsidRDefault="001A2B05">
      <w:pPr>
        <w:pStyle w:val="Zkladntext1"/>
        <w:numPr>
          <w:ilvl w:val="0"/>
          <w:numId w:val="2"/>
        </w:numPr>
        <w:tabs>
          <w:tab w:val="left" w:pos="377"/>
        </w:tabs>
        <w:spacing w:after="500"/>
        <w:ind w:left="360" w:hanging="360"/>
        <w:jc w:val="both"/>
      </w:pPr>
      <w:r>
        <w:rPr>
          <w:rStyle w:val="Zkladntext"/>
        </w:rPr>
        <w:t>Převod příslušnosti hospodaření s majetkem specifikovaným touto smlouvou se uskutečňuje za účelem podpory či</w:t>
      </w:r>
      <w:r>
        <w:rPr>
          <w:rStyle w:val="Zkladntext"/>
        </w:rPr>
        <w:t xml:space="preserve">nností souvisejících s řešením potřeb pro případ pandemie. Přejímající se zavazuje udržovat majetek státu uvedený v této smlouvě v provozuschopném a použitelném stavu k podpoře činností souvisejících s řešením potřeb pro případ epidemie velkého rozsahu na </w:t>
      </w:r>
      <w:r>
        <w:rPr>
          <w:rStyle w:val="Zkladntext"/>
        </w:rPr>
        <w:t>území České republiky, a to minimálně do konce roku 2027.</w:t>
      </w:r>
    </w:p>
    <w:p w:rsidR="00DC420E" w:rsidRDefault="00DC420E">
      <w:pPr>
        <w:pStyle w:val="Zkladntext1"/>
        <w:numPr>
          <w:ilvl w:val="0"/>
          <w:numId w:val="1"/>
        </w:numPr>
        <w:spacing w:after="0"/>
        <w:jc w:val="center"/>
      </w:pPr>
    </w:p>
    <w:p w:rsidR="00DC420E" w:rsidRDefault="001A2B05">
      <w:pPr>
        <w:pStyle w:val="Nadpis20"/>
        <w:keepNext/>
        <w:keepLines/>
        <w:spacing w:after="200"/>
      </w:pPr>
      <w:bookmarkStart w:id="4" w:name="bookmark6"/>
      <w:r>
        <w:rPr>
          <w:rStyle w:val="Nadpis2"/>
          <w:b/>
          <w:bCs/>
        </w:rPr>
        <w:t>Předmět smlouvy</w:t>
      </w:r>
      <w:bookmarkEnd w:id="4"/>
    </w:p>
    <w:p w:rsidR="00DC420E" w:rsidRDefault="001A2B05">
      <w:pPr>
        <w:pStyle w:val="Zkladntext1"/>
        <w:numPr>
          <w:ilvl w:val="0"/>
          <w:numId w:val="3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>Předávající, jako organizační složka státu, je příslušný hospodařit s majetkem státu (dále jen „majetek“), který je blíže specifikován co do skladby a množství v příloze č. 1, která</w:t>
      </w:r>
      <w:r>
        <w:rPr>
          <w:rStyle w:val="Zkladntext"/>
        </w:rPr>
        <w:t xml:space="preserve"> tvoří nedílnou součást této smlouvy.</w:t>
      </w:r>
    </w:p>
    <w:p w:rsidR="00DC420E" w:rsidRDefault="001A2B05">
      <w:pPr>
        <w:pStyle w:val="Zkladntext1"/>
        <w:numPr>
          <w:ilvl w:val="0"/>
          <w:numId w:val="3"/>
        </w:numPr>
        <w:tabs>
          <w:tab w:val="left" w:pos="377"/>
        </w:tabs>
        <w:spacing w:after="500"/>
        <w:ind w:left="360" w:hanging="360"/>
        <w:jc w:val="both"/>
      </w:pPr>
      <w:r>
        <w:rPr>
          <w:rStyle w:val="Zkladntext"/>
        </w:rPr>
        <w:t>Předávající dále prohlašuje, že jeho možnost disponovat s majetkem státu není žádným způsobem omezena.</w:t>
      </w:r>
    </w:p>
    <w:p w:rsidR="00DC420E" w:rsidRDefault="00DC420E">
      <w:pPr>
        <w:pStyle w:val="Zkladntext1"/>
        <w:numPr>
          <w:ilvl w:val="0"/>
          <w:numId w:val="1"/>
        </w:numPr>
        <w:spacing w:after="0"/>
        <w:jc w:val="center"/>
      </w:pPr>
    </w:p>
    <w:p w:rsidR="00DC420E" w:rsidRDefault="001A2B05">
      <w:pPr>
        <w:pStyle w:val="Nadpis20"/>
        <w:keepNext/>
        <w:keepLines/>
        <w:spacing w:after="200"/>
      </w:pPr>
      <w:bookmarkStart w:id="5" w:name="bookmark8"/>
      <w:r>
        <w:rPr>
          <w:rStyle w:val="Nadpis2"/>
          <w:b/>
          <w:bCs/>
        </w:rPr>
        <w:t>Další ujednání</w:t>
      </w:r>
      <w:bookmarkEnd w:id="5"/>
    </w:p>
    <w:p w:rsidR="00DC420E" w:rsidRDefault="001A2B05">
      <w:pPr>
        <w:pStyle w:val="Zkladntext1"/>
        <w:numPr>
          <w:ilvl w:val="0"/>
          <w:numId w:val="4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 xml:space="preserve">Příslušnost hospodařit s majetkem státu uvedeným v příloze č. 1 v celkové evidenční ceně </w:t>
      </w:r>
      <w:r>
        <w:rPr>
          <w:rStyle w:val="Zkladntext"/>
          <w:b/>
          <w:bCs/>
        </w:rPr>
        <w:t xml:space="preserve">3.473.950 </w:t>
      </w:r>
      <w:r>
        <w:rPr>
          <w:rStyle w:val="Zkladntext"/>
          <w:b/>
          <w:bCs/>
        </w:rPr>
        <w:t xml:space="preserve">Kč </w:t>
      </w:r>
      <w:r>
        <w:rPr>
          <w:rStyle w:val="Zkladntext"/>
        </w:rPr>
        <w:t>převádí předávající na přejímajícího BEZÚPLATNĚ.</w:t>
      </w:r>
    </w:p>
    <w:p w:rsidR="00DC420E" w:rsidRDefault="001A2B05">
      <w:pPr>
        <w:pStyle w:val="Zkladntext1"/>
        <w:numPr>
          <w:ilvl w:val="0"/>
          <w:numId w:val="4"/>
        </w:numPr>
        <w:tabs>
          <w:tab w:val="left" w:pos="377"/>
        </w:tabs>
        <w:jc w:val="both"/>
      </w:pPr>
      <w:r>
        <w:rPr>
          <w:rStyle w:val="Zkladntext"/>
        </w:rPr>
        <w:t>Přejímající prohlašuje, že stav majetku je mu znám a majetek bez výhrad přijímá.</w:t>
      </w:r>
    </w:p>
    <w:p w:rsidR="00DC420E" w:rsidRDefault="001A2B05">
      <w:pPr>
        <w:pStyle w:val="Zkladntext1"/>
        <w:numPr>
          <w:ilvl w:val="0"/>
          <w:numId w:val="4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>Předávaný majetek se nachází v prostorách přejímajícího, neboť jej má svěřen k užívání na základě smlouvy o výpůjčce.</w:t>
      </w:r>
    </w:p>
    <w:p w:rsidR="00DC420E" w:rsidRDefault="001A2B05">
      <w:pPr>
        <w:pStyle w:val="Zkladntext1"/>
        <w:numPr>
          <w:ilvl w:val="0"/>
          <w:numId w:val="4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>Předá</w:t>
      </w:r>
      <w:r>
        <w:rPr>
          <w:rStyle w:val="Zkladntext"/>
        </w:rPr>
        <w:t xml:space="preserve">vající a přejímající se dohodli, že příslušnost hospodařit s majetkem nabývá přejímající okamžikem účinnosti této smlouvy. Veškerá práva, povinnosti (včetně povinnosti uvedené v odst. 5 tohoto článku) a užitky, vážící se k majetku, jakož i nebezpečí škody </w:t>
      </w:r>
      <w:r>
        <w:rPr>
          <w:rStyle w:val="Zkladntext"/>
        </w:rPr>
        <w:t>na majetku přechází okamžikem účinnosti této smlouvy na přejímajícího.</w:t>
      </w:r>
    </w:p>
    <w:p w:rsidR="00DC420E" w:rsidRDefault="001A2B05">
      <w:pPr>
        <w:pStyle w:val="Zkladntext1"/>
        <w:numPr>
          <w:ilvl w:val="0"/>
          <w:numId w:val="4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>Přejímající se zavazuje po dobu 3 let od podpisu této smlouvy úplatně nepřevést příslušnost hospodařit s majetkem na třetí osobu. Přejímající souhlasí, že předávající je oprávněn po tut</w:t>
      </w:r>
      <w:r>
        <w:rPr>
          <w:rStyle w:val="Zkladntext"/>
        </w:rPr>
        <w:t>o dobu provést namátkovou kontrolu u přejímajícího, že majetek užívá ke sjednanému účelu ve smyslu ustanovení čl. I. této smlouvy a že k němu úplatně nepřevedl příslušnost hospodařit na třetí osobu. Přejímající je povinen na výzvu předávajícího zaslané nej</w:t>
      </w:r>
      <w:r>
        <w:rPr>
          <w:rStyle w:val="Zkladntext"/>
        </w:rPr>
        <w:t>méně 48 h před zahájením kontroly poskytnout předávajícímu odpovídající součinnost.</w:t>
      </w:r>
    </w:p>
    <w:p w:rsidR="00DC420E" w:rsidRDefault="001A2B05">
      <w:pPr>
        <w:pStyle w:val="Zkladntext1"/>
        <w:numPr>
          <w:ilvl w:val="0"/>
          <w:numId w:val="4"/>
        </w:numPr>
        <w:tabs>
          <w:tab w:val="left" w:pos="411"/>
        </w:tabs>
        <w:spacing w:after="220"/>
        <w:ind w:left="360" w:hanging="360"/>
        <w:jc w:val="both"/>
      </w:pPr>
      <w:r>
        <w:rPr>
          <w:rStyle w:val="Zkladntext"/>
        </w:rPr>
        <w:t xml:space="preserve">Za porušení povinnosti stanovené odst. 5 tohoto článku se přejímající zavazuje předávajícímu zaplatit smluvní pokutu ve výši 50 % celkové evidenční ceny majetku </w:t>
      </w:r>
      <w:r>
        <w:rPr>
          <w:rStyle w:val="Zkladntext"/>
        </w:rPr>
        <w:lastRenderedPageBreak/>
        <w:t>uvedené v p</w:t>
      </w:r>
      <w:r>
        <w:rPr>
          <w:rStyle w:val="Zkladntext"/>
        </w:rPr>
        <w:t>říloze č. 1 této smlouvy.</w:t>
      </w:r>
    </w:p>
    <w:p w:rsidR="00DC420E" w:rsidRDefault="00DC420E">
      <w:pPr>
        <w:pStyle w:val="Zkladntext1"/>
        <w:numPr>
          <w:ilvl w:val="0"/>
          <w:numId w:val="1"/>
        </w:numPr>
        <w:spacing w:after="0"/>
        <w:jc w:val="center"/>
      </w:pPr>
    </w:p>
    <w:p w:rsidR="00DC420E" w:rsidRDefault="001A2B05">
      <w:pPr>
        <w:pStyle w:val="Nadpis20"/>
        <w:keepNext/>
        <w:keepLines/>
      </w:pPr>
      <w:bookmarkStart w:id="6" w:name="bookmark10"/>
      <w:r>
        <w:rPr>
          <w:rStyle w:val="Nadpis2"/>
          <w:b/>
          <w:bCs/>
        </w:rPr>
        <w:t>Závěrečná ujednání</w:t>
      </w:r>
      <w:bookmarkEnd w:id="6"/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220"/>
        <w:ind w:left="360" w:hanging="360"/>
        <w:jc w:val="both"/>
      </w:pPr>
      <w:r>
        <w:rPr>
          <w:rStyle w:val="Zkladntext"/>
        </w:rPr>
        <w:t>Předávající prohlašuje, že předávaný majetek není zatížen žádnými dluhy ani jinými právními nároky, a že mu není známa taková závada, na kterou by měl povinnost přejímajícího upozornit.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220"/>
        <w:ind w:left="360" w:hanging="360"/>
        <w:jc w:val="both"/>
      </w:pPr>
      <w:r>
        <w:rPr>
          <w:rStyle w:val="Zkladntext"/>
        </w:rPr>
        <w:t xml:space="preserve">Tato smlouva je </w:t>
      </w:r>
      <w:r>
        <w:rPr>
          <w:rStyle w:val="Zkladntext"/>
        </w:rPr>
        <w:t>vyhotovena v elektronické podobě a bude podepsána oprávněnými zástupci smluvních stran zaručeným elektronickým podpisem.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Veškeré změny nebo doplňky této smlouvy jsou vázány na souhlas smluvních stran a mohou být provedeny pouze formou písemného dodatku k t</w:t>
      </w:r>
      <w:r>
        <w:rPr>
          <w:rStyle w:val="Zkladntext"/>
        </w:rPr>
        <w:t>éto smlouvě.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Přejímající souhlasí s tím, aby tato smlouva, včetně jejích případných dodatků, byla uveřejněna na internetových stránkách předávajícího.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Přejímající souhlasí s tím, aby předávající poskytl část nebo celou tuto smlouvu v případě žádosti o posk</w:t>
      </w:r>
      <w:r>
        <w:rPr>
          <w:rStyle w:val="Zkladntext"/>
        </w:rPr>
        <w:t>ytnutí informace podle zákona č. 106/1999 Sb., o svobodném přístupu k informacím, ve znění pozdějších předpisů.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Předávající a přejímající sjednávají pravidla pro doručování případných vzájemných písemností tak, že písemnosti se zasílají v elektronické podo</w:t>
      </w:r>
      <w:r>
        <w:rPr>
          <w:rStyle w:val="Zkladntext"/>
        </w:rPr>
        <w:t>bě do datových schránek.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Předávající a přejímající se zavazují poskytnout si navzájem dohodnutou součinnost umožňující řádné plnění závazků plynoucí z této smlouvy.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Tato smlouva včetně jejích případných dodatků se dle ust. § 3 odst. 2 písm. c) zákona č. 34</w:t>
      </w:r>
      <w:r>
        <w:rPr>
          <w:rStyle w:val="Zkladntext"/>
        </w:rPr>
        <w:t>0/2015 Sb., o zvláštních podmínkách účinnosti některých smluv, uveřejňování těchto smluv a o registru smluv (zákon o registru smluv), ve znění pozdějších předpisů, nevkládá do registru smluv.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11"/>
        </w:tabs>
        <w:spacing w:after="80"/>
        <w:ind w:left="360" w:hanging="360"/>
        <w:jc w:val="both"/>
      </w:pPr>
      <w:r>
        <w:rPr>
          <w:rStyle w:val="Zkladntext"/>
        </w:rPr>
        <w:t>Tato smlouva nabývá platnosti dnem podpisu smluvních stran a úči</w:t>
      </w:r>
      <w:r>
        <w:rPr>
          <w:rStyle w:val="Zkladntext"/>
        </w:rPr>
        <w:t>nnosti dnem 1. 7. 2025.</w:t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42"/>
        </w:tabs>
        <w:spacing w:after="80"/>
        <w:ind w:left="360" w:hanging="360"/>
        <w:jc w:val="both"/>
      </w:pPr>
      <w:r>
        <w:rPr>
          <w:rStyle w:val="Zkladntext"/>
        </w:rPr>
        <w:t>Předávající a přejímající prohlašují, že se s obsahem této smlouvy před jejím podpisem řádně seznámili, že smlouva nebyla uzavřena v tísni, ani za nápadně nevýhodných podmínek a byla uzavřena podle jejich pravé a svobodné vůle. Na d</w:t>
      </w:r>
      <w:r>
        <w:rPr>
          <w:rStyle w:val="Zkladntext"/>
        </w:rPr>
        <w:t>ůkaz toho připojují oprávnění zástupci smluvních stran své podpisy.</w:t>
      </w:r>
      <w:r>
        <w:br w:type="page"/>
      </w:r>
    </w:p>
    <w:p w:rsidR="00DC420E" w:rsidRDefault="001A2B05">
      <w:pPr>
        <w:pStyle w:val="Zkladntext1"/>
        <w:numPr>
          <w:ilvl w:val="0"/>
          <w:numId w:val="5"/>
        </w:numPr>
        <w:tabs>
          <w:tab w:val="left" w:pos="450"/>
        </w:tabs>
        <w:spacing w:after="240"/>
      </w:pPr>
      <w:r>
        <w:rPr>
          <w:rStyle w:val="Zkladntext"/>
        </w:rPr>
        <w:lastRenderedPageBreak/>
        <w:t>Nedílnou součástí této smlouvy je příloha:</w:t>
      </w:r>
    </w:p>
    <w:p w:rsidR="00DC420E" w:rsidRDefault="001A2B05">
      <w:pPr>
        <w:pStyle w:val="Zkladntext1"/>
        <w:spacing w:after="0"/>
        <w:ind w:firstLine="440"/>
        <w:sectPr w:rsidR="00DC420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90" w:right="2164" w:bottom="1818" w:left="135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>Příloha č. 1 – Specifikace majetku</w:t>
      </w:r>
    </w:p>
    <w:p w:rsidR="00DC420E" w:rsidRDefault="00DC420E">
      <w:pPr>
        <w:spacing w:line="240" w:lineRule="exact"/>
        <w:rPr>
          <w:sz w:val="19"/>
          <w:szCs w:val="19"/>
        </w:rPr>
      </w:pPr>
    </w:p>
    <w:p w:rsidR="00DC420E" w:rsidRDefault="00DC420E">
      <w:pPr>
        <w:spacing w:line="240" w:lineRule="exact"/>
        <w:rPr>
          <w:sz w:val="19"/>
          <w:szCs w:val="19"/>
        </w:rPr>
      </w:pPr>
    </w:p>
    <w:p w:rsidR="00DC420E" w:rsidRDefault="00DC420E">
      <w:pPr>
        <w:spacing w:line="240" w:lineRule="exact"/>
        <w:rPr>
          <w:sz w:val="19"/>
          <w:szCs w:val="19"/>
        </w:rPr>
      </w:pPr>
    </w:p>
    <w:p w:rsidR="00DC420E" w:rsidRDefault="00DC420E">
      <w:pPr>
        <w:spacing w:before="44" w:after="44" w:line="240" w:lineRule="exact"/>
        <w:rPr>
          <w:sz w:val="19"/>
          <w:szCs w:val="19"/>
        </w:rPr>
      </w:pPr>
    </w:p>
    <w:p w:rsidR="00DC420E" w:rsidRDefault="00DC420E">
      <w:pPr>
        <w:spacing w:line="1" w:lineRule="exact"/>
        <w:sectPr w:rsidR="00DC420E">
          <w:type w:val="continuous"/>
          <w:pgSz w:w="11900" w:h="16840"/>
          <w:pgMar w:top="966" w:right="0" w:bottom="8072" w:left="0" w:header="0" w:footer="3" w:gutter="0"/>
          <w:cols w:space="720"/>
          <w:noEndnote/>
          <w:docGrid w:linePitch="360"/>
        </w:sectPr>
      </w:pPr>
    </w:p>
    <w:p w:rsidR="00DC420E" w:rsidRDefault="001A2B05">
      <w:pPr>
        <w:pStyle w:val="Zkladntext1"/>
        <w:spacing w:after="0"/>
      </w:pPr>
      <w:r>
        <w:rPr>
          <w:rStyle w:val="Zkladntext"/>
        </w:rPr>
        <w:t>V Praze dne ………………</w:t>
      </w:r>
    </w:p>
    <w:p w:rsidR="00DC420E" w:rsidRDefault="001A2B05">
      <w:pPr>
        <w:spacing w:line="1" w:lineRule="exact"/>
        <w:rPr>
          <w:sz w:val="2"/>
          <w:szCs w:val="2"/>
        </w:rPr>
      </w:pPr>
      <w:r>
        <w:br w:type="column"/>
      </w:r>
    </w:p>
    <w:p w:rsidR="00DC420E" w:rsidRDefault="001A2B05">
      <w:pPr>
        <w:pStyle w:val="Zkladntext1"/>
        <w:spacing w:after="0"/>
        <w:sectPr w:rsidR="00DC420E">
          <w:type w:val="continuous"/>
          <w:pgSz w:w="11900" w:h="16840"/>
          <w:pgMar w:top="966" w:right="2611" w:bottom="8072" w:left="1768" w:header="0" w:footer="3" w:gutter="0"/>
          <w:cols w:num="2" w:space="1752"/>
          <w:noEndnote/>
          <w:docGrid w:linePitch="360"/>
        </w:sectPr>
      </w:pPr>
      <w:r>
        <w:rPr>
          <w:rStyle w:val="Zkladntext"/>
        </w:rPr>
        <w:t>V Krnově dne ………………</w:t>
      </w:r>
    </w:p>
    <w:p w:rsidR="00DC420E" w:rsidRDefault="00DC420E">
      <w:pPr>
        <w:spacing w:line="240" w:lineRule="exact"/>
        <w:rPr>
          <w:sz w:val="19"/>
          <w:szCs w:val="19"/>
        </w:rPr>
      </w:pPr>
    </w:p>
    <w:p w:rsidR="00DC420E" w:rsidRDefault="00DC420E">
      <w:pPr>
        <w:spacing w:before="76" w:after="76" w:line="240" w:lineRule="exact"/>
        <w:rPr>
          <w:sz w:val="19"/>
          <w:szCs w:val="19"/>
        </w:rPr>
      </w:pPr>
    </w:p>
    <w:p w:rsidR="00DC420E" w:rsidRDefault="00DC420E">
      <w:pPr>
        <w:spacing w:line="1" w:lineRule="exact"/>
        <w:sectPr w:rsidR="00DC420E">
          <w:type w:val="continuous"/>
          <w:pgSz w:w="11900" w:h="16840"/>
          <w:pgMar w:top="966" w:right="0" w:bottom="8072" w:left="0" w:header="0" w:footer="3" w:gutter="0"/>
          <w:cols w:space="720"/>
          <w:noEndnote/>
          <w:docGrid w:linePitch="360"/>
        </w:sectPr>
      </w:pPr>
    </w:p>
    <w:p w:rsidR="00DC420E" w:rsidRDefault="001A2B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4039235</wp:posOffset>
                </wp:positionH>
                <wp:positionV relativeFrom="paragraph">
                  <wp:posOffset>1005840</wp:posOffset>
                </wp:positionV>
                <wp:extent cx="1029970" cy="129540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29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420E" w:rsidRDefault="001A2B05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MUDr. Ladislav Václavec, MBA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8.05000000000001pt;margin-top:79.200000000000003pt;width:81.100000000000009pt;height:102.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MUDr. Ladislav Václavec, MBA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DC420E" w:rsidRDefault="001A2B05">
      <w:pPr>
        <w:pStyle w:val="Zkladntext1"/>
        <w:spacing w:after="320"/>
        <w:jc w:val="center"/>
      </w:pPr>
      <w:r>
        <w:rPr>
          <w:rStyle w:val="Zkladntext"/>
        </w:rPr>
        <w:t xml:space="preserve">Za </w:t>
      </w:r>
      <w:r>
        <w:rPr>
          <w:rStyle w:val="Zkladntext"/>
        </w:rPr>
        <w:t>předávajícího:</w:t>
      </w:r>
    </w:p>
    <w:p w:rsidR="00DC420E" w:rsidRDefault="001A2B05">
      <w:pPr>
        <w:pStyle w:val="Nadpis20"/>
        <w:keepNext/>
        <w:keepLines/>
        <w:spacing w:after="0"/>
        <w:jc w:val="both"/>
      </w:pPr>
      <w:bookmarkStart w:id="7" w:name="bookmark12"/>
      <w:r>
        <w:rPr>
          <w:rStyle w:val="Nadpis2"/>
          <w:b/>
          <w:bCs/>
        </w:rPr>
        <w:t>Česká republika –</w:t>
      </w:r>
      <w:bookmarkEnd w:id="7"/>
    </w:p>
    <w:p w:rsidR="00DC420E" w:rsidRDefault="001A2B05">
      <w:pPr>
        <w:pStyle w:val="Nadpis20"/>
        <w:keepNext/>
        <w:keepLines/>
        <w:spacing w:after="740"/>
        <w:jc w:val="both"/>
      </w:pPr>
      <w:r>
        <w:rPr>
          <w:rStyle w:val="Nadpis2"/>
          <w:b/>
          <w:bCs/>
        </w:rPr>
        <w:t>Správa státních hmotných rezerv</w:t>
      </w:r>
    </w:p>
    <w:p w:rsidR="00DC420E" w:rsidRDefault="001A2B05">
      <w:pPr>
        <w:pStyle w:val="Zkladntext20"/>
        <w:tabs>
          <w:tab w:val="left" w:pos="1624"/>
        </w:tabs>
        <w:ind w:left="640" w:firstLine="0"/>
        <w:jc w:val="both"/>
      </w:pPr>
      <w:r>
        <w:rPr>
          <w:rStyle w:val="Zkladntext2"/>
        </w:rPr>
        <w:t>Dokument je podepsán elektronickým podpisem Podepisující:</w:t>
      </w:r>
      <w:r>
        <w:rPr>
          <w:rStyle w:val="Zkladntext2"/>
        </w:rPr>
        <w:tab/>
      </w:r>
      <w:r>
        <w:rPr>
          <w:rStyle w:val="Zkladntext2"/>
          <w:b/>
          <w:bCs/>
          <w:color w:val="000000"/>
        </w:rPr>
        <w:t>Ing. Pavel Švagr, CSc.</w:t>
      </w:r>
    </w:p>
    <w:p w:rsidR="00DC420E" w:rsidRDefault="001A2B05">
      <w:pPr>
        <w:pStyle w:val="Zkladntext20"/>
        <w:tabs>
          <w:tab w:val="left" w:pos="1623"/>
        </w:tabs>
        <w:jc w:val="both"/>
      </w:pPr>
      <w:r>
        <w:rPr>
          <w:rStyle w:val="Zkladntext2"/>
        </w:rPr>
        <w:t>Organizace:</w:t>
      </w:r>
      <w:r>
        <w:rPr>
          <w:rStyle w:val="Zkladntext2"/>
        </w:rPr>
        <w:tab/>
        <w:t>Správa státních hmotných rezerv</w:t>
      </w:r>
    </w:p>
    <w:p w:rsidR="00DC420E" w:rsidRDefault="001A2B05">
      <w:pPr>
        <w:pStyle w:val="Zkladntext20"/>
        <w:tabs>
          <w:tab w:val="left" w:pos="1623"/>
        </w:tabs>
        <w:jc w:val="both"/>
      </w:pPr>
      <w:r>
        <w:rPr>
          <w:rStyle w:val="Zkladntext2"/>
        </w:rPr>
        <w:t>Sériové Č. čert.:</w:t>
      </w:r>
      <w:r>
        <w:rPr>
          <w:rStyle w:val="Zkladntext2"/>
        </w:rPr>
        <w:tab/>
        <w:t>848939117</w:t>
      </w:r>
    </w:p>
    <w:p w:rsidR="00DC420E" w:rsidRDefault="001A2B05">
      <w:pPr>
        <w:pStyle w:val="Zkladntext20"/>
        <w:tabs>
          <w:tab w:val="left" w:pos="1623"/>
        </w:tabs>
        <w:jc w:val="both"/>
      </w:pPr>
      <w:r>
        <w:rPr>
          <w:rStyle w:val="Zkladntext2"/>
        </w:rPr>
        <w:t>Vydavatel čert.:</w:t>
      </w:r>
      <w:r>
        <w:rPr>
          <w:rStyle w:val="Zkladntext2"/>
        </w:rPr>
        <w:tab/>
        <w:t xml:space="preserve">ACAeID3.2 </w:t>
      </w:r>
      <w:r>
        <w:rPr>
          <w:rStyle w:val="Zkladntext2"/>
          <w:color w:val="000000"/>
        </w:rPr>
        <w:t xml:space="preserve">- </w:t>
      </w:r>
      <w:r>
        <w:rPr>
          <w:rStyle w:val="Zkladntext2"/>
        </w:rPr>
        <w:t>Issuing C</w:t>
      </w:r>
      <w:r>
        <w:rPr>
          <w:rStyle w:val="Zkladntext2"/>
        </w:rPr>
        <w:t>ertificate</w:t>
      </w:r>
    </w:p>
    <w:p w:rsidR="00DC420E" w:rsidRDefault="001A2B05">
      <w:pPr>
        <w:pStyle w:val="Zkladntext20"/>
        <w:tabs>
          <w:tab w:val="left" w:pos="1623"/>
        </w:tabs>
        <w:jc w:val="both"/>
      </w:pPr>
      <w:r>
        <w:rPr>
          <w:rStyle w:val="Zkladntext2"/>
          <w:color w:val="000000"/>
        </w:rPr>
        <w:t xml:space="preserve">Datum </w:t>
      </w:r>
      <w:r>
        <w:rPr>
          <w:rStyle w:val="Zkladntext2"/>
        </w:rPr>
        <w:t>a čas:</w:t>
      </w:r>
      <w:r>
        <w:rPr>
          <w:rStyle w:val="Zkladntext2"/>
        </w:rPr>
        <w:tab/>
        <w:t>20.05.2025 13:36:36</w:t>
      </w:r>
    </w:p>
    <w:p w:rsidR="00DC420E" w:rsidRDefault="001A2B05">
      <w:pPr>
        <w:pStyle w:val="Zkladntext20"/>
        <w:jc w:val="both"/>
      </w:pPr>
      <w:r>
        <w:rPr>
          <w:rStyle w:val="Zkladntext2"/>
        </w:rPr>
        <w:t>Důvod:</w:t>
      </w:r>
    </w:p>
    <w:p w:rsidR="00DC420E" w:rsidRDefault="001A2B05">
      <w:pPr>
        <w:pStyle w:val="Zkladntext20"/>
        <w:jc w:val="both"/>
      </w:pPr>
      <w:r>
        <w:rPr>
          <w:rStyle w:val="Zkladntext2"/>
          <w:color w:val="000000"/>
        </w:rPr>
        <w:t>Místo:</w:t>
      </w:r>
    </w:p>
    <w:p w:rsidR="00DC420E" w:rsidRDefault="001A2B05">
      <w:pPr>
        <w:spacing w:line="1" w:lineRule="exact"/>
        <w:rPr>
          <w:sz w:val="2"/>
          <w:szCs w:val="2"/>
        </w:rPr>
      </w:pPr>
      <w:r>
        <w:br w:type="column"/>
      </w:r>
    </w:p>
    <w:p w:rsidR="00DC420E" w:rsidRDefault="001A2B05">
      <w:pPr>
        <w:pStyle w:val="Zkladntext1"/>
        <w:spacing w:after="320"/>
        <w:ind w:firstLine="720"/>
      </w:pPr>
      <w:r>
        <w:rPr>
          <w:rStyle w:val="Zkladntext"/>
        </w:rPr>
        <w:t>Za přejímajícího:</w:t>
      </w:r>
    </w:p>
    <w:p w:rsidR="00DC420E" w:rsidRDefault="001A2B05">
      <w:pPr>
        <w:pStyle w:val="Nadpis20"/>
        <w:keepNext/>
        <w:keepLines/>
        <w:spacing w:after="400"/>
        <w:ind w:left="20"/>
      </w:pPr>
      <w:bookmarkStart w:id="8" w:name="bookmark15"/>
      <w:r>
        <w:rPr>
          <w:rStyle w:val="Nadpis2"/>
          <w:b/>
          <w:bCs/>
        </w:rPr>
        <w:t>Sdružené zdravotnické zařízení</w:t>
      </w:r>
      <w:r>
        <w:rPr>
          <w:rStyle w:val="Nadpis2"/>
          <w:b/>
          <w:bCs/>
        </w:rPr>
        <w:br/>
        <w:t>Krnov, příspěvková organizace</w:t>
      </w:r>
      <w:bookmarkEnd w:id="8"/>
    </w:p>
    <w:p w:rsidR="00DC420E" w:rsidRDefault="001A2B05">
      <w:pPr>
        <w:pStyle w:val="Zkladntext30"/>
      </w:pPr>
      <w:r>
        <w:rPr>
          <w:rStyle w:val="Zkladntext3"/>
        </w:rPr>
        <w:t>Digitálně podepsal MUDr.</w:t>
      </w:r>
    </w:p>
    <w:p w:rsidR="00DC420E" w:rsidRDefault="001A2B05">
      <w:pPr>
        <w:pStyle w:val="Zkladntext30"/>
        <w:sectPr w:rsidR="00DC420E">
          <w:type w:val="continuous"/>
          <w:pgSz w:w="11900" w:h="16840"/>
          <w:pgMar w:top="966" w:right="2121" w:bottom="8072" w:left="1398" w:header="0" w:footer="3" w:gutter="0"/>
          <w:cols w:num="2" w:space="1536"/>
          <w:noEndnote/>
          <w:docGrid w:linePitch="360"/>
        </w:sectPr>
      </w:pPr>
      <w:r>
        <w:rPr>
          <w:rStyle w:val="Zkladntext3"/>
        </w:rPr>
        <w:t>Ladislav Václavec, MBA Datum: 2025.06.13 09:38:49 +02'00'</w:t>
      </w:r>
    </w:p>
    <w:p w:rsidR="00DC420E" w:rsidRDefault="00DC420E">
      <w:pPr>
        <w:spacing w:line="153" w:lineRule="exact"/>
        <w:rPr>
          <w:sz w:val="12"/>
          <w:szCs w:val="12"/>
        </w:rPr>
      </w:pPr>
    </w:p>
    <w:p w:rsidR="00DC420E" w:rsidRDefault="00DC420E">
      <w:pPr>
        <w:spacing w:line="1" w:lineRule="exact"/>
        <w:sectPr w:rsidR="00DC420E">
          <w:type w:val="continuous"/>
          <w:pgSz w:w="11900" w:h="16840"/>
          <w:pgMar w:top="961" w:right="0" w:bottom="6833" w:left="0" w:header="0" w:footer="3" w:gutter="0"/>
          <w:cols w:space="720"/>
          <w:noEndnote/>
          <w:docGrid w:linePitch="360"/>
        </w:sectPr>
      </w:pPr>
    </w:p>
    <w:p w:rsidR="00DC420E" w:rsidRDefault="001A2B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12700</wp:posOffset>
                </wp:positionV>
                <wp:extent cx="1438910" cy="3505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420E" w:rsidRDefault="001A2B05">
                            <w:pPr>
                              <w:pStyle w:val="Zkladntext1"/>
                              <w:spacing w:after="0" w:line="228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Ing. Pavel Švagr, CSc.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předseda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7.pt;margin-top:1.pt;width:113.3pt;height:27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Ing. Pavel Švagr, CSc.</w:t>
                        <w:br/>
                      </w:r>
                      <w:r>
                        <w:rPr>
                          <w:rStyle w:val="CharStyle13"/>
                          <w:sz w:val="20"/>
                          <w:szCs w:val="20"/>
                        </w:rPr>
                        <w:t>předseda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DC420E" w:rsidRDefault="001A2B05">
      <w:pPr>
        <w:pStyle w:val="Zkladntext1"/>
        <w:spacing w:after="0" w:line="228" w:lineRule="auto"/>
        <w:jc w:val="center"/>
        <w:rPr>
          <w:sz w:val="20"/>
          <w:szCs w:val="20"/>
        </w:rPr>
      </w:pPr>
      <w:r>
        <w:rPr>
          <w:rStyle w:val="Zkladntext"/>
          <w:b/>
          <w:bCs/>
        </w:rPr>
        <w:t>MUDr. Ladislav Václavec, MBA</w:t>
      </w:r>
      <w:r>
        <w:rPr>
          <w:rStyle w:val="Zkladntext"/>
          <w:b/>
          <w:bCs/>
        </w:rPr>
        <w:br/>
      </w:r>
      <w:r>
        <w:rPr>
          <w:rStyle w:val="Zkladntext"/>
          <w:sz w:val="20"/>
          <w:szCs w:val="20"/>
        </w:rPr>
        <w:t>ředitel</w:t>
      </w:r>
      <w:r>
        <w:br w:type="page"/>
      </w:r>
    </w:p>
    <w:p w:rsidR="00DC420E" w:rsidRDefault="001A2B05">
      <w:pPr>
        <w:pStyle w:val="Titulektabulky0"/>
        <w:ind w:left="696"/>
      </w:pPr>
      <w:r>
        <w:rPr>
          <w:rStyle w:val="Titulektabulky"/>
          <w:b/>
          <w:bCs/>
        </w:rPr>
        <w:lastRenderedPageBreak/>
        <w:t>Příloha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178"/>
        <w:gridCol w:w="624"/>
        <w:gridCol w:w="1262"/>
        <w:gridCol w:w="1560"/>
        <w:gridCol w:w="989"/>
        <w:gridCol w:w="821"/>
        <w:gridCol w:w="1152"/>
      </w:tblGrid>
      <w:tr w:rsidR="00DC420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Název věci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Počet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bottom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Evidenční cena v Kč/MJ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S/N; výrobní číslo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SKP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Index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Sklad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201012182549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Středisko Soběslav - pobočka Sedlčany (33500001), NCZHP Olomouc (33506794)</w:t>
            </w:r>
          </w:p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201021188656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201021188791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Přístroj na </w:t>
            </w:r>
            <w:r>
              <w:rPr>
                <w:rStyle w:val="Jin"/>
                <w:sz w:val="22"/>
                <w:szCs w:val="22"/>
              </w:rPr>
              <w:t>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201021188789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201020188266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201111203094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201111203227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na podporu dýchání AIRVO2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164 950,00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201111203072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pro neinvazivní plicní ventilaci 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ASNL 1107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pro neinvazivní plicní ventilaci 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ASNL 1395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pro neinvazivní plicní ventilaci 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ASNL 1381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pro neinvazivní plicní ventilaci 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ASNL 1378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Přístroj pro neinvazivní plicní ventilaci </w:t>
            </w:r>
            <w:r>
              <w:rPr>
                <w:rStyle w:val="Jin"/>
                <w:sz w:val="22"/>
                <w:szCs w:val="22"/>
              </w:rPr>
              <w:t>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ASNL 1476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  <w:tr w:rsidR="00DC420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20E" w:rsidRDefault="001A2B05">
            <w:pPr>
              <w:pStyle w:val="Jin0"/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Přístroj pro neinvazivní plicní ventilaci Savina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ASNM 0365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33101600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20E" w:rsidRDefault="001A2B05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0E" w:rsidRDefault="00DC420E"/>
        </w:tc>
      </w:tr>
    </w:tbl>
    <w:p w:rsidR="00DC420E" w:rsidRDefault="001A2B05">
      <w:pPr>
        <w:pStyle w:val="Titulektabulky0"/>
        <w:tabs>
          <w:tab w:val="left" w:pos="6115"/>
        </w:tabs>
        <w:ind w:left="1464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Evidenční cena celkem v Kč:</w:t>
      </w:r>
      <w:r>
        <w:rPr>
          <w:rStyle w:val="Titulektabulky"/>
          <w:b/>
          <w:bCs/>
          <w:sz w:val="22"/>
          <w:szCs w:val="22"/>
        </w:rPr>
        <w:tab/>
        <w:t>3 473 950,00</w:t>
      </w:r>
    </w:p>
    <w:sectPr w:rsidR="00DC420E">
      <w:type w:val="continuous"/>
      <w:pgSz w:w="11900" w:h="16840"/>
      <w:pgMar w:top="961" w:right="1117" w:bottom="6833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05" w:rsidRDefault="001A2B05">
      <w:r>
        <w:separator/>
      </w:r>
    </w:p>
  </w:endnote>
  <w:endnote w:type="continuationSeparator" w:id="0">
    <w:p w:rsidR="001A2B05" w:rsidRDefault="001A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0E" w:rsidRDefault="001A2B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3484245</wp:posOffset>
              </wp:positionH>
              <wp:positionV relativeFrom="page">
                <wp:posOffset>10380345</wp:posOffset>
              </wp:positionV>
              <wp:extent cx="6413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420E" w:rsidRDefault="001A2B05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24A93" w:rsidRPr="00A24A93">
                            <w:rPr>
                              <w:rStyle w:val="Zhlavnebozpat2"/>
                              <w:rFonts w:ascii="Garamond" w:eastAsia="Garamond" w:hAnsi="Garamond" w:cs="Garamond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74.35pt;margin-top:817.35pt;width:5.0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" filled="f" stroked="f">
              <v:textbox style="mso-fit-shape-to-text:t" inset="0,0,0,0">
                <w:txbxContent>
                  <w:p w:rsidR="00DC420E" w:rsidRDefault="001A2B05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24A93" w:rsidRPr="00A24A93">
                      <w:rPr>
                        <w:rStyle w:val="Zhlavnebozpat2"/>
                        <w:rFonts w:ascii="Garamond" w:eastAsia="Garamond" w:hAnsi="Garamond" w:cs="Garamond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Zhlavnebozpat2"/>
                        <w:rFonts w:ascii="Garamond" w:eastAsia="Garamond" w:hAnsi="Garamond" w:cs="Garamond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0E" w:rsidRDefault="001A2B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3495040</wp:posOffset>
              </wp:positionH>
              <wp:positionV relativeFrom="page">
                <wp:posOffset>9984105</wp:posOffset>
              </wp:positionV>
              <wp:extent cx="4254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420E" w:rsidRDefault="001A2B05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24A93" w:rsidRPr="00A24A93">
                            <w:rPr>
                              <w:rStyle w:val="Zhlavnebozpat2"/>
                              <w:rFonts w:ascii="Garamond" w:eastAsia="Garamond" w:hAnsi="Garamond" w:cs="Garamond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75.2pt;margin-top:786.15pt;width:3.3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" filled="f" stroked="f">
              <v:textbox style="mso-fit-shape-to-text:t" inset="0,0,0,0">
                <w:txbxContent>
                  <w:p w:rsidR="00DC420E" w:rsidRDefault="001A2B05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24A93" w:rsidRPr="00A24A93">
                      <w:rPr>
                        <w:rStyle w:val="Zhlavnebozpat2"/>
                        <w:rFonts w:ascii="Garamond" w:eastAsia="Garamond" w:hAnsi="Garamond" w:cs="Garamond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Zhlavnebozpat2"/>
                        <w:rFonts w:ascii="Garamond" w:eastAsia="Garamond" w:hAnsi="Garamond" w:cs="Garamond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05" w:rsidRDefault="001A2B05"/>
  </w:footnote>
  <w:footnote w:type="continuationSeparator" w:id="0">
    <w:p w:rsidR="001A2B05" w:rsidRDefault="001A2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0E" w:rsidRDefault="00DC420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0E" w:rsidRDefault="001A2B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41275</wp:posOffset>
              </wp:positionV>
              <wp:extent cx="107569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420E" w:rsidRDefault="001A2B05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KRN/DH/3/2025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1.69999999999999pt;margin-top:3.25pt;width:84.700000000000003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KRN/DH/3/2025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2F4"/>
    <w:multiLevelType w:val="multilevel"/>
    <w:tmpl w:val="8370CCF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F2CA1"/>
    <w:multiLevelType w:val="multilevel"/>
    <w:tmpl w:val="CD167A5E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301CF"/>
    <w:multiLevelType w:val="multilevel"/>
    <w:tmpl w:val="0004EC4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24729A"/>
    <w:multiLevelType w:val="multilevel"/>
    <w:tmpl w:val="B9E2A6D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B7449"/>
    <w:multiLevelType w:val="multilevel"/>
    <w:tmpl w:val="BD86762E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E"/>
    <w:rsid w:val="001A2B05"/>
    <w:rsid w:val="00A24A93"/>
    <w:rsid w:val="00D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77DA"/>
  <w15:docId w15:val="{BBF236DB-12C0-4F31-A659-97D77696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480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Garamond" w:eastAsia="Garamond" w:hAnsi="Garamond" w:cs="Garamond"/>
      <w:b/>
      <w:bCs/>
    </w:rPr>
  </w:style>
  <w:style w:type="paragraph" w:customStyle="1" w:styleId="Jin0">
    <w:name w:val="Jiné"/>
    <w:basedOn w:val="Normln"/>
    <w:link w:val="Jin"/>
    <w:pPr>
      <w:spacing w:after="200"/>
    </w:pPr>
    <w:rPr>
      <w:rFonts w:ascii="Garamond" w:eastAsia="Garamond" w:hAnsi="Garamond" w:cs="Garamond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Garamond" w:eastAsia="Garamond" w:hAnsi="Garamond" w:cs="Garamond"/>
    </w:rPr>
  </w:style>
  <w:style w:type="paragraph" w:customStyle="1" w:styleId="Nadpis20">
    <w:name w:val="Nadpis #2"/>
    <w:basedOn w:val="Normln"/>
    <w:link w:val="Nadpis2"/>
    <w:pPr>
      <w:spacing w:after="220"/>
      <w:jc w:val="center"/>
      <w:outlineLvl w:val="1"/>
    </w:pPr>
    <w:rPr>
      <w:rFonts w:ascii="Garamond" w:eastAsia="Garamond" w:hAnsi="Garamond" w:cs="Garamond"/>
      <w:b/>
      <w:bCs/>
    </w:rPr>
  </w:style>
  <w:style w:type="paragraph" w:customStyle="1" w:styleId="Zkladntext40">
    <w:name w:val="Základní text (4)"/>
    <w:basedOn w:val="Normln"/>
    <w:link w:val="Zkladntext4"/>
    <w:pPr>
      <w:spacing w:line="286" w:lineRule="auto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line="319" w:lineRule="auto"/>
      <w:ind w:firstLine="640"/>
    </w:pPr>
    <w:rPr>
      <w:rFonts w:ascii="Times New Roman" w:eastAsia="Times New Roman" w:hAnsi="Times New Roman" w:cs="Times New Roman"/>
      <w:color w:val="212121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293" w:lineRule="auto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24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_oph@sshr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Čepová Gabriela</dc:creator>
  <cp:keywords/>
  <cp:lastModifiedBy>Čepová Gabriela</cp:lastModifiedBy>
  <cp:revision>2</cp:revision>
  <dcterms:created xsi:type="dcterms:W3CDTF">2025-06-13T11:28:00Z</dcterms:created>
  <dcterms:modified xsi:type="dcterms:W3CDTF">2025-06-13T11:28:00Z</dcterms:modified>
</cp:coreProperties>
</file>