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6B37" w14:textId="77777777" w:rsidR="00492FB0" w:rsidRDefault="00492FB0" w:rsidP="00030A3A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030A3A">
        <w:rPr>
          <w:rFonts w:ascii="Arial" w:hAnsi="Arial" w:cs="Arial"/>
          <w:bCs/>
          <w:sz w:val="18"/>
          <w:szCs w:val="18"/>
        </w:rPr>
        <w:tab/>
      </w:r>
      <w:r w:rsidR="00030A3A">
        <w:rPr>
          <w:rFonts w:ascii="Arial" w:hAnsi="Arial" w:cs="Arial"/>
          <w:bCs/>
          <w:sz w:val="18"/>
          <w:szCs w:val="18"/>
        </w:rPr>
        <w:tab/>
      </w:r>
      <w:r w:rsidR="00030A3A">
        <w:rPr>
          <w:rFonts w:ascii="Arial" w:hAnsi="Arial" w:cs="Arial"/>
          <w:bCs/>
          <w:sz w:val="18"/>
          <w:szCs w:val="18"/>
        </w:rPr>
        <w:tab/>
      </w:r>
      <w:r w:rsidR="005B2FD4">
        <w:rPr>
          <w:rFonts w:ascii="Arial" w:hAnsi="Arial" w:cs="Arial"/>
          <w:bCs/>
          <w:sz w:val="18"/>
          <w:szCs w:val="18"/>
        </w:rPr>
        <w:t xml:space="preserve">č.j. </w:t>
      </w:r>
      <w:r w:rsidR="005B2FD4" w:rsidRPr="005B2FD4">
        <w:rPr>
          <w:rFonts w:ascii="Arial" w:hAnsi="Arial" w:cs="Arial"/>
          <w:bCs/>
          <w:sz w:val="18"/>
          <w:szCs w:val="18"/>
        </w:rPr>
        <w:t xml:space="preserve">SPU </w:t>
      </w:r>
      <w:r w:rsidR="002237BA">
        <w:rPr>
          <w:rFonts w:ascii="Arial" w:hAnsi="Arial" w:cs="Arial"/>
          <w:bCs/>
          <w:sz w:val="18"/>
          <w:szCs w:val="18"/>
        </w:rPr>
        <w:t>211541</w:t>
      </w:r>
      <w:r w:rsidR="005B2FD4" w:rsidRPr="005B2FD4">
        <w:rPr>
          <w:rFonts w:ascii="Arial" w:hAnsi="Arial" w:cs="Arial"/>
          <w:bCs/>
          <w:sz w:val="18"/>
          <w:szCs w:val="18"/>
        </w:rPr>
        <w:t>/</w:t>
      </w:r>
      <w:r w:rsidR="00A10D84">
        <w:rPr>
          <w:rFonts w:ascii="Arial" w:hAnsi="Arial" w:cs="Arial"/>
          <w:bCs/>
          <w:sz w:val="18"/>
          <w:szCs w:val="18"/>
        </w:rPr>
        <w:t>202</w:t>
      </w:r>
      <w:r w:rsidR="009E0DD7">
        <w:rPr>
          <w:rFonts w:ascii="Arial" w:hAnsi="Arial" w:cs="Arial"/>
          <w:bCs/>
          <w:sz w:val="18"/>
          <w:szCs w:val="18"/>
        </w:rPr>
        <w:t>5</w:t>
      </w:r>
      <w:r w:rsidR="005B2FD4" w:rsidRPr="005B2FD4">
        <w:rPr>
          <w:rFonts w:ascii="Arial" w:hAnsi="Arial" w:cs="Arial"/>
          <w:bCs/>
          <w:sz w:val="18"/>
          <w:szCs w:val="18"/>
        </w:rPr>
        <w:t>/129/Bob.</w:t>
      </w:r>
    </w:p>
    <w:p w14:paraId="1016E4EA" w14:textId="77777777" w:rsidR="00030A3A" w:rsidRPr="00492FB0" w:rsidRDefault="00030A3A" w:rsidP="00030A3A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UID: spues</w:t>
      </w:r>
      <w:r w:rsidR="00A00308">
        <w:rPr>
          <w:rFonts w:ascii="Arial" w:hAnsi="Arial" w:cs="Arial"/>
          <w:bCs/>
          <w:sz w:val="18"/>
          <w:szCs w:val="18"/>
        </w:rPr>
        <w:t>s</w:t>
      </w:r>
      <w:r w:rsidR="002237BA">
        <w:rPr>
          <w:rFonts w:ascii="Arial" w:hAnsi="Arial" w:cs="Arial"/>
          <w:bCs/>
          <w:sz w:val="18"/>
          <w:szCs w:val="18"/>
        </w:rPr>
        <w:t>98011e96</w:t>
      </w:r>
    </w:p>
    <w:p w14:paraId="5958A6DE" w14:textId="77777777" w:rsidR="00770663" w:rsidRPr="00FC5C99" w:rsidRDefault="00770663" w:rsidP="003E6263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850D2">
        <w:rPr>
          <w:rFonts w:ascii="Arial" w:hAnsi="Arial" w:cs="Arial"/>
          <w:b/>
          <w:sz w:val="32"/>
          <w:szCs w:val="32"/>
        </w:rPr>
        <w:t>1</w:t>
      </w:r>
    </w:p>
    <w:p w14:paraId="390685E4" w14:textId="77777777" w:rsidR="00770663" w:rsidRPr="00FC5C99" w:rsidRDefault="00770663" w:rsidP="003E626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143F98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84E1A">
        <w:rPr>
          <w:rFonts w:ascii="Arial" w:hAnsi="Arial" w:cs="Arial"/>
          <w:b/>
          <w:sz w:val="32"/>
          <w:szCs w:val="32"/>
        </w:rPr>
        <w:t>77N23/67</w:t>
      </w:r>
    </w:p>
    <w:p w14:paraId="4A4B3D3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3793CF4" w14:textId="77777777" w:rsidR="007F71DA" w:rsidRPr="00C55134" w:rsidRDefault="007F71DA" w:rsidP="007F71D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D2436C8" w14:textId="77777777" w:rsidR="007F71DA" w:rsidRPr="00C55134" w:rsidRDefault="007F71DA" w:rsidP="007F71D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1565DD7" w14:textId="77777777" w:rsidR="007F71DA" w:rsidRPr="00C55134" w:rsidRDefault="007F71DA" w:rsidP="007F71D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95ACA03" w14:textId="77777777" w:rsidR="007F71DA" w:rsidRPr="00C55134" w:rsidRDefault="007F71DA" w:rsidP="007F71DA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B04A4D0" w14:textId="77777777" w:rsidR="007F71DA" w:rsidRPr="00C55134" w:rsidRDefault="007F71DA" w:rsidP="007F71D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C33A398" w14:textId="77777777" w:rsidR="007F71DA" w:rsidRPr="00C55134" w:rsidRDefault="007F71DA" w:rsidP="007F71D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5417C493" w14:textId="77777777" w:rsidR="007F71DA" w:rsidRPr="00C55134" w:rsidRDefault="007F71DA" w:rsidP="007F71D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EDD2ABF" w14:textId="77777777" w:rsidR="007F71DA" w:rsidRPr="001A3A9C" w:rsidRDefault="007F71DA" w:rsidP="007F71DA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5BDB813" w14:textId="77777777" w:rsidR="007F71DA" w:rsidRPr="00C55134" w:rsidRDefault="007F71DA" w:rsidP="007F71D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A4BB72D" w14:textId="77777777" w:rsidR="007F71DA" w:rsidRPr="00C55134" w:rsidRDefault="007F71DA" w:rsidP="007F71D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5BF0002" w14:textId="77777777" w:rsidR="007F71DA" w:rsidRDefault="007F71DA" w:rsidP="008314F7">
      <w:pPr>
        <w:jc w:val="both"/>
        <w:rPr>
          <w:rFonts w:ascii="Arial" w:hAnsi="Arial" w:cs="Arial"/>
          <w:sz w:val="22"/>
          <w:szCs w:val="22"/>
        </w:rPr>
      </w:pPr>
    </w:p>
    <w:p w14:paraId="5B700B37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A11D9D"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746B298C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25E7A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F33EA6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5B5106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42C065" w14:textId="77777777" w:rsidR="00334C3C" w:rsidRPr="00AA3996" w:rsidRDefault="00334C3C" w:rsidP="00334C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51DBA407" w14:textId="77777777" w:rsidR="00334C3C" w:rsidRPr="001346A9" w:rsidRDefault="00334C3C" w:rsidP="00334C3C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7230895D" w14:textId="77777777" w:rsidR="00334C3C" w:rsidRPr="001346A9" w:rsidRDefault="00334C3C" w:rsidP="00334C3C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4B12B968" w14:textId="6BE69999" w:rsidR="00334C3C" w:rsidRPr="001346A9" w:rsidRDefault="00334C3C" w:rsidP="00334C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Adam Zacharda, dat. nar. </w:t>
      </w:r>
      <w:r w:rsidR="0004560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04560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</w:t>
      </w:r>
      <w:r w:rsidR="000456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  <w:r>
        <w:rPr>
          <w:rFonts w:ascii="Arial" w:hAnsi="Arial" w:cs="Arial"/>
          <w:sz w:val="22"/>
          <w:szCs w:val="22"/>
        </w:rPr>
        <w:t xml:space="preserve"> zastoupen na základě plné moci panem Ing. Petrem </w:t>
      </w:r>
      <w:proofErr w:type="spellStart"/>
      <w:r>
        <w:rPr>
          <w:rFonts w:ascii="Arial" w:hAnsi="Arial" w:cs="Arial"/>
          <w:sz w:val="22"/>
          <w:szCs w:val="22"/>
        </w:rPr>
        <w:t>Zachardou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04560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045607">
        <w:rPr>
          <w:rFonts w:ascii="Arial" w:hAnsi="Arial" w:cs="Arial"/>
          <w:sz w:val="22"/>
          <w:szCs w:val="22"/>
        </w:rPr>
        <w:t xml:space="preserve">XXX  </w:t>
      </w:r>
      <w:r>
        <w:rPr>
          <w:rFonts w:ascii="Arial" w:hAnsi="Arial" w:cs="Arial"/>
          <w:sz w:val="22"/>
          <w:szCs w:val="22"/>
        </w:rPr>
        <w:t xml:space="preserve"> Karlovy Vary</w:t>
      </w:r>
    </w:p>
    <w:p w14:paraId="285FB81A" w14:textId="77777777" w:rsidR="00AA6929" w:rsidRDefault="00AA6929" w:rsidP="00AA6929">
      <w:pPr>
        <w:pStyle w:val="Zkladntext3"/>
        <w:rPr>
          <w:rFonts w:ascii="Arial" w:hAnsi="Arial" w:cs="Arial"/>
          <w:sz w:val="22"/>
          <w:szCs w:val="22"/>
        </w:rPr>
      </w:pPr>
    </w:p>
    <w:p w14:paraId="7B2697CE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A11D9D">
        <w:rPr>
          <w:rFonts w:ascii="Arial" w:hAnsi="Arial" w:cs="Arial"/>
          <w:sz w:val="22"/>
          <w:szCs w:val="22"/>
        </w:rPr>
        <w:t>nájemce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129ABC4A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5361F8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8634952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4007DC5" w14:textId="77777777" w:rsidR="007F71DA" w:rsidRPr="009E0DD7" w:rsidRDefault="002D41FD" w:rsidP="002B40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C850D2">
        <w:rPr>
          <w:rFonts w:ascii="Arial" w:hAnsi="Arial" w:cs="Arial"/>
          <w:sz w:val="22"/>
          <w:szCs w:val="22"/>
        </w:rPr>
        <w:t>1</w:t>
      </w:r>
      <w:r w:rsidR="007F71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FC5C99">
        <w:rPr>
          <w:rFonts w:ascii="Arial" w:hAnsi="Arial" w:cs="Arial"/>
          <w:sz w:val="22"/>
          <w:szCs w:val="22"/>
        </w:rPr>
        <w:t xml:space="preserve">k  </w:t>
      </w:r>
      <w:r w:rsidR="00143F98">
        <w:rPr>
          <w:rFonts w:ascii="Arial" w:hAnsi="Arial" w:cs="Arial"/>
          <w:sz w:val="22"/>
          <w:szCs w:val="22"/>
        </w:rPr>
        <w:t>nájemní</w:t>
      </w:r>
      <w:proofErr w:type="gramEnd"/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334C3C">
        <w:rPr>
          <w:rFonts w:ascii="Arial" w:hAnsi="Arial" w:cs="Arial"/>
          <w:sz w:val="22"/>
          <w:szCs w:val="22"/>
        </w:rPr>
        <w:t>77N23/67</w:t>
      </w:r>
      <w:r w:rsidR="007F71DA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7F71DA">
        <w:rPr>
          <w:rFonts w:ascii="Arial" w:hAnsi="Arial" w:cs="Arial"/>
          <w:sz w:val="22"/>
          <w:szCs w:val="22"/>
        </w:rPr>
        <w:t xml:space="preserve"> </w:t>
      </w:r>
      <w:r w:rsidR="00334C3C">
        <w:rPr>
          <w:rFonts w:ascii="Arial" w:hAnsi="Arial" w:cs="Arial"/>
          <w:sz w:val="22"/>
          <w:szCs w:val="22"/>
        </w:rPr>
        <w:t>14. 12. 2023</w:t>
      </w:r>
      <w:r w:rsidR="00C850D2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</w:t>
      </w:r>
      <w:r w:rsidR="00410B07">
        <w:rPr>
          <w:rFonts w:ascii="Arial" w:hAnsi="Arial" w:cs="Arial"/>
          <w:sz w:val="22"/>
          <w:szCs w:val="22"/>
        </w:rPr>
        <w:t xml:space="preserve"> dochází </w:t>
      </w:r>
      <w:r w:rsidR="00C4337F" w:rsidRPr="009E0DD7">
        <w:rPr>
          <w:rFonts w:ascii="Arial" w:hAnsi="Arial" w:cs="Arial"/>
          <w:b/>
          <w:bCs/>
          <w:sz w:val="22"/>
          <w:szCs w:val="22"/>
        </w:rPr>
        <w:t>k úpravě</w:t>
      </w:r>
      <w:r w:rsidR="00410B07" w:rsidRPr="009E0DD7">
        <w:rPr>
          <w:rFonts w:ascii="Arial" w:hAnsi="Arial" w:cs="Arial"/>
          <w:b/>
          <w:bCs/>
          <w:sz w:val="22"/>
          <w:szCs w:val="22"/>
        </w:rPr>
        <w:t xml:space="preserve"> výše ročního nájemného</w:t>
      </w:r>
      <w:r w:rsidR="009E0DD7" w:rsidRPr="009E0DD7">
        <w:rPr>
          <w:rFonts w:ascii="Arial" w:hAnsi="Arial" w:cs="Arial"/>
          <w:b/>
          <w:bCs/>
          <w:sz w:val="22"/>
          <w:szCs w:val="22"/>
        </w:rPr>
        <w:t xml:space="preserve"> </w:t>
      </w:r>
      <w:r w:rsidR="00C4337F" w:rsidRPr="009E0DD7">
        <w:rPr>
          <w:rFonts w:ascii="Arial" w:hAnsi="Arial" w:cs="Arial"/>
          <w:b/>
          <w:bCs/>
          <w:sz w:val="22"/>
          <w:szCs w:val="22"/>
        </w:rPr>
        <w:t>z důvodu aktualizace nájemní smlouvy</w:t>
      </w:r>
      <w:r w:rsidR="00334C3C">
        <w:rPr>
          <w:rFonts w:ascii="Arial" w:hAnsi="Arial" w:cs="Arial"/>
          <w:b/>
          <w:bCs/>
          <w:sz w:val="22"/>
          <w:szCs w:val="22"/>
        </w:rPr>
        <w:t>, na základě schváleného postupu Státního pozemkového úřadu.</w:t>
      </w:r>
    </w:p>
    <w:p w14:paraId="11E5C423" w14:textId="77777777" w:rsidR="00F16C44" w:rsidRDefault="00F16C44" w:rsidP="002B408A">
      <w:pPr>
        <w:jc w:val="both"/>
        <w:rPr>
          <w:rFonts w:ascii="Arial" w:hAnsi="Arial" w:cs="Arial"/>
          <w:bCs/>
          <w:sz w:val="22"/>
          <w:szCs w:val="22"/>
        </w:rPr>
      </w:pPr>
    </w:p>
    <w:p w14:paraId="36A236D3" w14:textId="77777777" w:rsidR="00410B07" w:rsidRDefault="00410B07" w:rsidP="00410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9A4FF1">
        <w:rPr>
          <w:rFonts w:ascii="Arial" w:hAnsi="Arial" w:cs="Arial"/>
          <w:sz w:val="22"/>
          <w:szCs w:val="22"/>
        </w:rPr>
        <w:t xml:space="preserve">. </w:t>
      </w:r>
      <w:r w:rsidR="000002B8">
        <w:rPr>
          <w:rFonts w:ascii="Arial" w:hAnsi="Arial" w:cs="Arial"/>
          <w:sz w:val="22"/>
          <w:szCs w:val="22"/>
        </w:rPr>
        <w:t xml:space="preserve">Nájemce je povinen platit pronajímateli roční nájemné ve výši </w:t>
      </w:r>
      <w:r w:rsidR="00334C3C">
        <w:rPr>
          <w:rFonts w:ascii="Arial" w:hAnsi="Arial" w:cs="Arial"/>
          <w:sz w:val="22"/>
          <w:szCs w:val="22"/>
        </w:rPr>
        <w:t>22 410</w:t>
      </w:r>
      <w:r w:rsidR="000002B8">
        <w:rPr>
          <w:rFonts w:ascii="Arial" w:hAnsi="Arial" w:cs="Arial"/>
          <w:sz w:val="22"/>
          <w:szCs w:val="22"/>
        </w:rPr>
        <w:t xml:space="preserve"> Kč (slovy: </w:t>
      </w:r>
      <w:r w:rsidR="00334C3C">
        <w:rPr>
          <w:rFonts w:ascii="Arial" w:hAnsi="Arial" w:cs="Arial"/>
          <w:sz w:val="22"/>
          <w:szCs w:val="22"/>
        </w:rPr>
        <w:t>dvacet dva</w:t>
      </w:r>
      <w:r w:rsidR="009E0DD7">
        <w:rPr>
          <w:rFonts w:ascii="Arial" w:hAnsi="Arial" w:cs="Arial"/>
          <w:sz w:val="22"/>
          <w:szCs w:val="22"/>
        </w:rPr>
        <w:t xml:space="preserve"> tisíc</w:t>
      </w:r>
      <w:r w:rsidR="00334C3C">
        <w:rPr>
          <w:rFonts w:ascii="Arial" w:hAnsi="Arial" w:cs="Arial"/>
          <w:sz w:val="22"/>
          <w:szCs w:val="22"/>
        </w:rPr>
        <w:t xml:space="preserve"> čtyři sta deset</w:t>
      </w:r>
      <w:r w:rsidR="000002B8">
        <w:rPr>
          <w:rFonts w:ascii="Arial" w:hAnsi="Arial" w:cs="Arial"/>
          <w:sz w:val="22"/>
          <w:szCs w:val="22"/>
        </w:rPr>
        <w:t xml:space="preserve"> korun českých).</w:t>
      </w:r>
    </w:p>
    <w:p w14:paraId="081E1AC4" w14:textId="77777777" w:rsidR="009E0DD7" w:rsidRDefault="009E0DD7" w:rsidP="00410B07">
      <w:pPr>
        <w:jc w:val="both"/>
        <w:rPr>
          <w:rFonts w:ascii="Arial" w:hAnsi="Arial" w:cs="Arial"/>
          <w:sz w:val="22"/>
          <w:szCs w:val="22"/>
        </w:rPr>
      </w:pPr>
    </w:p>
    <w:p w14:paraId="05F58A14" w14:textId="77777777" w:rsidR="00410B07" w:rsidRDefault="00334C3C" w:rsidP="00410B0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. Smluvní strany se dohodly na tom, že </w:t>
      </w:r>
      <w:r w:rsidR="000002B8">
        <w:rPr>
          <w:rFonts w:ascii="Arial" w:hAnsi="Arial" w:cs="Arial"/>
          <w:b/>
          <w:bCs/>
          <w:sz w:val="22"/>
          <w:szCs w:val="22"/>
        </w:rPr>
        <w:t>nájemné</w:t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 specifikované v bodě 1. tohoto dodatku</w:t>
      </w:r>
      <w:r>
        <w:rPr>
          <w:rFonts w:ascii="Arial" w:hAnsi="Arial" w:cs="Arial"/>
          <w:b/>
          <w:bCs/>
          <w:sz w:val="22"/>
          <w:szCs w:val="22"/>
        </w:rPr>
        <w:t xml:space="preserve"> (roční nájemné)</w:t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 bude</w:t>
      </w:r>
      <w:r w:rsidR="009E0DD7">
        <w:rPr>
          <w:rFonts w:ascii="Arial" w:hAnsi="Arial" w:cs="Arial"/>
          <w:b/>
          <w:bCs/>
          <w:sz w:val="22"/>
          <w:szCs w:val="22"/>
        </w:rPr>
        <w:t xml:space="preserve"> z výše uvedených důvodů</w:t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navýšeno</w:t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 </w:t>
      </w:r>
      <w:r w:rsidR="002237BA">
        <w:rPr>
          <w:rFonts w:ascii="Arial" w:hAnsi="Arial" w:cs="Arial"/>
          <w:b/>
          <w:bCs/>
          <w:sz w:val="22"/>
          <w:szCs w:val="22"/>
        </w:rPr>
        <w:br/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na částku </w:t>
      </w:r>
      <w:r>
        <w:rPr>
          <w:rFonts w:ascii="Arial" w:hAnsi="Arial" w:cs="Arial"/>
          <w:b/>
          <w:bCs/>
          <w:sz w:val="22"/>
          <w:szCs w:val="22"/>
        </w:rPr>
        <w:t>44 820</w:t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 Kč (slovy: </w:t>
      </w:r>
      <w:r>
        <w:rPr>
          <w:rFonts w:ascii="Arial" w:hAnsi="Arial" w:cs="Arial"/>
          <w:b/>
          <w:bCs/>
          <w:sz w:val="22"/>
          <w:szCs w:val="22"/>
        </w:rPr>
        <w:t>čtyřicet čtyři tisíc osm set dvacet</w:t>
      </w:r>
      <w:r w:rsidR="00410B07" w:rsidRPr="00E022DA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37BECF92" w14:textId="77777777" w:rsidR="00334C3C" w:rsidRDefault="00334C3C" w:rsidP="00410B0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2DF79F" w14:textId="77777777" w:rsidR="00410B07" w:rsidRDefault="00410B07" w:rsidP="00410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Viz. příloha tohoto dodatku – příloha </w:t>
      </w:r>
      <w:r w:rsidR="000002B8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334C3C">
        <w:rPr>
          <w:rFonts w:ascii="Arial" w:hAnsi="Arial" w:cs="Arial"/>
          <w:sz w:val="22"/>
          <w:szCs w:val="22"/>
        </w:rPr>
        <w:t>77N23/67</w:t>
      </w:r>
      <w:r>
        <w:rPr>
          <w:rFonts w:ascii="Arial" w:hAnsi="Arial" w:cs="Arial"/>
          <w:sz w:val="22"/>
          <w:szCs w:val="22"/>
        </w:rPr>
        <w:t>.</w:t>
      </w:r>
    </w:p>
    <w:p w14:paraId="34815199" w14:textId="77777777" w:rsidR="000002B8" w:rsidRDefault="000002B8" w:rsidP="00410B07">
      <w:pPr>
        <w:jc w:val="both"/>
        <w:rPr>
          <w:rFonts w:ascii="Arial" w:hAnsi="Arial" w:cs="Arial"/>
          <w:sz w:val="22"/>
          <w:szCs w:val="22"/>
        </w:rPr>
      </w:pPr>
    </w:p>
    <w:p w14:paraId="60243552" w14:textId="77777777" w:rsidR="000002B8" w:rsidRPr="00ED2CE5" w:rsidRDefault="00ED2CE5" w:rsidP="00410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byla stanovena na 2 Kč/m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(v souladu s MP cena za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– pozemek v rámci zemědělského areálu – </w:t>
      </w:r>
      <w:r w:rsidR="009E0DD7">
        <w:rPr>
          <w:rFonts w:ascii="Arial" w:hAnsi="Arial" w:cs="Arial"/>
          <w:sz w:val="22"/>
          <w:szCs w:val="22"/>
        </w:rPr>
        <w:t>uskladnění zem. výrobků, plocha okolo zem. stav</w:t>
      </w:r>
      <w:r w:rsidR="00334C3C">
        <w:rPr>
          <w:rFonts w:ascii="Arial" w:hAnsi="Arial" w:cs="Arial"/>
          <w:sz w:val="22"/>
          <w:szCs w:val="22"/>
        </w:rPr>
        <w:t>eb v</w:t>
      </w:r>
      <w:r w:rsidR="002237BA">
        <w:rPr>
          <w:rFonts w:ascii="Arial" w:hAnsi="Arial" w:cs="Arial"/>
          <w:sz w:val="22"/>
          <w:szCs w:val="22"/>
        </w:rPr>
        <w:t> </w:t>
      </w:r>
      <w:r w:rsidR="00334C3C">
        <w:rPr>
          <w:rFonts w:ascii="Arial" w:hAnsi="Arial" w:cs="Arial"/>
          <w:sz w:val="22"/>
          <w:szCs w:val="22"/>
        </w:rPr>
        <w:t>areálu</w:t>
      </w:r>
      <w:r w:rsidR="002237BA">
        <w:rPr>
          <w:rFonts w:ascii="Arial" w:hAnsi="Arial" w:cs="Arial"/>
          <w:sz w:val="22"/>
          <w:szCs w:val="22"/>
        </w:rPr>
        <w:t>, provozování zem. výroby</w:t>
      </w:r>
      <w:r w:rsidR="009E0DD7">
        <w:rPr>
          <w:rFonts w:ascii="Arial" w:hAnsi="Arial" w:cs="Arial"/>
          <w:sz w:val="22"/>
          <w:szCs w:val="22"/>
        </w:rPr>
        <w:t>)</w:t>
      </w:r>
    </w:p>
    <w:p w14:paraId="681E635A" w14:textId="77777777" w:rsidR="00410B07" w:rsidRPr="007F676B" w:rsidRDefault="00410B07" w:rsidP="00410B0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D6685B" w14:textId="77777777" w:rsidR="00410B07" w:rsidRDefault="00410B07" w:rsidP="00410B0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022DA">
        <w:rPr>
          <w:rFonts w:ascii="Arial" w:hAnsi="Arial" w:cs="Arial"/>
          <w:b/>
          <w:bCs/>
          <w:sz w:val="22"/>
          <w:szCs w:val="22"/>
        </w:rPr>
        <w:t>K 1. 10. 202</w:t>
      </w:r>
      <w:r w:rsidR="00FC10A6">
        <w:rPr>
          <w:rFonts w:ascii="Arial" w:hAnsi="Arial" w:cs="Arial"/>
          <w:b/>
          <w:bCs/>
          <w:sz w:val="22"/>
          <w:szCs w:val="22"/>
        </w:rPr>
        <w:t>5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b/>
          <w:bCs/>
          <w:sz w:val="22"/>
          <w:szCs w:val="22"/>
        </w:rPr>
        <w:t xml:space="preserve"> ve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výši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 </w:t>
      </w:r>
      <w:r w:rsidR="00334C3C">
        <w:rPr>
          <w:rFonts w:ascii="Arial" w:hAnsi="Arial" w:cs="Arial"/>
          <w:b/>
          <w:bCs/>
          <w:sz w:val="22"/>
          <w:szCs w:val="22"/>
        </w:rPr>
        <w:t>30</w:t>
      </w:r>
      <w:proofErr w:type="gramEnd"/>
      <w:r w:rsidR="00334C3C">
        <w:rPr>
          <w:rFonts w:ascii="Arial" w:hAnsi="Arial" w:cs="Arial"/>
          <w:b/>
          <w:bCs/>
          <w:sz w:val="22"/>
          <w:szCs w:val="22"/>
        </w:rPr>
        <w:t xml:space="preserve"> 146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334C3C">
        <w:rPr>
          <w:rFonts w:ascii="Arial" w:hAnsi="Arial" w:cs="Arial"/>
          <w:b/>
          <w:bCs/>
          <w:sz w:val="22"/>
          <w:szCs w:val="22"/>
        </w:rPr>
        <w:t xml:space="preserve">třicet </w:t>
      </w:r>
      <w:r w:rsidR="00FC10A6">
        <w:rPr>
          <w:rFonts w:ascii="Arial" w:hAnsi="Arial" w:cs="Arial"/>
          <w:b/>
          <w:bCs/>
          <w:sz w:val="22"/>
          <w:szCs w:val="22"/>
        </w:rPr>
        <w:t xml:space="preserve"> tisíc jedno sto </w:t>
      </w:r>
      <w:r w:rsidR="00334C3C">
        <w:rPr>
          <w:rFonts w:ascii="Arial" w:hAnsi="Arial" w:cs="Arial"/>
          <w:b/>
          <w:bCs/>
          <w:sz w:val="22"/>
          <w:szCs w:val="22"/>
        </w:rPr>
        <w:t>čtyřicet šest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6C6E6424" w14:textId="77777777" w:rsidR="00410B07" w:rsidRDefault="00410B07" w:rsidP="00410B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04A74C" w14:textId="77777777" w:rsidR="00410B07" w:rsidRDefault="00410B07" w:rsidP="00410B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Alikvotní část </w:t>
      </w:r>
      <w:proofErr w:type="gramStart"/>
      <w:r w:rsidR="0003116D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 xml:space="preserve"> - výpočet</w:t>
      </w:r>
      <w:proofErr w:type="gramEnd"/>
      <w:r>
        <w:rPr>
          <w:rFonts w:ascii="Arial" w:hAnsi="Arial" w:cs="Arial"/>
          <w:sz w:val="22"/>
          <w:szCs w:val="22"/>
        </w:rPr>
        <w:t xml:space="preserve"> viz. příloha tohoto dodatku – výpočet </w:t>
      </w:r>
      <w:r w:rsidR="0003116D">
        <w:rPr>
          <w:rFonts w:ascii="Arial" w:hAnsi="Arial" w:cs="Arial"/>
          <w:sz w:val="22"/>
          <w:szCs w:val="22"/>
        </w:rPr>
        <w:t>nájmu</w:t>
      </w:r>
      <w:r>
        <w:rPr>
          <w:rFonts w:ascii="Arial" w:hAnsi="Arial" w:cs="Arial"/>
          <w:sz w:val="22"/>
          <w:szCs w:val="22"/>
        </w:rPr>
        <w:t xml:space="preserve"> k dodatku </w:t>
      </w:r>
      <w:r w:rsidR="000311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03116D">
        <w:rPr>
          <w:rFonts w:ascii="Arial" w:hAnsi="Arial" w:cs="Arial"/>
          <w:sz w:val="22"/>
          <w:szCs w:val="22"/>
        </w:rPr>
        <w:t xml:space="preserve">1 nájemní smlouvy č. </w:t>
      </w:r>
      <w:r w:rsidR="00334C3C">
        <w:rPr>
          <w:rFonts w:ascii="Arial" w:hAnsi="Arial" w:cs="Arial"/>
          <w:sz w:val="22"/>
          <w:szCs w:val="22"/>
        </w:rPr>
        <w:t>77N23/67</w:t>
      </w:r>
      <w:r w:rsidR="000311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792EFF0" w14:textId="77777777" w:rsidR="002237BA" w:rsidRPr="00012682" w:rsidRDefault="002237BA" w:rsidP="00410B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0BC885" w14:textId="77777777" w:rsidR="00334C3C" w:rsidRPr="00256E31" w:rsidRDefault="00334C3C" w:rsidP="00334C3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3. Tento dodatek</w:t>
      </w:r>
      <w:r w:rsidRPr="00256E31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256E31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</w:t>
      </w:r>
      <w:r>
        <w:rPr>
          <w:rFonts w:ascii="Arial" w:hAnsi="Arial" w:cs="Arial"/>
          <w:b w:val="0"/>
          <w:sz w:val="22"/>
          <w:szCs w:val="22"/>
        </w:rPr>
        <w:br/>
      </w:r>
      <w:r w:rsidRPr="00256E31">
        <w:rPr>
          <w:rFonts w:ascii="Arial" w:hAnsi="Arial" w:cs="Arial"/>
          <w:b w:val="0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</w:p>
    <w:p w14:paraId="5E18533B" w14:textId="77777777" w:rsidR="00334C3C" w:rsidRPr="00256E31" w:rsidRDefault="00334C3C" w:rsidP="00334C3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256E3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256E31">
        <w:rPr>
          <w:rFonts w:ascii="Arial" w:hAnsi="Arial" w:cs="Arial"/>
          <w:b w:val="0"/>
          <w:sz w:val="22"/>
          <w:szCs w:val="22"/>
        </w:rPr>
        <w:t>.</w:t>
      </w:r>
    </w:p>
    <w:p w14:paraId="663DF21F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7E7A7B" w14:textId="77777777" w:rsidR="004868E7" w:rsidRPr="00FC5C99" w:rsidRDefault="00334C3C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7F71DA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F71D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143F98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143F98">
        <w:rPr>
          <w:rFonts w:ascii="Arial" w:hAnsi="Arial" w:cs="Arial"/>
          <w:b w:val="0"/>
          <w:bCs/>
          <w:sz w:val="22"/>
          <w:szCs w:val="22"/>
        </w:rPr>
        <w:t>pronajímatele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1C2DBE1E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E33B13" w14:textId="77777777" w:rsidR="002D41FD" w:rsidRPr="00FC5C99" w:rsidRDefault="00334C3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55E07E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619451" w14:textId="77777777" w:rsidR="0003116D" w:rsidRDefault="0003116D">
      <w:pPr>
        <w:jc w:val="both"/>
        <w:rPr>
          <w:rFonts w:ascii="Arial" w:hAnsi="Arial" w:cs="Arial"/>
          <w:sz w:val="22"/>
          <w:szCs w:val="22"/>
        </w:rPr>
      </w:pPr>
    </w:p>
    <w:p w14:paraId="71839CC6" w14:textId="19F14B66" w:rsidR="00334C3C" w:rsidRPr="00583105" w:rsidRDefault="00334C3C" w:rsidP="00334C3C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045607">
        <w:rPr>
          <w:rFonts w:ascii="Arial" w:hAnsi="Arial" w:cs="Arial"/>
          <w:sz w:val="22"/>
          <w:szCs w:val="22"/>
        </w:rPr>
        <w:t>13. 6. 2025</w:t>
      </w:r>
    </w:p>
    <w:p w14:paraId="61223E5B" w14:textId="77777777" w:rsidR="00334C3C" w:rsidRPr="00583105" w:rsidRDefault="00334C3C" w:rsidP="00334C3C">
      <w:pPr>
        <w:jc w:val="both"/>
        <w:rPr>
          <w:rFonts w:ascii="Arial" w:hAnsi="Arial" w:cs="Arial"/>
          <w:sz w:val="22"/>
          <w:szCs w:val="22"/>
        </w:rPr>
      </w:pPr>
    </w:p>
    <w:p w14:paraId="79BF0E95" w14:textId="77777777" w:rsidR="00334C3C" w:rsidRDefault="00334C3C" w:rsidP="00334C3C">
      <w:pPr>
        <w:jc w:val="both"/>
        <w:rPr>
          <w:rFonts w:ascii="Arial" w:hAnsi="Arial" w:cs="Arial"/>
          <w:sz w:val="22"/>
          <w:szCs w:val="22"/>
        </w:rPr>
      </w:pPr>
    </w:p>
    <w:p w14:paraId="319F6F0E" w14:textId="77777777" w:rsidR="00334C3C" w:rsidRDefault="00334C3C" w:rsidP="00334C3C">
      <w:pPr>
        <w:jc w:val="both"/>
        <w:rPr>
          <w:rFonts w:ascii="Arial" w:hAnsi="Arial" w:cs="Arial"/>
          <w:sz w:val="22"/>
          <w:szCs w:val="22"/>
        </w:rPr>
      </w:pPr>
    </w:p>
    <w:p w14:paraId="4C74288D" w14:textId="77777777" w:rsidR="00334C3C" w:rsidRDefault="00334C3C" w:rsidP="00334C3C">
      <w:pPr>
        <w:jc w:val="both"/>
        <w:rPr>
          <w:rFonts w:ascii="Arial" w:hAnsi="Arial" w:cs="Arial"/>
          <w:sz w:val="22"/>
          <w:szCs w:val="22"/>
        </w:rPr>
      </w:pPr>
    </w:p>
    <w:p w14:paraId="17DF1008" w14:textId="77777777" w:rsidR="00045607" w:rsidRDefault="00045607" w:rsidP="00334C3C">
      <w:pPr>
        <w:jc w:val="both"/>
        <w:rPr>
          <w:rFonts w:ascii="Arial" w:hAnsi="Arial" w:cs="Arial"/>
          <w:sz w:val="22"/>
          <w:szCs w:val="22"/>
        </w:rPr>
      </w:pPr>
    </w:p>
    <w:p w14:paraId="1F449978" w14:textId="77777777" w:rsidR="00334C3C" w:rsidRPr="00583105" w:rsidRDefault="00334C3C" w:rsidP="00334C3C">
      <w:pPr>
        <w:jc w:val="both"/>
        <w:rPr>
          <w:rFonts w:ascii="Arial" w:hAnsi="Arial" w:cs="Arial"/>
          <w:sz w:val="22"/>
          <w:szCs w:val="22"/>
        </w:rPr>
      </w:pPr>
    </w:p>
    <w:p w14:paraId="25C047D1" w14:textId="77777777" w:rsidR="00334C3C" w:rsidRPr="00583105" w:rsidRDefault="00334C3C" w:rsidP="00334C3C">
      <w:pPr>
        <w:jc w:val="both"/>
        <w:rPr>
          <w:rFonts w:ascii="Arial" w:hAnsi="Arial" w:cs="Arial"/>
          <w:sz w:val="22"/>
          <w:szCs w:val="22"/>
        </w:rPr>
      </w:pPr>
    </w:p>
    <w:p w14:paraId="1939F78B" w14:textId="77777777" w:rsidR="00334C3C" w:rsidRPr="0041402C" w:rsidRDefault="00334C3C" w:rsidP="00334C3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41402C">
        <w:rPr>
          <w:rFonts w:ascii="Arial" w:hAnsi="Arial" w:cs="Arial"/>
          <w:iCs/>
          <w:sz w:val="22"/>
          <w:szCs w:val="22"/>
        </w:rPr>
        <w:t>Ing. Šárka Václavíková</w:t>
      </w:r>
      <w:r w:rsidRPr="0058310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>STATEK ŠINDELOVÁ, s.r.o.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5FDA4A17" w14:textId="77777777" w:rsidR="00334C3C" w:rsidRDefault="00334C3C" w:rsidP="00334C3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583105">
        <w:rPr>
          <w:rFonts w:ascii="Arial" w:hAnsi="Arial" w:cs="Arial"/>
          <w:sz w:val="22"/>
          <w:szCs w:val="22"/>
        </w:rPr>
        <w:t xml:space="preserve">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Zacharda</w:t>
      </w:r>
    </w:p>
    <w:p w14:paraId="54592FD8" w14:textId="77777777" w:rsidR="00334C3C" w:rsidRDefault="00334C3C" w:rsidP="00334C3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  <w:r w:rsidRPr="005831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zmocněnec</w:t>
      </w:r>
    </w:p>
    <w:p w14:paraId="7C8D42FD" w14:textId="77777777" w:rsidR="00334C3C" w:rsidRPr="00583105" w:rsidRDefault="00334C3C" w:rsidP="00334C3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24FD5BA" w14:textId="77777777" w:rsidR="00334C3C" w:rsidRPr="00256E31" w:rsidRDefault="00334C3C" w:rsidP="00334C3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Pr="00256E31">
        <w:rPr>
          <w:rFonts w:ascii="Arial" w:hAnsi="Arial" w:cs="Arial"/>
          <w:iCs/>
          <w:sz w:val="22"/>
          <w:szCs w:val="22"/>
        </w:rPr>
        <w:t>pronajímatel</w:t>
      </w:r>
      <w:r w:rsidRPr="00256E3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  <w:r w:rsidRPr="00256E31">
        <w:rPr>
          <w:rFonts w:ascii="Arial" w:hAnsi="Arial" w:cs="Arial"/>
          <w:iCs/>
          <w:sz w:val="22"/>
          <w:szCs w:val="22"/>
        </w:rPr>
        <w:t>nájemce</w:t>
      </w:r>
    </w:p>
    <w:p w14:paraId="5BC7171C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7FCE8581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30E49B21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4D1FFECE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5F7EF90E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25256E39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280235E8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77DADDC5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227ABC43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59952D2E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4AF32B8E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6DDACB5D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7DB89462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2D217F7F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7924E368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1734F66F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65DEB84B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2C510963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3BE1E345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63D8B2C5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0B4F0E34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72E0A42C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2F073089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41DDB7AF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71DC8C16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34F72E31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09B3CD92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51E1FD41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65BD8EB0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3417DB3E" w14:textId="77777777" w:rsidR="00263A58" w:rsidRDefault="00263A58" w:rsidP="003E6263">
      <w:pPr>
        <w:tabs>
          <w:tab w:val="left" w:pos="5670"/>
        </w:tabs>
        <w:jc w:val="both"/>
        <w:rPr>
          <w:rFonts w:ascii="Arial" w:hAnsi="Arial" w:cs="Arial"/>
        </w:rPr>
      </w:pPr>
    </w:p>
    <w:p w14:paraId="1242A32E" w14:textId="77777777" w:rsidR="0078153A" w:rsidRDefault="003E6263" w:rsidP="003E6263">
      <w:pPr>
        <w:tabs>
          <w:tab w:val="left" w:pos="5670"/>
        </w:tabs>
        <w:jc w:val="both"/>
        <w:rPr>
          <w:rFonts w:ascii="Arial" w:hAnsi="Arial" w:cs="Arial"/>
        </w:rPr>
      </w:pPr>
      <w:r w:rsidRPr="003E6263">
        <w:rPr>
          <w:rFonts w:ascii="Arial" w:hAnsi="Arial" w:cs="Arial"/>
        </w:rPr>
        <w:t>Za správnost: Bc. Ingrid Bobeničová</w:t>
      </w:r>
    </w:p>
    <w:sectPr w:rsidR="0078153A" w:rsidSect="00FA5E1F">
      <w:headerReference w:type="default" r:id="rId8"/>
      <w:footerReference w:type="default" r:id="rId9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E0D4" w14:textId="77777777" w:rsidR="006C1809" w:rsidRDefault="006C1809">
      <w:r>
        <w:separator/>
      </w:r>
    </w:p>
  </w:endnote>
  <w:endnote w:type="continuationSeparator" w:id="0">
    <w:p w14:paraId="4B5F7D76" w14:textId="77777777" w:rsidR="006C1809" w:rsidRDefault="006C1809">
      <w:r>
        <w:continuationSeparator/>
      </w:r>
    </w:p>
  </w:endnote>
  <w:endnote w:type="continuationNotice" w:id="1">
    <w:p w14:paraId="6EEAD054" w14:textId="77777777" w:rsidR="006C1809" w:rsidRDefault="006C1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F627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7F71DA">
      <w:rPr>
        <w:rFonts w:ascii="Arial" w:hAnsi="Arial" w:cs="Arial"/>
        <w:color w:val="323E4F"/>
      </w:rPr>
      <w:fldChar w:fldCharType="begin"/>
    </w:r>
    <w:r w:rsidRPr="007F71DA">
      <w:rPr>
        <w:rFonts w:ascii="Arial" w:hAnsi="Arial" w:cs="Arial"/>
        <w:color w:val="323E4F"/>
      </w:rPr>
      <w:instrText>PAGE   \* MERGEFORMAT</w:instrText>
    </w:r>
    <w:r w:rsidRPr="007F71DA">
      <w:rPr>
        <w:rFonts w:ascii="Arial" w:hAnsi="Arial" w:cs="Arial"/>
        <w:color w:val="323E4F"/>
      </w:rPr>
      <w:fldChar w:fldCharType="separate"/>
    </w:r>
    <w:r w:rsidR="00176BF7">
      <w:rPr>
        <w:rFonts w:ascii="Arial" w:hAnsi="Arial" w:cs="Arial"/>
        <w:noProof/>
        <w:color w:val="323E4F"/>
      </w:rPr>
      <w:t>2</w:t>
    </w:r>
    <w:r w:rsidRPr="007F71DA">
      <w:rPr>
        <w:rFonts w:ascii="Arial" w:hAnsi="Arial" w:cs="Arial"/>
        <w:color w:val="323E4F"/>
      </w:rPr>
      <w:fldChar w:fldCharType="end"/>
    </w:r>
    <w:r w:rsidRPr="007F71DA">
      <w:rPr>
        <w:rFonts w:ascii="Arial" w:hAnsi="Arial" w:cs="Arial"/>
        <w:color w:val="323E4F"/>
      </w:rPr>
      <w:t>/</w:t>
    </w:r>
    <w:r w:rsidRPr="007F71DA">
      <w:rPr>
        <w:rFonts w:ascii="Arial" w:hAnsi="Arial" w:cs="Arial"/>
        <w:color w:val="323E4F"/>
      </w:rPr>
      <w:fldChar w:fldCharType="begin"/>
    </w:r>
    <w:r w:rsidRPr="007F71DA">
      <w:rPr>
        <w:rFonts w:ascii="Arial" w:hAnsi="Arial" w:cs="Arial"/>
        <w:color w:val="323E4F"/>
      </w:rPr>
      <w:instrText>NUMPAGES  \* Arabic  \* MERGEFORMAT</w:instrText>
    </w:r>
    <w:r w:rsidRPr="007F71DA">
      <w:rPr>
        <w:rFonts w:ascii="Arial" w:hAnsi="Arial" w:cs="Arial"/>
        <w:color w:val="323E4F"/>
      </w:rPr>
      <w:fldChar w:fldCharType="separate"/>
    </w:r>
    <w:r w:rsidR="00176BF7">
      <w:rPr>
        <w:rFonts w:ascii="Arial" w:hAnsi="Arial" w:cs="Arial"/>
        <w:noProof/>
        <w:color w:val="323E4F"/>
      </w:rPr>
      <w:t>2</w:t>
    </w:r>
    <w:r w:rsidRPr="007F71D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B89F" w14:textId="77777777" w:rsidR="006C1809" w:rsidRDefault="006C1809">
      <w:r>
        <w:separator/>
      </w:r>
    </w:p>
  </w:footnote>
  <w:footnote w:type="continuationSeparator" w:id="0">
    <w:p w14:paraId="30C1F151" w14:textId="77777777" w:rsidR="006C1809" w:rsidRDefault="006C1809">
      <w:r>
        <w:continuationSeparator/>
      </w:r>
    </w:p>
  </w:footnote>
  <w:footnote w:type="continuationNotice" w:id="1">
    <w:p w14:paraId="6B79AC13" w14:textId="77777777" w:rsidR="006C1809" w:rsidRDefault="006C1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826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48C8"/>
    <w:multiLevelType w:val="hybridMultilevel"/>
    <w:tmpl w:val="7BDE56E8"/>
    <w:lvl w:ilvl="0" w:tplc="8724D1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84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02B8"/>
    <w:rsid w:val="00003519"/>
    <w:rsid w:val="000142DA"/>
    <w:rsid w:val="000251B2"/>
    <w:rsid w:val="00030A3A"/>
    <w:rsid w:val="0003116D"/>
    <w:rsid w:val="0003724F"/>
    <w:rsid w:val="00045607"/>
    <w:rsid w:val="00050F97"/>
    <w:rsid w:val="00056A45"/>
    <w:rsid w:val="000572F3"/>
    <w:rsid w:val="00067080"/>
    <w:rsid w:val="00077673"/>
    <w:rsid w:val="00087781"/>
    <w:rsid w:val="000E368F"/>
    <w:rsid w:val="00102D7E"/>
    <w:rsid w:val="0010690D"/>
    <w:rsid w:val="00114EB8"/>
    <w:rsid w:val="00122535"/>
    <w:rsid w:val="00130D8D"/>
    <w:rsid w:val="001348FD"/>
    <w:rsid w:val="001368E5"/>
    <w:rsid w:val="00143F98"/>
    <w:rsid w:val="00170CAC"/>
    <w:rsid w:val="00176BF7"/>
    <w:rsid w:val="00184E1A"/>
    <w:rsid w:val="00190D43"/>
    <w:rsid w:val="0019783F"/>
    <w:rsid w:val="001A4792"/>
    <w:rsid w:val="001B216F"/>
    <w:rsid w:val="001B7A57"/>
    <w:rsid w:val="001E2185"/>
    <w:rsid w:val="001F0B34"/>
    <w:rsid w:val="001F3F2B"/>
    <w:rsid w:val="00204B81"/>
    <w:rsid w:val="00213718"/>
    <w:rsid w:val="00215BBB"/>
    <w:rsid w:val="00222730"/>
    <w:rsid w:val="002237BA"/>
    <w:rsid w:val="00225776"/>
    <w:rsid w:val="00225E39"/>
    <w:rsid w:val="00263A58"/>
    <w:rsid w:val="002A2A17"/>
    <w:rsid w:val="002A4078"/>
    <w:rsid w:val="002B306C"/>
    <w:rsid w:val="002B408A"/>
    <w:rsid w:val="002C14FB"/>
    <w:rsid w:val="002D41FD"/>
    <w:rsid w:val="002F5F69"/>
    <w:rsid w:val="00314E45"/>
    <w:rsid w:val="003156A5"/>
    <w:rsid w:val="003218F9"/>
    <w:rsid w:val="00323B39"/>
    <w:rsid w:val="00334C3C"/>
    <w:rsid w:val="003401FE"/>
    <w:rsid w:val="003521A1"/>
    <w:rsid w:val="00356ABE"/>
    <w:rsid w:val="003600B9"/>
    <w:rsid w:val="003704D4"/>
    <w:rsid w:val="00385448"/>
    <w:rsid w:val="003A429E"/>
    <w:rsid w:val="003A46C1"/>
    <w:rsid w:val="003A55A2"/>
    <w:rsid w:val="003B08DA"/>
    <w:rsid w:val="003C0E44"/>
    <w:rsid w:val="003E6263"/>
    <w:rsid w:val="003F5321"/>
    <w:rsid w:val="003F7FFB"/>
    <w:rsid w:val="004014F2"/>
    <w:rsid w:val="004021E9"/>
    <w:rsid w:val="00410B07"/>
    <w:rsid w:val="0043527B"/>
    <w:rsid w:val="00436C95"/>
    <w:rsid w:val="004557CB"/>
    <w:rsid w:val="00460BB2"/>
    <w:rsid w:val="00463CD0"/>
    <w:rsid w:val="00467D2E"/>
    <w:rsid w:val="004868E7"/>
    <w:rsid w:val="00492FB0"/>
    <w:rsid w:val="00496D0F"/>
    <w:rsid w:val="004A714E"/>
    <w:rsid w:val="004B2063"/>
    <w:rsid w:val="004C4082"/>
    <w:rsid w:val="004E4DA4"/>
    <w:rsid w:val="004E7948"/>
    <w:rsid w:val="004F12E6"/>
    <w:rsid w:val="004F6E1A"/>
    <w:rsid w:val="00500102"/>
    <w:rsid w:val="00517820"/>
    <w:rsid w:val="005259E3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B2FD4"/>
    <w:rsid w:val="005D2084"/>
    <w:rsid w:val="005D2FA7"/>
    <w:rsid w:val="005E762A"/>
    <w:rsid w:val="005E7B44"/>
    <w:rsid w:val="005F2170"/>
    <w:rsid w:val="005F7A40"/>
    <w:rsid w:val="00607328"/>
    <w:rsid w:val="00614BCC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A0F98"/>
    <w:rsid w:val="006B3472"/>
    <w:rsid w:val="006B79D9"/>
    <w:rsid w:val="006C1809"/>
    <w:rsid w:val="006C57C2"/>
    <w:rsid w:val="006E03A9"/>
    <w:rsid w:val="006F3EFB"/>
    <w:rsid w:val="007020B6"/>
    <w:rsid w:val="00714374"/>
    <w:rsid w:val="00716229"/>
    <w:rsid w:val="00716E62"/>
    <w:rsid w:val="007336EC"/>
    <w:rsid w:val="00733707"/>
    <w:rsid w:val="00742469"/>
    <w:rsid w:val="00770663"/>
    <w:rsid w:val="00771211"/>
    <w:rsid w:val="0078153A"/>
    <w:rsid w:val="00794619"/>
    <w:rsid w:val="007A1ACA"/>
    <w:rsid w:val="007D07E1"/>
    <w:rsid w:val="007F3DBD"/>
    <w:rsid w:val="007F5CA7"/>
    <w:rsid w:val="007F69ED"/>
    <w:rsid w:val="007F71DA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53C"/>
    <w:rsid w:val="008A7A31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D19FC"/>
    <w:rsid w:val="009E0DD7"/>
    <w:rsid w:val="009F55FC"/>
    <w:rsid w:val="009F6169"/>
    <w:rsid w:val="00A00308"/>
    <w:rsid w:val="00A02D31"/>
    <w:rsid w:val="00A05FDD"/>
    <w:rsid w:val="00A07B60"/>
    <w:rsid w:val="00A10D84"/>
    <w:rsid w:val="00A11D9D"/>
    <w:rsid w:val="00A12548"/>
    <w:rsid w:val="00A351DD"/>
    <w:rsid w:val="00A509AF"/>
    <w:rsid w:val="00A70A64"/>
    <w:rsid w:val="00AA382F"/>
    <w:rsid w:val="00AA6929"/>
    <w:rsid w:val="00AB4848"/>
    <w:rsid w:val="00AC22A2"/>
    <w:rsid w:val="00AD16CE"/>
    <w:rsid w:val="00AE4A81"/>
    <w:rsid w:val="00AE5DAF"/>
    <w:rsid w:val="00B03572"/>
    <w:rsid w:val="00B0713E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42F1A"/>
    <w:rsid w:val="00C4337F"/>
    <w:rsid w:val="00C51718"/>
    <w:rsid w:val="00C54B7E"/>
    <w:rsid w:val="00C6368F"/>
    <w:rsid w:val="00C7153B"/>
    <w:rsid w:val="00C75308"/>
    <w:rsid w:val="00C8066D"/>
    <w:rsid w:val="00C83E3A"/>
    <w:rsid w:val="00C850D2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67B35"/>
    <w:rsid w:val="00D70EC4"/>
    <w:rsid w:val="00D80A35"/>
    <w:rsid w:val="00D8249E"/>
    <w:rsid w:val="00D9187C"/>
    <w:rsid w:val="00D94BCA"/>
    <w:rsid w:val="00DA0C28"/>
    <w:rsid w:val="00DC78E5"/>
    <w:rsid w:val="00DD6C94"/>
    <w:rsid w:val="00E1452A"/>
    <w:rsid w:val="00E20841"/>
    <w:rsid w:val="00E23F89"/>
    <w:rsid w:val="00E26442"/>
    <w:rsid w:val="00E31EF2"/>
    <w:rsid w:val="00E36B36"/>
    <w:rsid w:val="00E505D6"/>
    <w:rsid w:val="00E66AAD"/>
    <w:rsid w:val="00E719D9"/>
    <w:rsid w:val="00E73B4B"/>
    <w:rsid w:val="00E749A1"/>
    <w:rsid w:val="00E9071F"/>
    <w:rsid w:val="00E90D64"/>
    <w:rsid w:val="00E957F8"/>
    <w:rsid w:val="00EA126B"/>
    <w:rsid w:val="00ED2CE5"/>
    <w:rsid w:val="00ED6B69"/>
    <w:rsid w:val="00F15706"/>
    <w:rsid w:val="00F16C44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10A6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24D420E"/>
  <w15:chartTrackingRefBased/>
  <w15:docId w15:val="{03227856-BD23-47FD-8509-7CE4C688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6C4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69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CBF6-B649-404F-BBD9-0858515F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Dodatek1NS77N2367</dc:title>
  <dc:subject/>
  <dc:creator>PFCR</dc:creator>
  <cp:keywords/>
  <dc:description/>
  <cp:lastModifiedBy>Bobeničová Ingrid Bc.</cp:lastModifiedBy>
  <cp:revision>2</cp:revision>
  <cp:lastPrinted>2025-05-27T07:54:00Z</cp:lastPrinted>
  <dcterms:created xsi:type="dcterms:W3CDTF">2025-06-13T11:14:00Z</dcterms:created>
  <dcterms:modified xsi:type="dcterms:W3CDTF">2025-06-13T11:14:00Z</dcterms:modified>
</cp:coreProperties>
</file>