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3B20" w14:textId="77777777" w:rsidR="00FE631B" w:rsidRDefault="00180BC5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6993B24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226D5F">
        <w:rPr>
          <w:noProof/>
        </w:rPr>
        <mc:AlternateContent>
          <mc:Choice Requires="wps">
            <w:drawing>
              <wp:inline distT="0" distB="0" distL="0" distR="0" wp14:anchorId="06993B25" wp14:editId="06993B2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06993B33" w14:textId="77777777" w:rsidR="00FE631B" w:rsidRDefault="00226D5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MZE-44085/2025-11131</w:t>
                            </w:r>
                          </w:p>
                          <w:p w14:paraId="06993B34" w14:textId="77777777" w:rsidR="00FE631B" w:rsidRDefault="00226D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993B36" wp14:editId="06993B37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993B35" w14:textId="77777777" w:rsidR="00FE631B" w:rsidRDefault="00226D5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mzedms029548357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93B2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06993B33" w14:textId="77777777" w:rsidR="00FE631B" w:rsidRDefault="00226D5F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MZE-44085/2025-11131</w:t>
                      </w:r>
                    </w:p>
                    <w:p w14:paraId="06993B34" w14:textId="77777777" w:rsidR="00FE631B" w:rsidRDefault="00226D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993B36" wp14:editId="06993B37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993B35" w14:textId="77777777" w:rsidR="00FE631B" w:rsidRDefault="00226D5F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mzedms029548357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993B21" w14:textId="2372E482" w:rsidR="00FE631B" w:rsidRDefault="00226D5F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 w:rsidR="005954D0" w:rsidRPr="005954D0">
        <w:rPr>
          <w:sz w:val="20"/>
          <w:szCs w:val="20"/>
        </w:rPr>
        <w:t>MZE-44085/2025-11131</w:t>
      </w:r>
    </w:p>
    <w:p w14:paraId="06993B22" w14:textId="77777777" w:rsidR="00FE631B" w:rsidRDefault="00226D5F">
      <w:pPr>
        <w:tabs>
          <w:tab w:val="left" w:pos="993"/>
        </w:tabs>
        <w:jc w:val="left"/>
        <w:rPr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MZE-44085/2025-11131</w:t>
      </w:r>
      <w:r>
        <w:rPr>
          <w:sz w:val="20"/>
          <w:szCs w:val="20"/>
        </w:rPr>
        <w:fldChar w:fldCharType="end"/>
      </w:r>
    </w:p>
    <w:p w14:paraId="5F8E3854" w14:textId="70F8699C" w:rsidR="002C5ABF" w:rsidRDefault="002C5ABF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sz w:val="20"/>
          <w:szCs w:val="20"/>
        </w:rPr>
        <w:t xml:space="preserve">Ev. číslo: </w:t>
      </w:r>
      <w:r>
        <w:rPr>
          <w:sz w:val="20"/>
          <w:szCs w:val="20"/>
        </w:rPr>
        <w:tab/>
      </w:r>
      <w:r w:rsidRPr="002C5ABF">
        <w:rPr>
          <w:sz w:val="20"/>
          <w:szCs w:val="20"/>
        </w:rPr>
        <w:t>813-2025-11131</w:t>
      </w:r>
    </w:p>
    <w:p w14:paraId="06993B23" w14:textId="77777777" w:rsidR="00FE631B" w:rsidRDefault="00FE631B">
      <w:pPr>
        <w:jc w:val="left"/>
        <w:rPr>
          <w:szCs w:val="22"/>
        </w:rPr>
      </w:pPr>
    </w:p>
    <w:p w14:paraId="5E5681E1" w14:textId="77777777" w:rsidR="002C5ABF" w:rsidRDefault="002C5ABF">
      <w:pPr>
        <w:jc w:val="left"/>
        <w:rPr>
          <w:szCs w:val="22"/>
        </w:rPr>
      </w:pPr>
    </w:p>
    <w:p w14:paraId="22F69821" w14:textId="77777777" w:rsidR="007E1BE6" w:rsidRPr="00DC3050" w:rsidRDefault="007E1BE6" w:rsidP="007E1BE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DC3050">
        <w:rPr>
          <w:rFonts w:ascii="Arial" w:hAnsi="Arial" w:cs="Arial"/>
          <w:b/>
          <w:bCs/>
          <w:sz w:val="28"/>
          <w:szCs w:val="28"/>
        </w:rPr>
        <w:t>Příloha č. 1</w:t>
      </w:r>
    </w:p>
    <w:p w14:paraId="6936FE81" w14:textId="77777777" w:rsidR="007E1BE6" w:rsidRPr="007E1BE6" w:rsidRDefault="007E1BE6" w:rsidP="007E1BE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E1BE6">
        <w:rPr>
          <w:rFonts w:ascii="Arial" w:hAnsi="Arial" w:cs="Arial"/>
          <w:b/>
          <w:bCs/>
          <w:sz w:val="28"/>
          <w:szCs w:val="28"/>
        </w:rPr>
        <w:t>Podmínky poskytování služby</w:t>
      </w:r>
    </w:p>
    <w:p w14:paraId="7DCE96DE" w14:textId="77777777" w:rsidR="007E1BE6" w:rsidRPr="007E1BE6" w:rsidRDefault="007E1BE6" w:rsidP="007E1B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97EB416" w14:textId="43C255DF" w:rsidR="007E1BE6" w:rsidRPr="007E1BE6" w:rsidRDefault="007E1BE6" w:rsidP="007E1B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Předmětem plnění je zajištění odborné individuální výuky </w:t>
      </w:r>
      <w:r>
        <w:rPr>
          <w:rFonts w:ascii="Arial" w:hAnsi="Arial" w:cs="Arial"/>
          <w:bCs/>
          <w:sz w:val="22"/>
          <w:szCs w:val="22"/>
        </w:rPr>
        <w:t xml:space="preserve">španělského jazyka </w:t>
      </w:r>
      <w:r w:rsidRPr="007E1BE6">
        <w:rPr>
          <w:rFonts w:ascii="Arial" w:hAnsi="Arial" w:cs="Arial"/>
          <w:bCs/>
          <w:sz w:val="22"/>
          <w:szCs w:val="22"/>
        </w:rPr>
        <w:t>pro úzký okruh</w:t>
      </w:r>
      <w:r w:rsidR="002562AE">
        <w:rPr>
          <w:rFonts w:ascii="Arial" w:hAnsi="Arial" w:cs="Arial"/>
          <w:bCs/>
          <w:sz w:val="22"/>
          <w:szCs w:val="22"/>
        </w:rPr>
        <w:t xml:space="preserve"> </w:t>
      </w:r>
      <w:r w:rsidRPr="007E1BE6">
        <w:rPr>
          <w:rFonts w:ascii="Arial" w:hAnsi="Arial" w:cs="Arial"/>
          <w:bCs/>
          <w:sz w:val="22"/>
          <w:szCs w:val="22"/>
        </w:rPr>
        <w:t xml:space="preserve">zaměstnanců </w:t>
      </w:r>
      <w:r>
        <w:rPr>
          <w:rFonts w:ascii="Arial" w:hAnsi="Arial" w:cs="Arial"/>
          <w:bCs/>
          <w:sz w:val="22"/>
          <w:szCs w:val="22"/>
        </w:rPr>
        <w:t xml:space="preserve">Ministerstva zemědělství </w:t>
      </w:r>
      <w:r w:rsidRPr="007E1BE6">
        <w:rPr>
          <w:rFonts w:ascii="Arial" w:hAnsi="Arial" w:cs="Arial"/>
          <w:bCs/>
          <w:sz w:val="22"/>
          <w:szCs w:val="22"/>
        </w:rPr>
        <w:t>(5 kurzů) z důvodu jejich pracovní činnosti související</w:t>
      </w:r>
      <w:r w:rsidR="002562AE">
        <w:rPr>
          <w:rFonts w:ascii="Arial" w:hAnsi="Arial" w:cs="Arial"/>
          <w:bCs/>
          <w:sz w:val="22"/>
          <w:szCs w:val="22"/>
        </w:rPr>
        <w:t xml:space="preserve"> </w:t>
      </w:r>
      <w:r w:rsidRPr="007E1BE6">
        <w:rPr>
          <w:rFonts w:ascii="Arial" w:hAnsi="Arial" w:cs="Arial"/>
          <w:bCs/>
          <w:sz w:val="22"/>
          <w:szCs w:val="22"/>
        </w:rPr>
        <w:t>s nutnou znalostí španělského jazyka, a</w:t>
      </w:r>
      <w:r w:rsidR="00882268">
        <w:rPr>
          <w:rFonts w:ascii="Arial" w:hAnsi="Arial" w:cs="Arial"/>
          <w:bCs/>
          <w:sz w:val="22"/>
          <w:szCs w:val="22"/>
        </w:rPr>
        <w:t xml:space="preserve"> </w:t>
      </w:r>
      <w:r w:rsidRPr="007E1BE6">
        <w:rPr>
          <w:rFonts w:ascii="Arial" w:hAnsi="Arial" w:cs="Arial"/>
          <w:bCs/>
          <w:sz w:val="22"/>
          <w:szCs w:val="22"/>
        </w:rPr>
        <w:t xml:space="preserve">to pro období </w:t>
      </w:r>
      <w:r>
        <w:rPr>
          <w:rFonts w:ascii="Arial" w:hAnsi="Arial" w:cs="Arial"/>
          <w:bCs/>
          <w:sz w:val="22"/>
          <w:szCs w:val="22"/>
        </w:rPr>
        <w:t>školního</w:t>
      </w:r>
      <w:r w:rsidR="00882268">
        <w:rPr>
          <w:rFonts w:ascii="Arial" w:hAnsi="Arial" w:cs="Arial"/>
          <w:bCs/>
          <w:sz w:val="22"/>
          <w:szCs w:val="22"/>
        </w:rPr>
        <w:t xml:space="preserve"> 2025/2026, tj. období od 1. </w:t>
      </w:r>
      <w:r w:rsidR="0028239C">
        <w:rPr>
          <w:rFonts w:ascii="Arial" w:hAnsi="Arial" w:cs="Arial"/>
          <w:bCs/>
          <w:sz w:val="22"/>
          <w:szCs w:val="22"/>
        </w:rPr>
        <w:t>9</w:t>
      </w:r>
      <w:r w:rsidR="00882268">
        <w:rPr>
          <w:rFonts w:ascii="Arial" w:hAnsi="Arial" w:cs="Arial"/>
          <w:bCs/>
          <w:sz w:val="22"/>
          <w:szCs w:val="22"/>
        </w:rPr>
        <w:t>. 2025 do 30. 6. 202</w:t>
      </w:r>
      <w:r w:rsidR="0028239C">
        <w:rPr>
          <w:rFonts w:ascii="Arial" w:hAnsi="Arial" w:cs="Arial"/>
          <w:bCs/>
          <w:sz w:val="22"/>
          <w:szCs w:val="22"/>
        </w:rPr>
        <w:t>6</w:t>
      </w:r>
      <w:r w:rsidR="002E6E49">
        <w:rPr>
          <w:rFonts w:ascii="Arial" w:hAnsi="Arial" w:cs="Arial"/>
          <w:bCs/>
          <w:sz w:val="22"/>
          <w:szCs w:val="22"/>
        </w:rPr>
        <w:t xml:space="preserve">, </w:t>
      </w:r>
      <w:r w:rsidRPr="007E1BE6">
        <w:rPr>
          <w:rFonts w:ascii="Arial" w:hAnsi="Arial" w:cs="Arial"/>
          <w:bCs/>
          <w:sz w:val="22"/>
          <w:szCs w:val="22"/>
        </w:rPr>
        <w:t>kvalifikovaným lektorem.</w:t>
      </w:r>
    </w:p>
    <w:p w14:paraId="0CCFB07F" w14:textId="77777777" w:rsidR="007E1BE6" w:rsidRPr="007E1BE6" w:rsidRDefault="007E1BE6" w:rsidP="007E1BE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6B2BF65" w14:textId="77777777" w:rsidR="007E1BE6" w:rsidRPr="007E1BE6" w:rsidRDefault="007E1BE6" w:rsidP="007E1BE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E1BE6">
        <w:rPr>
          <w:rFonts w:ascii="Arial" w:hAnsi="Arial" w:cs="Arial"/>
          <w:b/>
          <w:bCs/>
          <w:sz w:val="22"/>
          <w:szCs w:val="22"/>
        </w:rPr>
        <w:t>1. Místo plnění</w:t>
      </w:r>
    </w:p>
    <w:p w14:paraId="62655590" w14:textId="168B0A0C" w:rsidR="007E1BE6" w:rsidRPr="007E1BE6" w:rsidRDefault="007E1BE6" w:rsidP="0028239C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1.1. Místem plnění se sjednává sídlo </w:t>
      </w:r>
      <w:r w:rsidR="00C932BB">
        <w:rPr>
          <w:rFonts w:ascii="Arial" w:hAnsi="Arial" w:cs="Arial"/>
          <w:bCs/>
          <w:sz w:val="22"/>
          <w:szCs w:val="22"/>
        </w:rPr>
        <w:t>o</w:t>
      </w:r>
      <w:r w:rsidRPr="007E1BE6">
        <w:rPr>
          <w:rFonts w:ascii="Arial" w:hAnsi="Arial" w:cs="Arial"/>
          <w:bCs/>
          <w:sz w:val="22"/>
          <w:szCs w:val="22"/>
        </w:rPr>
        <w:t>bjednatele.</w:t>
      </w:r>
    </w:p>
    <w:p w14:paraId="64906747" w14:textId="77777777" w:rsidR="007E1BE6" w:rsidRPr="007E1BE6" w:rsidRDefault="007E1BE6" w:rsidP="007E1B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2D6F333" w14:textId="77777777" w:rsidR="007E1BE6" w:rsidRPr="007E1BE6" w:rsidRDefault="007E1BE6" w:rsidP="007E1BE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E1BE6">
        <w:rPr>
          <w:rFonts w:ascii="Arial" w:hAnsi="Arial" w:cs="Arial"/>
          <w:b/>
          <w:bCs/>
          <w:sz w:val="22"/>
          <w:szCs w:val="22"/>
        </w:rPr>
        <w:t>2. Cena a platební podmínky</w:t>
      </w:r>
    </w:p>
    <w:p w14:paraId="5B3CAE4A" w14:textId="25F630B0" w:rsidR="007E1BE6" w:rsidRPr="007E1BE6" w:rsidRDefault="007E1BE6" w:rsidP="00687BB6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2.1. Celková cena </w:t>
      </w:r>
      <w:r w:rsidR="0028239C">
        <w:rPr>
          <w:rFonts w:ascii="Arial" w:hAnsi="Arial" w:cs="Arial"/>
          <w:bCs/>
          <w:sz w:val="22"/>
          <w:szCs w:val="22"/>
        </w:rPr>
        <w:t xml:space="preserve">objednávky </w:t>
      </w:r>
      <w:r w:rsidRPr="007E1BE6">
        <w:rPr>
          <w:rFonts w:ascii="Arial" w:hAnsi="Arial" w:cs="Arial"/>
          <w:bCs/>
          <w:sz w:val="22"/>
          <w:szCs w:val="22"/>
        </w:rPr>
        <w:t>nepřekročí částku ve výši 132</w:t>
      </w:r>
      <w:r w:rsidR="001A7DA7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>000</w:t>
      </w:r>
      <w:r w:rsidR="001A7DA7">
        <w:rPr>
          <w:rFonts w:ascii="Arial" w:hAnsi="Arial" w:cs="Arial"/>
          <w:bCs/>
          <w:sz w:val="22"/>
          <w:szCs w:val="22"/>
        </w:rPr>
        <w:t xml:space="preserve">,00 </w:t>
      </w:r>
      <w:r w:rsidRPr="007E1BE6">
        <w:rPr>
          <w:rFonts w:ascii="Arial" w:hAnsi="Arial" w:cs="Arial"/>
          <w:bCs/>
          <w:sz w:val="22"/>
          <w:szCs w:val="22"/>
        </w:rPr>
        <w:t>Kč. Cena je stanovena následujícím způsobem:</w:t>
      </w:r>
    </w:p>
    <w:p w14:paraId="41F720A7" w14:textId="47C29A35" w:rsidR="007E1BE6" w:rsidRPr="007E1BE6" w:rsidRDefault="007E1BE6" w:rsidP="0028239C">
      <w:pPr>
        <w:pStyle w:val="Default"/>
        <w:spacing w:before="60" w:after="6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a) cena za 1 vyučovací hodinu (45 minut): 330</w:t>
      </w:r>
      <w:r w:rsidR="001A7DA7">
        <w:rPr>
          <w:rFonts w:ascii="Arial" w:hAnsi="Arial" w:cs="Arial"/>
          <w:bCs/>
          <w:sz w:val="22"/>
          <w:szCs w:val="22"/>
        </w:rPr>
        <w:t xml:space="preserve">,00 </w:t>
      </w:r>
      <w:r w:rsidRPr="007E1BE6">
        <w:rPr>
          <w:rFonts w:ascii="Arial" w:hAnsi="Arial" w:cs="Arial"/>
          <w:bCs/>
          <w:sz w:val="22"/>
          <w:szCs w:val="22"/>
        </w:rPr>
        <w:t>Kč,</w:t>
      </w:r>
    </w:p>
    <w:p w14:paraId="40AC835B" w14:textId="0FA2AD70" w:rsidR="007E1BE6" w:rsidRPr="007E1BE6" w:rsidRDefault="007E1BE6" w:rsidP="0028239C">
      <w:pPr>
        <w:pStyle w:val="Default"/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ab/>
        <w:t>b) nárok na 1 kurz (90 minut) týdně = 660</w:t>
      </w:r>
      <w:r w:rsidR="009558A4">
        <w:rPr>
          <w:rFonts w:ascii="Arial" w:hAnsi="Arial" w:cs="Arial"/>
          <w:bCs/>
          <w:sz w:val="22"/>
          <w:szCs w:val="22"/>
        </w:rPr>
        <w:t xml:space="preserve">,00 </w:t>
      </w:r>
      <w:r w:rsidRPr="007E1BE6">
        <w:rPr>
          <w:rFonts w:ascii="Arial" w:hAnsi="Arial" w:cs="Arial"/>
          <w:bCs/>
          <w:sz w:val="22"/>
          <w:szCs w:val="22"/>
        </w:rPr>
        <w:t>Kč /týden,</w:t>
      </w:r>
    </w:p>
    <w:p w14:paraId="353807FC" w14:textId="5DF40C4F" w:rsidR="007E1BE6" w:rsidRPr="007E1BE6" w:rsidRDefault="007E1BE6" w:rsidP="0028239C">
      <w:pPr>
        <w:pStyle w:val="Default"/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ab/>
        <w:t>c) počet týdnů jazykové výuky za školní rok: 40 (za 10 měsíců výuky)</w:t>
      </w:r>
      <w:r w:rsidR="00307331">
        <w:rPr>
          <w:rFonts w:ascii="Arial" w:hAnsi="Arial" w:cs="Arial"/>
          <w:bCs/>
          <w:sz w:val="22"/>
          <w:szCs w:val="22"/>
        </w:rPr>
        <w:t>,</w:t>
      </w:r>
    </w:p>
    <w:p w14:paraId="419724CA" w14:textId="5C945210" w:rsidR="007E1BE6" w:rsidRPr="007E1BE6" w:rsidRDefault="007E1BE6" w:rsidP="0028239C">
      <w:pPr>
        <w:pStyle w:val="Default"/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ab/>
        <w:t>d) předpokládaná roční cena 1 kurzu (90 minut): 40</w:t>
      </w:r>
      <w:r w:rsidR="00307331">
        <w:rPr>
          <w:rFonts w:ascii="Arial" w:hAnsi="Arial" w:cs="Arial"/>
          <w:bCs/>
          <w:sz w:val="22"/>
          <w:szCs w:val="22"/>
        </w:rPr>
        <w:t xml:space="preserve"> </w:t>
      </w:r>
      <w:r w:rsidRPr="007E1BE6">
        <w:rPr>
          <w:rFonts w:ascii="Arial" w:hAnsi="Arial" w:cs="Arial"/>
          <w:bCs/>
          <w:sz w:val="22"/>
          <w:szCs w:val="22"/>
        </w:rPr>
        <w:t>x</w:t>
      </w:r>
      <w:r w:rsidR="00307331">
        <w:rPr>
          <w:rFonts w:ascii="Arial" w:hAnsi="Arial" w:cs="Arial"/>
          <w:bCs/>
          <w:sz w:val="22"/>
          <w:szCs w:val="22"/>
        </w:rPr>
        <w:t xml:space="preserve"> </w:t>
      </w:r>
      <w:r w:rsidRPr="007E1BE6">
        <w:rPr>
          <w:rFonts w:ascii="Arial" w:hAnsi="Arial" w:cs="Arial"/>
          <w:bCs/>
          <w:sz w:val="22"/>
          <w:szCs w:val="22"/>
        </w:rPr>
        <w:t>660</w:t>
      </w:r>
      <w:r w:rsidR="00307331">
        <w:rPr>
          <w:rFonts w:ascii="Arial" w:hAnsi="Arial" w:cs="Arial"/>
          <w:bCs/>
          <w:sz w:val="22"/>
          <w:szCs w:val="22"/>
        </w:rPr>
        <w:t>,00 Kč</w:t>
      </w:r>
      <w:r w:rsidRPr="007E1BE6">
        <w:rPr>
          <w:rFonts w:ascii="Arial" w:hAnsi="Arial" w:cs="Arial"/>
          <w:bCs/>
          <w:sz w:val="22"/>
          <w:szCs w:val="22"/>
        </w:rPr>
        <w:t xml:space="preserve"> = 26</w:t>
      </w:r>
      <w:r w:rsidR="00307331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>400</w:t>
      </w:r>
      <w:r w:rsidR="00307331">
        <w:rPr>
          <w:rFonts w:ascii="Arial" w:hAnsi="Arial" w:cs="Arial"/>
          <w:bCs/>
          <w:sz w:val="22"/>
          <w:szCs w:val="22"/>
        </w:rPr>
        <w:t xml:space="preserve">,00 </w:t>
      </w:r>
      <w:r w:rsidRPr="007E1BE6">
        <w:rPr>
          <w:rFonts w:ascii="Arial" w:hAnsi="Arial" w:cs="Arial"/>
          <w:bCs/>
          <w:sz w:val="22"/>
          <w:szCs w:val="22"/>
        </w:rPr>
        <w:t>Kč</w:t>
      </w:r>
      <w:r w:rsidR="00E70C8D">
        <w:rPr>
          <w:rFonts w:ascii="Arial" w:hAnsi="Arial" w:cs="Arial"/>
          <w:bCs/>
          <w:sz w:val="22"/>
          <w:szCs w:val="22"/>
        </w:rPr>
        <w:t>,</w:t>
      </w:r>
    </w:p>
    <w:p w14:paraId="5E6B35D8" w14:textId="013E229D" w:rsidR="007E1BE6" w:rsidRPr="007E1BE6" w:rsidRDefault="007E1BE6" w:rsidP="0028239C">
      <w:pPr>
        <w:pStyle w:val="Default"/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ab/>
        <w:t xml:space="preserve">e) za jeden školní rok celkem 5 kurzů </w:t>
      </w:r>
      <w:r w:rsidR="00307331">
        <w:rPr>
          <w:rFonts w:ascii="Arial" w:hAnsi="Arial" w:cs="Arial"/>
          <w:bCs/>
          <w:sz w:val="22"/>
          <w:szCs w:val="22"/>
        </w:rPr>
        <w:t xml:space="preserve">á </w:t>
      </w:r>
      <w:r w:rsidRPr="007E1BE6">
        <w:rPr>
          <w:rFonts w:ascii="Arial" w:hAnsi="Arial" w:cs="Arial"/>
          <w:bCs/>
          <w:sz w:val="22"/>
          <w:szCs w:val="22"/>
        </w:rPr>
        <w:t>26</w:t>
      </w:r>
      <w:r w:rsidR="00307331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>400</w:t>
      </w:r>
      <w:r w:rsidR="00307331">
        <w:rPr>
          <w:rFonts w:ascii="Arial" w:hAnsi="Arial" w:cs="Arial"/>
          <w:bCs/>
          <w:sz w:val="22"/>
          <w:szCs w:val="22"/>
        </w:rPr>
        <w:t xml:space="preserve">, 00 </w:t>
      </w:r>
      <w:r w:rsidRPr="007E1BE6">
        <w:rPr>
          <w:rFonts w:ascii="Arial" w:hAnsi="Arial" w:cs="Arial"/>
          <w:bCs/>
          <w:sz w:val="22"/>
          <w:szCs w:val="22"/>
        </w:rPr>
        <w:t>Kč = 132</w:t>
      </w:r>
      <w:r w:rsidR="00307331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>000</w:t>
      </w:r>
      <w:r w:rsidR="00307331">
        <w:rPr>
          <w:rFonts w:ascii="Arial" w:hAnsi="Arial" w:cs="Arial"/>
          <w:bCs/>
          <w:sz w:val="22"/>
          <w:szCs w:val="22"/>
        </w:rPr>
        <w:t xml:space="preserve">,00 </w:t>
      </w:r>
      <w:r w:rsidRPr="007E1BE6">
        <w:rPr>
          <w:rFonts w:ascii="Arial" w:hAnsi="Arial" w:cs="Arial"/>
          <w:bCs/>
          <w:sz w:val="22"/>
          <w:szCs w:val="22"/>
        </w:rPr>
        <w:t>Kč.</w:t>
      </w:r>
    </w:p>
    <w:p w14:paraId="04F853CE" w14:textId="1E0D20B3" w:rsidR="007E1BE6" w:rsidRPr="007E1BE6" w:rsidRDefault="007E1BE6" w:rsidP="00687BB6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2.2.</w:t>
      </w:r>
      <w:r w:rsidR="00E42568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>V případě, že se dodavatel stane v době plnění objednávky plátcem DPH, považuje se celková cena za cenu včetně DPH. O sazbu DPH se tedy cena nebude dále navyšovat.</w:t>
      </w:r>
    </w:p>
    <w:p w14:paraId="2FF16280" w14:textId="33E12C33" w:rsidR="007E1BE6" w:rsidRPr="007E1BE6" w:rsidRDefault="007E1BE6" w:rsidP="00BD2A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2.3.</w:t>
      </w:r>
      <w:r w:rsidR="00E42568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 xml:space="preserve">Fakturace bude probíhat vždy ke konci daného kalendářního měsíce podle skutečně odučených hodin. </w:t>
      </w:r>
      <w:r w:rsidRPr="007E1BE6">
        <w:rPr>
          <w:rFonts w:ascii="Arial" w:hAnsi="Arial" w:cs="Arial"/>
          <w:sz w:val="22"/>
          <w:szCs w:val="22"/>
        </w:rPr>
        <w:t>Splatnost faktur je 30 kalendářních dnů ode dne jejich doručení dodavatelem objednateli. Objednatel</w:t>
      </w:r>
      <w:r w:rsidRPr="007E1BE6">
        <w:rPr>
          <w:rFonts w:ascii="Arial" w:hAnsi="Arial" w:cs="Arial"/>
          <w:bCs/>
          <w:sz w:val="22"/>
          <w:szCs w:val="22"/>
        </w:rPr>
        <w:t xml:space="preserve"> preferuje zaslání elektronické faktury dodavatele včetně elektronického akceptačního protokolu do datové schránky objednatele ID DS: yphaax8 nebo na mailovou adresu podatelna@mze.gov.cz, ve strukturovaných formátech dle Evropské směrnice 2014/55/EU nebo ve formátu ISDOC 5.2 a vyšším. </w:t>
      </w:r>
    </w:p>
    <w:p w14:paraId="5A5C9E37" w14:textId="788B6D52" w:rsidR="007E1BE6" w:rsidRPr="007E1BE6" w:rsidRDefault="007E1BE6" w:rsidP="00E42568">
      <w:pPr>
        <w:pStyle w:val="Default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2.4</w:t>
      </w:r>
      <w:r w:rsidR="00E42568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sz w:val="22"/>
          <w:szCs w:val="22"/>
        </w:rPr>
        <w:t>Faktury vystavené dodavatelem objednateli musí obsahovat údaje vyplněné v souladu se zákonem č. 563/1991 Sb., o účetnictví, ve znění pozdějších předpisů</w:t>
      </w:r>
      <w:r w:rsidR="004065B9">
        <w:rPr>
          <w:rFonts w:ascii="Arial" w:hAnsi="Arial" w:cs="Arial"/>
          <w:sz w:val="22"/>
          <w:szCs w:val="22"/>
        </w:rPr>
        <w:t xml:space="preserve"> (dále jen „zákon o </w:t>
      </w:r>
      <w:r w:rsidR="00745066">
        <w:rPr>
          <w:rFonts w:ascii="Arial" w:hAnsi="Arial" w:cs="Arial"/>
          <w:sz w:val="22"/>
          <w:szCs w:val="22"/>
        </w:rPr>
        <w:t>účetnictví“)</w:t>
      </w:r>
      <w:r w:rsidRPr="007E1BE6">
        <w:rPr>
          <w:rFonts w:ascii="Arial" w:hAnsi="Arial" w:cs="Arial"/>
          <w:sz w:val="22"/>
          <w:szCs w:val="22"/>
        </w:rPr>
        <w:t>, zejména jeho § 11</w:t>
      </w:r>
      <w:r w:rsidR="00BD2ADF">
        <w:rPr>
          <w:rFonts w:ascii="Arial" w:hAnsi="Arial" w:cs="Arial"/>
          <w:sz w:val="22"/>
          <w:szCs w:val="22"/>
        </w:rPr>
        <w:t xml:space="preserve">, </w:t>
      </w:r>
      <w:r w:rsidR="00E42568">
        <w:rPr>
          <w:rFonts w:ascii="Arial" w:hAnsi="Arial" w:cs="Arial"/>
          <w:sz w:val="22"/>
          <w:szCs w:val="22"/>
        </w:rPr>
        <w:t>n</w:t>
      </w:r>
      <w:r w:rsidRPr="007E1BE6">
        <w:rPr>
          <w:rFonts w:ascii="Arial" w:hAnsi="Arial" w:cs="Arial"/>
          <w:sz w:val="22"/>
          <w:szCs w:val="22"/>
        </w:rPr>
        <w:t>avíc musí obsahovat informace povinně uváděné na obchodních listinách na základě §</w:t>
      </w:r>
      <w:r w:rsidR="00BD2ADF">
        <w:rPr>
          <w:rFonts w:ascii="Arial" w:hAnsi="Arial" w:cs="Arial"/>
          <w:sz w:val="22"/>
          <w:szCs w:val="22"/>
        </w:rPr>
        <w:t> </w:t>
      </w:r>
      <w:r w:rsidRPr="007E1BE6">
        <w:rPr>
          <w:rFonts w:ascii="Arial" w:hAnsi="Arial" w:cs="Arial"/>
          <w:sz w:val="22"/>
          <w:szCs w:val="22"/>
        </w:rPr>
        <w:t xml:space="preserve">435 </w:t>
      </w:r>
      <w:r w:rsidR="00002287">
        <w:rPr>
          <w:rFonts w:ascii="Arial" w:hAnsi="Arial" w:cs="Arial"/>
          <w:sz w:val="22"/>
          <w:szCs w:val="22"/>
        </w:rPr>
        <w:t xml:space="preserve">zákona </w:t>
      </w:r>
      <w:r w:rsidR="00002287" w:rsidRPr="00002287">
        <w:rPr>
          <w:rFonts w:ascii="Arial" w:hAnsi="Arial" w:cs="Arial"/>
          <w:sz w:val="22"/>
          <w:szCs w:val="22"/>
        </w:rPr>
        <w:t>č. 89/2012 Sb.</w:t>
      </w:r>
      <w:r w:rsidR="00E42568">
        <w:rPr>
          <w:rFonts w:ascii="Arial" w:hAnsi="Arial" w:cs="Arial"/>
          <w:sz w:val="22"/>
          <w:szCs w:val="22"/>
        </w:rPr>
        <w:t xml:space="preserve">, </w:t>
      </w:r>
      <w:r w:rsidR="00002287" w:rsidRPr="00002287">
        <w:rPr>
          <w:rFonts w:ascii="Arial" w:hAnsi="Arial" w:cs="Arial"/>
          <w:sz w:val="22"/>
          <w:szCs w:val="22"/>
        </w:rPr>
        <w:t>občanský zákoník</w:t>
      </w:r>
      <w:r w:rsidR="00E42568">
        <w:rPr>
          <w:rFonts w:ascii="Arial" w:hAnsi="Arial" w:cs="Arial"/>
          <w:sz w:val="22"/>
          <w:szCs w:val="22"/>
        </w:rPr>
        <w:t>, ve znění pozdějších předpisů</w:t>
      </w:r>
      <w:r w:rsidR="00815FCF">
        <w:rPr>
          <w:rFonts w:ascii="Arial" w:hAnsi="Arial" w:cs="Arial"/>
          <w:sz w:val="22"/>
          <w:szCs w:val="22"/>
        </w:rPr>
        <w:t xml:space="preserve"> (dále jen „občanský zákoník“)</w:t>
      </w:r>
      <w:r w:rsidRPr="007E1BE6">
        <w:rPr>
          <w:rFonts w:ascii="Arial" w:hAnsi="Arial" w:cs="Arial"/>
          <w:sz w:val="22"/>
          <w:szCs w:val="22"/>
        </w:rPr>
        <w:t>.</w:t>
      </w:r>
    </w:p>
    <w:p w14:paraId="4D327E32" w14:textId="53762556" w:rsidR="007E1BE6" w:rsidRPr="007E1BE6" w:rsidRDefault="007E1BE6" w:rsidP="00A60F33">
      <w:pPr>
        <w:pStyle w:val="Default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7E1BE6">
        <w:rPr>
          <w:rFonts w:ascii="Arial" w:hAnsi="Arial" w:cs="Arial"/>
          <w:sz w:val="22"/>
          <w:szCs w:val="22"/>
        </w:rPr>
        <w:t>2.5</w:t>
      </w:r>
      <w:r w:rsidR="00E42568">
        <w:rPr>
          <w:rFonts w:ascii="Arial" w:hAnsi="Arial" w:cs="Arial"/>
          <w:sz w:val="22"/>
          <w:szCs w:val="22"/>
        </w:rPr>
        <w:t> </w:t>
      </w:r>
      <w:r w:rsidRPr="007E1BE6">
        <w:rPr>
          <w:rFonts w:ascii="Arial" w:hAnsi="Arial" w:cs="Arial"/>
          <w:sz w:val="22"/>
          <w:szCs w:val="22"/>
        </w:rPr>
        <w:t>Pokud faktura nebude obsahovat všechny náležitosti účetního dokladu podle zákona o</w:t>
      </w:r>
      <w:r w:rsidR="00745066">
        <w:rPr>
          <w:rFonts w:ascii="Arial" w:hAnsi="Arial" w:cs="Arial"/>
          <w:sz w:val="22"/>
          <w:szCs w:val="22"/>
        </w:rPr>
        <w:t> </w:t>
      </w:r>
      <w:r w:rsidRPr="007E1BE6">
        <w:rPr>
          <w:rFonts w:ascii="Arial" w:hAnsi="Arial" w:cs="Arial"/>
          <w:sz w:val="22"/>
          <w:szCs w:val="22"/>
        </w:rPr>
        <w:t>účetnictví</w:t>
      </w:r>
      <w:r w:rsidR="00745066">
        <w:rPr>
          <w:rFonts w:ascii="Arial" w:hAnsi="Arial" w:cs="Arial"/>
          <w:sz w:val="22"/>
          <w:szCs w:val="22"/>
        </w:rPr>
        <w:t xml:space="preserve"> </w:t>
      </w:r>
      <w:r w:rsidRPr="007E1BE6">
        <w:rPr>
          <w:rFonts w:ascii="Arial" w:hAnsi="Arial" w:cs="Arial"/>
          <w:sz w:val="22"/>
          <w:szCs w:val="22"/>
        </w:rPr>
        <w:t xml:space="preserve">nebo veškeré náležitosti a přílohy uvedené v této objednávce, bude objednatel oprávněn ji do data splatnosti vrátit s tím, že dodavatel bude povinen poté vystavit novou </w:t>
      </w:r>
      <w:r w:rsidRPr="007E1BE6">
        <w:rPr>
          <w:rFonts w:ascii="Arial" w:hAnsi="Arial" w:cs="Arial"/>
          <w:sz w:val="22"/>
          <w:szCs w:val="22"/>
        </w:rPr>
        <w:lastRenderedPageBreak/>
        <w:t>fakturu s novou 30denní dobou splatnosti. V takovém případě se ruší běh doby splatnosti a</w:t>
      </w:r>
      <w:r w:rsidR="00A60F33">
        <w:rPr>
          <w:rFonts w:ascii="Arial" w:hAnsi="Arial" w:cs="Arial"/>
          <w:sz w:val="22"/>
          <w:szCs w:val="22"/>
        </w:rPr>
        <w:t> </w:t>
      </w:r>
      <w:r w:rsidRPr="007E1BE6">
        <w:rPr>
          <w:rFonts w:ascii="Arial" w:hAnsi="Arial" w:cs="Arial"/>
          <w:sz w:val="22"/>
          <w:szCs w:val="22"/>
        </w:rPr>
        <w:t>nová 30denní doba počne běžet doručením řádné faktury.</w:t>
      </w:r>
    </w:p>
    <w:p w14:paraId="5D17936E" w14:textId="77777777" w:rsidR="007E1BE6" w:rsidRPr="007E1BE6" w:rsidRDefault="007E1BE6" w:rsidP="00A60F33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E1BE6">
        <w:rPr>
          <w:rFonts w:ascii="Arial" w:hAnsi="Arial" w:cs="Arial"/>
          <w:b/>
          <w:bCs/>
          <w:sz w:val="22"/>
          <w:szCs w:val="22"/>
        </w:rPr>
        <w:t>3. Doba plnění</w:t>
      </w:r>
    </w:p>
    <w:p w14:paraId="6C7FC3B1" w14:textId="297590ED" w:rsidR="007E1BE6" w:rsidRPr="007E1BE6" w:rsidRDefault="007E1BE6" w:rsidP="00A60F33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3.1. Průběžně v pracovní dny v období od 1. 9. 202</w:t>
      </w:r>
      <w:r w:rsidR="0043351F">
        <w:rPr>
          <w:rFonts w:ascii="Arial" w:hAnsi="Arial" w:cs="Arial"/>
          <w:bCs/>
          <w:sz w:val="22"/>
          <w:szCs w:val="22"/>
        </w:rPr>
        <w:t>5</w:t>
      </w:r>
      <w:r w:rsidRPr="007E1BE6">
        <w:rPr>
          <w:rFonts w:ascii="Arial" w:hAnsi="Arial" w:cs="Arial"/>
          <w:bCs/>
          <w:sz w:val="22"/>
          <w:szCs w:val="22"/>
        </w:rPr>
        <w:t xml:space="preserve"> do 30. 6. 202</w:t>
      </w:r>
      <w:r w:rsidR="0043351F">
        <w:rPr>
          <w:rFonts w:ascii="Arial" w:hAnsi="Arial" w:cs="Arial"/>
          <w:bCs/>
          <w:sz w:val="22"/>
          <w:szCs w:val="22"/>
        </w:rPr>
        <w:t>6</w:t>
      </w:r>
      <w:r w:rsidRPr="007E1BE6">
        <w:rPr>
          <w:rFonts w:ascii="Arial" w:hAnsi="Arial" w:cs="Arial"/>
          <w:bCs/>
          <w:sz w:val="22"/>
          <w:szCs w:val="22"/>
        </w:rPr>
        <w:t>. Výuka probíhá v pracovní dny od prvního pondělí následujícího po 1. 9. 202</w:t>
      </w:r>
      <w:r w:rsidR="000948DF">
        <w:rPr>
          <w:rFonts w:ascii="Arial" w:hAnsi="Arial" w:cs="Arial"/>
          <w:bCs/>
          <w:sz w:val="22"/>
          <w:szCs w:val="22"/>
        </w:rPr>
        <w:t>5</w:t>
      </w:r>
      <w:r w:rsidRPr="007E1BE6">
        <w:rPr>
          <w:rFonts w:ascii="Arial" w:hAnsi="Arial" w:cs="Arial"/>
          <w:bCs/>
          <w:sz w:val="22"/>
          <w:szCs w:val="22"/>
        </w:rPr>
        <w:t xml:space="preserve"> do 30. 6. 202</w:t>
      </w:r>
      <w:r w:rsidR="000948DF">
        <w:rPr>
          <w:rFonts w:ascii="Arial" w:hAnsi="Arial" w:cs="Arial"/>
          <w:bCs/>
          <w:sz w:val="22"/>
          <w:szCs w:val="22"/>
        </w:rPr>
        <w:t>6</w:t>
      </w:r>
      <w:r w:rsidRPr="007E1BE6">
        <w:rPr>
          <w:rFonts w:ascii="Arial" w:hAnsi="Arial" w:cs="Arial"/>
          <w:bCs/>
          <w:sz w:val="22"/>
          <w:szCs w:val="22"/>
        </w:rPr>
        <w:t>, mimo období od prvního pondělí následujícího po 15. 12. 202</w:t>
      </w:r>
      <w:r w:rsidR="000948DF">
        <w:rPr>
          <w:rFonts w:ascii="Arial" w:hAnsi="Arial" w:cs="Arial"/>
          <w:bCs/>
          <w:sz w:val="22"/>
          <w:szCs w:val="22"/>
        </w:rPr>
        <w:t>5</w:t>
      </w:r>
      <w:r w:rsidRPr="007E1BE6">
        <w:rPr>
          <w:rFonts w:ascii="Arial" w:hAnsi="Arial" w:cs="Arial"/>
          <w:bCs/>
          <w:sz w:val="22"/>
          <w:szCs w:val="22"/>
        </w:rPr>
        <w:t xml:space="preserve"> do neděle následující po 1. 1. 202</w:t>
      </w:r>
      <w:r w:rsidR="000948DF">
        <w:rPr>
          <w:rFonts w:ascii="Arial" w:hAnsi="Arial" w:cs="Arial"/>
          <w:bCs/>
          <w:sz w:val="22"/>
          <w:szCs w:val="22"/>
        </w:rPr>
        <w:t>6</w:t>
      </w:r>
      <w:r w:rsidRPr="007E1BE6">
        <w:rPr>
          <w:rFonts w:ascii="Arial" w:hAnsi="Arial" w:cs="Arial"/>
          <w:bCs/>
          <w:sz w:val="22"/>
          <w:szCs w:val="22"/>
        </w:rPr>
        <w:t>. Mimo takto vymezená období mohou po dohodě mezi objednatelem a dodavatelem probíhat náhrady neodučených hodin, a to např. z důvodu nemoci studenta, jeho služební cesty, plnění neodkladných služebních povinností apod.</w:t>
      </w:r>
    </w:p>
    <w:p w14:paraId="53C430EC" w14:textId="77777777" w:rsidR="007E1BE6" w:rsidRPr="007E1BE6" w:rsidRDefault="007E1BE6" w:rsidP="000948DF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E1BE6">
        <w:rPr>
          <w:rFonts w:ascii="Arial" w:hAnsi="Arial" w:cs="Arial"/>
          <w:b/>
          <w:bCs/>
          <w:sz w:val="22"/>
          <w:szCs w:val="22"/>
        </w:rPr>
        <w:t>4. Práva a povinnosti Smluvních stran</w:t>
      </w:r>
    </w:p>
    <w:p w14:paraId="2895A614" w14:textId="3E2D0B51" w:rsidR="007E1BE6" w:rsidRPr="007E1BE6" w:rsidRDefault="007E1BE6" w:rsidP="000948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4.1. Dodavatel se zavazuje, že zajistí individuální výuku podle požadavků objednatele a jeho zaměstnanců – účastníků individuální výuky (dále </w:t>
      </w:r>
      <w:r w:rsidR="000948DF">
        <w:rPr>
          <w:rFonts w:ascii="Arial" w:hAnsi="Arial" w:cs="Arial"/>
          <w:bCs/>
          <w:sz w:val="22"/>
          <w:szCs w:val="22"/>
        </w:rPr>
        <w:t xml:space="preserve">jen </w:t>
      </w:r>
      <w:r w:rsidRPr="007E1BE6">
        <w:rPr>
          <w:rFonts w:ascii="Arial" w:hAnsi="Arial" w:cs="Arial"/>
          <w:bCs/>
          <w:sz w:val="22"/>
          <w:szCs w:val="22"/>
        </w:rPr>
        <w:t>„</w:t>
      </w:r>
      <w:r w:rsidR="002C2C04">
        <w:rPr>
          <w:rFonts w:ascii="Arial" w:hAnsi="Arial" w:cs="Arial"/>
          <w:bCs/>
          <w:sz w:val="22"/>
          <w:szCs w:val="22"/>
        </w:rPr>
        <w:t>účastníci</w:t>
      </w:r>
      <w:r w:rsidRPr="007E1BE6">
        <w:rPr>
          <w:rFonts w:ascii="Arial" w:hAnsi="Arial" w:cs="Arial"/>
          <w:bCs/>
          <w:sz w:val="22"/>
          <w:szCs w:val="22"/>
        </w:rPr>
        <w:t>“) a toto požadované plnění poskytne dodavatel objednateli řádně a včas</w:t>
      </w:r>
      <w:r w:rsidR="000948DF">
        <w:rPr>
          <w:rFonts w:ascii="Arial" w:hAnsi="Arial" w:cs="Arial"/>
          <w:bCs/>
          <w:sz w:val="22"/>
          <w:szCs w:val="22"/>
        </w:rPr>
        <w:t>. O</w:t>
      </w:r>
      <w:r w:rsidRPr="007E1BE6">
        <w:rPr>
          <w:rFonts w:ascii="Arial" w:hAnsi="Arial" w:cs="Arial"/>
          <w:bCs/>
          <w:sz w:val="22"/>
          <w:szCs w:val="22"/>
        </w:rPr>
        <w:t>bjednatel se zavazuje za řádně dodané plnění uhradit dodavateli příslušnou cenu dle článku 2 výše.</w:t>
      </w:r>
    </w:p>
    <w:p w14:paraId="7839607A" w14:textId="77777777" w:rsidR="007E1BE6" w:rsidRPr="007E1BE6" w:rsidRDefault="007E1BE6" w:rsidP="000948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4.2. Dodavatel odpovídá za to, že jazyková výuka je realizována v souladu se Společným evropským referenčním rámcem a v kvalitě odpovídající tomuto Společnému evropskému referenčnímu rámci.</w:t>
      </w:r>
    </w:p>
    <w:p w14:paraId="783D6F54" w14:textId="53AE47AA" w:rsidR="007E1BE6" w:rsidRPr="007E1BE6" w:rsidRDefault="007E1BE6" w:rsidP="000948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4.3 Dodavatel není oprávněn poskytovat jazykovou výuku prostřednictvím třetích osob (poddodavatelů).</w:t>
      </w:r>
    </w:p>
    <w:p w14:paraId="543986BE" w14:textId="1554491C" w:rsidR="007E1BE6" w:rsidRPr="007E1BE6" w:rsidRDefault="007E1BE6" w:rsidP="002B668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4.4 Dodavatel vede veškerou dokumentaci (prezenční listiny, výkazy kurzů – tzv. třídní knihy) v rozsahu dle požadavků objednatele. Tento výkaz je dodavatel povinen zpracovávat měsíčně. Výkaz o poskytované jazykové výuce tvoří přílohu faktury. V případě on-line výuky se vede dokumentace v elektronické formě.</w:t>
      </w:r>
    </w:p>
    <w:p w14:paraId="30AE165A" w14:textId="7A90F79D" w:rsidR="007E1BE6" w:rsidRPr="007E1BE6" w:rsidRDefault="007E1BE6" w:rsidP="002B668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4.5 Dodavatel umožní objednateli být informován o přehledu docházky každého studenta, hodnocení a dlouhodobé sledování pokroku studentů.</w:t>
      </w:r>
    </w:p>
    <w:p w14:paraId="219C49BF" w14:textId="77777777" w:rsidR="007E1BE6" w:rsidRPr="007E1BE6" w:rsidRDefault="007E1BE6" w:rsidP="000948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4.6 Objednatel je oprávněn provést kontrolu jazykových znalostí studentů jazykového vzdělávání na konci školního roku i sám nebo prostřednictvím třetí osoby na základě testů pro příslušnou úroveň výuky dle Společného evropského referenčního rámce a v případě, že bude výsledek záporně odlišný o více než 20 %, je dodavatel povinen tento rozpor ve výsledku testů náležitě zdůvodnit. Pokud tak neučiní, zavazuje se uhradit objednateli slevu z ceny za příslušnou výuku dotčených kurzů za celý školní rok ve výši 20 %.</w:t>
      </w:r>
    </w:p>
    <w:p w14:paraId="5B97812F" w14:textId="77777777" w:rsidR="007E1BE6" w:rsidRPr="007E1BE6" w:rsidRDefault="007E1BE6" w:rsidP="000948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4.7 Dodavatel zajistí kontrolu kvality svých služeb (zejména předem neohlášenou hospitací hodin metodikem, zpětnou vazbou, anketou spokojenosti studentů, poskytnutím možnosti náslechu v lekci zástupci objednatele) v rozsahu dle požadavků objednatele. </w:t>
      </w:r>
    </w:p>
    <w:p w14:paraId="4DC3314F" w14:textId="304D2E90" w:rsidR="007E1BE6" w:rsidRPr="007E1BE6" w:rsidRDefault="007E1BE6" w:rsidP="00A536CE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4.8 Dodavatel je povinen v případě onemocnění či jiných závažných překážek na jeho straně oznámit účastníkům kurzu e-mailem svou nepřítomnost ve výuce předem. Výuka nerealizovaná z důvodu nepřítomnosti dodavatele může být nahrazena po dohodě s účastníky kurzu. </w:t>
      </w:r>
    </w:p>
    <w:p w14:paraId="110BC7F1" w14:textId="77777777" w:rsidR="00A536CE" w:rsidRDefault="007E1BE6" w:rsidP="000948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4.9 Dodavatel prohlašuje, že vykonává svou výdělečnou činnost v souladu s českými právními předpisy.</w:t>
      </w:r>
    </w:p>
    <w:p w14:paraId="3F0F43B3" w14:textId="3C7C112D" w:rsidR="007E1BE6" w:rsidRPr="007E1BE6" w:rsidRDefault="007E1BE6" w:rsidP="000948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4.10 V souvislosti s plněním objednávky se dodavatel zavazuje zachovávat mlčenlivost o</w:t>
      </w:r>
      <w:r w:rsidR="00A536CE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 xml:space="preserve">všech skutečnostech, o kterých se dozví, včetně eventuálních osobních údajů, a to i po ukončení plnění.  </w:t>
      </w:r>
    </w:p>
    <w:p w14:paraId="47A4EF1C" w14:textId="350BE7AC" w:rsidR="007E1BE6" w:rsidRPr="007E1BE6" w:rsidRDefault="007E1BE6" w:rsidP="000948DF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4.11 Objednatel je oprávněn po dodavateli kdykoli požadovat (a to i přímo prostřednictvím jednotlivých </w:t>
      </w:r>
      <w:r w:rsidR="001518FB">
        <w:rPr>
          <w:rFonts w:ascii="Arial" w:hAnsi="Arial" w:cs="Arial"/>
          <w:bCs/>
          <w:sz w:val="22"/>
          <w:szCs w:val="22"/>
        </w:rPr>
        <w:t>účastníků</w:t>
      </w:r>
      <w:r w:rsidRPr="007E1BE6">
        <w:rPr>
          <w:rFonts w:ascii="Arial" w:hAnsi="Arial" w:cs="Arial"/>
          <w:bCs/>
          <w:sz w:val="22"/>
          <w:szCs w:val="22"/>
        </w:rPr>
        <w:t>), aby prezenční jazyková výuka byla nahrazena v plném rozsahu nebo i</w:t>
      </w:r>
      <w:r w:rsidR="00BB2CBB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 xml:space="preserve">částečně (po dohodě s jednotlivými </w:t>
      </w:r>
      <w:r w:rsidR="001518FB">
        <w:rPr>
          <w:rFonts w:ascii="Arial" w:hAnsi="Arial" w:cs="Arial"/>
          <w:bCs/>
          <w:sz w:val="22"/>
          <w:szCs w:val="22"/>
        </w:rPr>
        <w:t>účastníky</w:t>
      </w:r>
      <w:r w:rsidRPr="007E1BE6">
        <w:rPr>
          <w:rFonts w:ascii="Arial" w:hAnsi="Arial" w:cs="Arial"/>
          <w:bCs/>
          <w:sz w:val="22"/>
          <w:szCs w:val="22"/>
        </w:rPr>
        <w:t xml:space="preserve">) on-line výukou pomocí vhodného softwarového nástroje, který zajistí bezproblémový přenos, průběh a naplnění všech aspektů jazykové výuky. Veškeré případné náklady na zavedení a zprovoznění takového řešení, pokud jej již objednatel nemá k dispozici, nese dodavatel. Objednatel však prohlašuje, že dostačující je on-line výuka prostřednictvím aplikace </w:t>
      </w:r>
      <w:r w:rsidR="009C08F9" w:rsidRPr="009C08F9">
        <w:rPr>
          <w:rFonts w:ascii="Arial" w:hAnsi="Arial" w:cs="Arial"/>
          <w:bCs/>
          <w:sz w:val="22"/>
          <w:szCs w:val="22"/>
        </w:rPr>
        <w:t>Microsoft Teams</w:t>
      </w:r>
      <w:r w:rsidRPr="007E1BE6">
        <w:rPr>
          <w:rFonts w:ascii="Arial" w:hAnsi="Arial" w:cs="Arial"/>
          <w:bCs/>
          <w:sz w:val="22"/>
          <w:szCs w:val="22"/>
        </w:rPr>
        <w:t xml:space="preserve">. </w:t>
      </w:r>
    </w:p>
    <w:p w14:paraId="2DD2F6C5" w14:textId="11DD2980" w:rsidR="007E1BE6" w:rsidRPr="007E1BE6" w:rsidRDefault="007E1BE6" w:rsidP="001518FB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4.12 Dodavatel prohlašuje, že není plátcem DPH, v případě změny ohledně plátcovství DPH je dodavatel povinen informovat objednatele do pěti dnů ode dne změny.</w:t>
      </w:r>
    </w:p>
    <w:p w14:paraId="1151BFBB" w14:textId="20045EB4" w:rsidR="007E1BE6" w:rsidRPr="007E1BE6" w:rsidRDefault="007E1BE6" w:rsidP="009C08F9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E1BE6">
        <w:rPr>
          <w:rFonts w:ascii="Arial" w:hAnsi="Arial" w:cs="Arial"/>
          <w:b/>
          <w:bCs/>
          <w:sz w:val="22"/>
          <w:szCs w:val="22"/>
        </w:rPr>
        <w:t xml:space="preserve">5. Ukončení plnění, </w:t>
      </w:r>
      <w:r w:rsidR="009C08F9">
        <w:rPr>
          <w:rFonts w:ascii="Arial" w:hAnsi="Arial" w:cs="Arial"/>
          <w:b/>
          <w:bCs/>
          <w:sz w:val="22"/>
          <w:szCs w:val="22"/>
        </w:rPr>
        <w:t>p</w:t>
      </w:r>
      <w:r w:rsidRPr="007E1BE6">
        <w:rPr>
          <w:rFonts w:ascii="Arial" w:hAnsi="Arial" w:cs="Arial"/>
          <w:b/>
          <w:bCs/>
          <w:sz w:val="22"/>
          <w:szCs w:val="22"/>
        </w:rPr>
        <w:t>okuty a sankce</w:t>
      </w:r>
    </w:p>
    <w:p w14:paraId="08352C73" w14:textId="77777777" w:rsidR="007E1BE6" w:rsidRPr="007E1BE6" w:rsidRDefault="007E1BE6" w:rsidP="009C08F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5.1. Smluvní strany jsou oprávněny ukončit plnění písemnou dohodou a dále je objednatel oprávněn ukončit plnění výpovědí bez udání důvodu. Výpověď je účinná doručením okamžitě bez výpovědní doby.</w:t>
      </w:r>
    </w:p>
    <w:p w14:paraId="6BB4E4EA" w14:textId="77777777" w:rsidR="007E1BE6" w:rsidRPr="007E1BE6" w:rsidRDefault="007E1BE6" w:rsidP="009C08F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5.2. Dodavatel je oprávněn v případě prodlení objednatele s platbou ceny za výuku požadovat po objednateli úrok z prodlení ve výši 0,01 % z dlužné částky za každý i započatý den prodlení.</w:t>
      </w:r>
    </w:p>
    <w:p w14:paraId="5635A855" w14:textId="7EE14AD3" w:rsidR="007E1BE6" w:rsidRPr="007E1BE6" w:rsidRDefault="007E1BE6" w:rsidP="009C08F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5.3. Jestliže se dodavatel dostaví na výuku s více než patnáctiminutovým zpožděním, je objednatel oprávněn považovat výuku za zrušenou bez předchozího oznámení. V takovém případě nemá dodavatel právo na její úhradu.</w:t>
      </w:r>
    </w:p>
    <w:p w14:paraId="639079A5" w14:textId="77777777" w:rsidR="007E1BE6" w:rsidRPr="007E1BE6" w:rsidRDefault="007E1BE6" w:rsidP="009C08F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5.4. Za porušení informační povinnosti dle čl. 4 odst. 4.12. náleží objednateli smluvní pokuta ve výši 5000 Kč.</w:t>
      </w:r>
    </w:p>
    <w:p w14:paraId="2B9A6D79" w14:textId="77777777" w:rsidR="007E1BE6" w:rsidRPr="007E1BE6" w:rsidRDefault="007E1BE6" w:rsidP="009C08F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5.5. Každá ze smluvních stran je oprávněna požadovat náhradu škody v plné výši i v případě, že se jedná o porušení povinnosti, na kterou se dle této smlouvy vztahuje smluvní pokuta.</w:t>
      </w:r>
    </w:p>
    <w:p w14:paraId="1CCC714C" w14:textId="77777777" w:rsidR="007E1BE6" w:rsidRPr="007E1BE6" w:rsidRDefault="007E1BE6" w:rsidP="009C08F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5.6. Smluvní pokuta je splatná patnáctý (15.) kalendářní den ode dne doručení písemné výzvy oprávněné smluvní strany k jejich úhradě povinné smluvní straně.</w:t>
      </w:r>
    </w:p>
    <w:p w14:paraId="63E0F27F" w14:textId="77777777" w:rsidR="007E1BE6" w:rsidRPr="007E1BE6" w:rsidRDefault="007E1BE6" w:rsidP="00F31619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E1BE6">
        <w:rPr>
          <w:rFonts w:ascii="Arial" w:hAnsi="Arial" w:cs="Arial"/>
          <w:b/>
          <w:bCs/>
          <w:sz w:val="22"/>
          <w:szCs w:val="22"/>
        </w:rPr>
        <w:t xml:space="preserve">6. Další podmínky, kontaktní osoby </w:t>
      </w:r>
    </w:p>
    <w:p w14:paraId="47C3CFCC" w14:textId="6A98EF7E" w:rsidR="007E1BE6" w:rsidRPr="007E1BE6" w:rsidRDefault="007E1BE6" w:rsidP="00F3161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6.1. 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 w:rsidR="00F31619">
        <w:rPr>
          <w:rFonts w:ascii="Arial" w:hAnsi="Arial" w:cs="Arial"/>
          <w:bCs/>
          <w:sz w:val="22"/>
          <w:szCs w:val="22"/>
        </w:rPr>
        <w:t> </w:t>
      </w:r>
      <w:r w:rsidRPr="007E1BE6">
        <w:rPr>
          <w:rFonts w:ascii="Arial" w:hAnsi="Arial" w:cs="Arial"/>
          <w:bCs/>
          <w:sz w:val="22"/>
          <w:szCs w:val="22"/>
        </w:rPr>
        <w:t>souvislosti s úhradou zboží nebo služeb z veřejných výdajů.</w:t>
      </w:r>
    </w:p>
    <w:p w14:paraId="45B45E96" w14:textId="7D758F8F" w:rsidR="007E1BE6" w:rsidRPr="007E1BE6" w:rsidRDefault="007E1BE6" w:rsidP="00F3161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6.2. Dodavatel tímto prohlašuje, že v době uzavření smlouvy není vůči němu vedeno řízení dle zákona č. 182/2006 Sb., o úpadku a způsobech jeho řešení (insolvenční zákon)</w:t>
      </w:r>
      <w:r w:rsidR="00815FCF">
        <w:rPr>
          <w:rFonts w:ascii="Arial" w:hAnsi="Arial" w:cs="Arial"/>
          <w:bCs/>
          <w:sz w:val="22"/>
          <w:szCs w:val="22"/>
        </w:rPr>
        <w:t xml:space="preserve">, </w:t>
      </w:r>
      <w:r w:rsidRPr="007E1BE6">
        <w:rPr>
          <w:rFonts w:ascii="Arial" w:hAnsi="Arial" w:cs="Arial"/>
          <w:bCs/>
          <w:sz w:val="22"/>
          <w:szCs w:val="22"/>
        </w:rPr>
        <w:t>ve znění pozdějších předpisů, a zavazuje se objednatele bezodkladně informovat o všech skutečnostech o hrozícím úpadku, popř. o prohlášení úpadku jeho osoby.</w:t>
      </w:r>
    </w:p>
    <w:p w14:paraId="3C8A539E" w14:textId="77777777" w:rsidR="007E1BE6" w:rsidRPr="007E1BE6" w:rsidRDefault="007E1BE6" w:rsidP="00F3161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6.3. Práva a povinnosti smluvních stran touto Přílohou č. 1 výslovně neupravené se řídí občanským zákoníkem a příslušnými právními předpisy souvisejícími.</w:t>
      </w:r>
    </w:p>
    <w:p w14:paraId="21B6B7AE" w14:textId="77777777" w:rsidR="007E1BE6" w:rsidRPr="007E1BE6" w:rsidRDefault="007E1BE6" w:rsidP="009C08F9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79B15B89" w14:textId="77777777" w:rsidR="007E1BE6" w:rsidRPr="007E1BE6" w:rsidRDefault="007E1BE6" w:rsidP="00F3161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6.4. Práva a povinnosti z plnění objednávky se řídí právním řádem České republiky. V případě vzniku sporu jsou příslušné české soudy. </w:t>
      </w:r>
    </w:p>
    <w:p w14:paraId="4EB4C46A" w14:textId="67F208E3" w:rsidR="007E1BE6" w:rsidRPr="007E1BE6" w:rsidRDefault="007E1BE6" w:rsidP="00F3161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 xml:space="preserve">6.5. Dodavatel svým podpisem níže potvrzuje, že souhlasí s tím, aby objednávka včetně jejích příloh a metadata k této objednávce byla uveřejněna v registru smluv v souladu se zákonem č. 340/2015 Sb., </w:t>
      </w:r>
      <w:r w:rsidR="009C6D9F" w:rsidRPr="009C6D9F">
        <w:rPr>
          <w:rFonts w:ascii="Arial" w:hAnsi="Arial" w:cs="Arial"/>
          <w:bCs/>
          <w:sz w:val="22"/>
          <w:szCs w:val="22"/>
        </w:rPr>
        <w:t>o zvláštních podmínkách účinnosti některých smluv, uveřejňování těchto smluv a o registru smluv (zákon o registru smluv)</w:t>
      </w:r>
      <w:r w:rsidR="00226D5F">
        <w:rPr>
          <w:rFonts w:ascii="Arial" w:hAnsi="Arial" w:cs="Arial"/>
          <w:bCs/>
          <w:sz w:val="22"/>
          <w:szCs w:val="22"/>
        </w:rPr>
        <w:t xml:space="preserve">, </w:t>
      </w:r>
      <w:r w:rsidRPr="007E1BE6">
        <w:rPr>
          <w:rFonts w:ascii="Arial" w:hAnsi="Arial" w:cs="Arial"/>
          <w:bCs/>
          <w:sz w:val="22"/>
          <w:szCs w:val="22"/>
        </w:rPr>
        <w:t>ve znění pozdějších předpisů. Smluvní strany se dohodly, že podklady dle předchozí věty odešle za účelem jejich uveřejnění správci registru smluv objednatel; tím není dotřeno právo dodavatele k jejich odeslání.</w:t>
      </w:r>
    </w:p>
    <w:p w14:paraId="36816795" w14:textId="77777777" w:rsidR="007E1BE6" w:rsidRPr="007E1BE6" w:rsidRDefault="007E1BE6" w:rsidP="00F31619">
      <w:pPr>
        <w:pStyle w:val="Default"/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7E1BE6">
        <w:rPr>
          <w:rFonts w:ascii="Arial" w:hAnsi="Arial" w:cs="Arial"/>
          <w:bCs/>
          <w:sz w:val="22"/>
          <w:szCs w:val="22"/>
        </w:rPr>
        <w:t>6.6. Tato objednávka nabývá účinnosti dnem jejího uveřejnění v registru smluv.</w:t>
      </w:r>
    </w:p>
    <w:p w14:paraId="59893F17" w14:textId="77777777" w:rsidR="007E1BE6" w:rsidRPr="007E1BE6" w:rsidRDefault="007E1BE6" w:rsidP="007E1BE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E8B3B2B" w14:textId="77777777" w:rsidR="006D6E2E" w:rsidRPr="007E1BE6" w:rsidRDefault="006D6E2E" w:rsidP="002C5ABF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8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1545"/>
        <w:gridCol w:w="3572"/>
      </w:tblGrid>
      <w:tr w:rsidR="00793E9D" w14:paraId="15491255" w14:textId="77777777" w:rsidTr="00B27A33">
        <w:tc>
          <w:tcPr>
            <w:tcW w:w="3572" w:type="dxa"/>
            <w:vAlign w:val="center"/>
          </w:tcPr>
          <w:p w14:paraId="20FCE29E" w14:textId="5CD99D52" w:rsidR="00793E9D" w:rsidRDefault="00793E9D" w:rsidP="0032422D">
            <w:pPr>
              <w:pStyle w:val="Default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C5ABF">
              <w:rPr>
                <w:rFonts w:ascii="Arial" w:hAnsi="Arial" w:cs="Arial"/>
                <w:bCs/>
                <w:sz w:val="22"/>
                <w:szCs w:val="22"/>
              </w:rPr>
              <w:t>V Praze dne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545" w:type="dxa"/>
          </w:tcPr>
          <w:p w14:paraId="54F8491B" w14:textId="77777777" w:rsidR="00793E9D" w:rsidRPr="002C5ABF" w:rsidRDefault="00793E9D" w:rsidP="0032422D">
            <w:pPr>
              <w:pStyle w:val="Default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208E7C73" w14:textId="237540F0" w:rsidR="00793E9D" w:rsidRDefault="00793E9D" w:rsidP="0032422D">
            <w:pPr>
              <w:pStyle w:val="Default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C5ABF">
              <w:rPr>
                <w:rFonts w:ascii="Arial" w:hAnsi="Arial" w:cs="Arial"/>
                <w:bCs/>
                <w:sz w:val="22"/>
                <w:szCs w:val="22"/>
              </w:rPr>
              <w:t>V Praze dne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793E9D" w14:paraId="5F486A52" w14:textId="77777777" w:rsidTr="00B27A33">
        <w:tc>
          <w:tcPr>
            <w:tcW w:w="3572" w:type="dxa"/>
          </w:tcPr>
          <w:p w14:paraId="2F511674" w14:textId="77777777" w:rsidR="00793E9D" w:rsidRDefault="00793E9D" w:rsidP="002C5ABF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14:paraId="58590D36" w14:textId="77777777" w:rsidR="00793E9D" w:rsidRDefault="00793E9D" w:rsidP="002C5ABF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72" w:type="dxa"/>
          </w:tcPr>
          <w:p w14:paraId="54D7363B" w14:textId="15A2A44B" w:rsidR="00793E9D" w:rsidRDefault="00793E9D" w:rsidP="002C5ABF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3E9D" w14:paraId="75D49150" w14:textId="77777777" w:rsidTr="00B27A33">
        <w:tc>
          <w:tcPr>
            <w:tcW w:w="3572" w:type="dxa"/>
            <w:tcBorders>
              <w:bottom w:val="single" w:sz="4" w:space="0" w:color="auto"/>
            </w:tcBorders>
          </w:tcPr>
          <w:p w14:paraId="7823B369" w14:textId="539AE61A" w:rsidR="00793E9D" w:rsidRDefault="003878CC" w:rsidP="003878CC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xxxxxxxxxxxxxxxxxxxxxxxxxxxxx</w:t>
            </w:r>
            <w:proofErr w:type="spellEnd"/>
          </w:p>
        </w:tc>
        <w:tc>
          <w:tcPr>
            <w:tcW w:w="1545" w:type="dxa"/>
          </w:tcPr>
          <w:p w14:paraId="236353CC" w14:textId="77777777" w:rsidR="00793E9D" w:rsidRDefault="00793E9D" w:rsidP="003878CC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0CA6CB5E" w14:textId="3C67D38E" w:rsidR="00793E9D" w:rsidRDefault="003878CC" w:rsidP="003878CC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xxxxxxxxxxxxxxxxxxxxxxxxxxxxx</w:t>
            </w:r>
            <w:proofErr w:type="spellEnd"/>
          </w:p>
        </w:tc>
      </w:tr>
      <w:tr w:rsidR="00793E9D" w14:paraId="488AFE10" w14:textId="77777777" w:rsidTr="00B27A33">
        <w:trPr>
          <w:trHeight w:val="340"/>
        </w:trPr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76D7A4CB" w14:textId="69B50A21" w:rsidR="00793E9D" w:rsidRPr="006D6E2E" w:rsidRDefault="00793E9D" w:rsidP="0032422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2C5ABF">
              <w:rPr>
                <w:rFonts w:ascii="Arial" w:hAnsi="Arial" w:cs="Arial"/>
                <w:b/>
                <w:sz w:val="22"/>
                <w:szCs w:val="22"/>
              </w:rPr>
              <w:t>UDr. Kateřina Mihok</w:t>
            </w:r>
          </w:p>
        </w:tc>
        <w:tc>
          <w:tcPr>
            <w:tcW w:w="1545" w:type="dxa"/>
          </w:tcPr>
          <w:p w14:paraId="7500D525" w14:textId="77777777" w:rsidR="00793E9D" w:rsidRPr="002C5ABF" w:rsidRDefault="00793E9D" w:rsidP="0032422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  <w:vAlign w:val="center"/>
          </w:tcPr>
          <w:p w14:paraId="49D9EDF7" w14:textId="53030F81" w:rsidR="00793E9D" w:rsidRPr="0032422D" w:rsidRDefault="00793E9D" w:rsidP="0032422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22D">
              <w:rPr>
                <w:rFonts w:ascii="Arial" w:hAnsi="Arial" w:cs="Arial"/>
                <w:b/>
                <w:sz w:val="22"/>
                <w:szCs w:val="22"/>
              </w:rPr>
              <w:t xml:space="preserve">Isaac Cordova </w:t>
            </w:r>
            <w:proofErr w:type="spellStart"/>
            <w:r w:rsidRPr="0032422D">
              <w:rPr>
                <w:rFonts w:ascii="Arial" w:hAnsi="Arial" w:cs="Arial"/>
                <w:b/>
                <w:sz w:val="22"/>
                <w:szCs w:val="22"/>
              </w:rPr>
              <w:t>Mendez</w:t>
            </w:r>
            <w:proofErr w:type="spellEnd"/>
          </w:p>
        </w:tc>
      </w:tr>
      <w:tr w:rsidR="00793E9D" w14:paraId="2202D744" w14:textId="77777777" w:rsidTr="00B27A33">
        <w:trPr>
          <w:trHeight w:val="340"/>
        </w:trPr>
        <w:tc>
          <w:tcPr>
            <w:tcW w:w="3572" w:type="dxa"/>
            <w:vAlign w:val="center"/>
          </w:tcPr>
          <w:p w14:paraId="5881841F" w14:textId="485977C9" w:rsidR="00793E9D" w:rsidRPr="0032422D" w:rsidRDefault="00793E9D" w:rsidP="0032422D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422D">
              <w:rPr>
                <w:rFonts w:ascii="Arial" w:hAnsi="Arial" w:cs="Arial"/>
                <w:bCs/>
                <w:sz w:val="22"/>
                <w:szCs w:val="22"/>
              </w:rPr>
              <w:t>ředitelka odboru personálního</w:t>
            </w:r>
          </w:p>
        </w:tc>
        <w:tc>
          <w:tcPr>
            <w:tcW w:w="1545" w:type="dxa"/>
          </w:tcPr>
          <w:p w14:paraId="70455714" w14:textId="77777777" w:rsidR="00793E9D" w:rsidRPr="0032422D" w:rsidRDefault="00793E9D" w:rsidP="0032422D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7BB67712" w14:textId="0CDC717A" w:rsidR="00793E9D" w:rsidRPr="0032422D" w:rsidRDefault="00793E9D" w:rsidP="0032422D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422D">
              <w:rPr>
                <w:rFonts w:ascii="Arial" w:hAnsi="Arial" w:cs="Arial"/>
                <w:bCs/>
                <w:sz w:val="22"/>
                <w:szCs w:val="22"/>
              </w:rPr>
              <w:t>dodavatel</w:t>
            </w:r>
          </w:p>
        </w:tc>
      </w:tr>
      <w:tr w:rsidR="00793E9D" w14:paraId="6C77BBE6" w14:textId="77777777" w:rsidTr="00B27A33">
        <w:trPr>
          <w:trHeight w:val="340"/>
        </w:trPr>
        <w:tc>
          <w:tcPr>
            <w:tcW w:w="3572" w:type="dxa"/>
            <w:vAlign w:val="center"/>
          </w:tcPr>
          <w:p w14:paraId="184B2ABB" w14:textId="6FCBD437" w:rsidR="00793E9D" w:rsidRPr="0032422D" w:rsidRDefault="00793E9D" w:rsidP="0032422D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objednatel</w:t>
            </w:r>
          </w:p>
        </w:tc>
        <w:tc>
          <w:tcPr>
            <w:tcW w:w="1545" w:type="dxa"/>
          </w:tcPr>
          <w:p w14:paraId="0994B154" w14:textId="77777777" w:rsidR="00793E9D" w:rsidRPr="002C5ABF" w:rsidRDefault="00793E9D" w:rsidP="0032422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16B3029B" w14:textId="391E8A07" w:rsidR="00793E9D" w:rsidRPr="002C5ABF" w:rsidRDefault="00793E9D" w:rsidP="0032422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CA3719" w14:textId="77777777" w:rsidR="006D6E2E" w:rsidRPr="002C5ABF" w:rsidRDefault="006D6E2E" w:rsidP="006D6E2E">
      <w:pPr>
        <w:jc w:val="left"/>
        <w:rPr>
          <w:szCs w:val="22"/>
        </w:rPr>
      </w:pPr>
    </w:p>
    <w:sectPr w:rsidR="006D6E2E" w:rsidRPr="002C5ABF" w:rsidSect="006D6E2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843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C84C5" w14:textId="77777777" w:rsidR="002B07FE" w:rsidRDefault="002B07FE">
      <w:r>
        <w:separator/>
      </w:r>
    </w:p>
  </w:endnote>
  <w:endnote w:type="continuationSeparator" w:id="0">
    <w:p w14:paraId="65A5B08A" w14:textId="77777777" w:rsidR="002B07FE" w:rsidRDefault="002B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3B2A" w14:textId="2F1301E3" w:rsidR="00FE631B" w:rsidRDefault="0032422D">
    <w:pPr>
      <w:pStyle w:val="Zpat"/>
    </w:pPr>
    <w:fldSimple w:instr=" DOCVARIABLE  dms_cj  \* MERGEFORMAT ">
      <w:r w:rsidRPr="0032422D">
        <w:rPr>
          <w:bCs/>
        </w:rPr>
        <w:t>MZE-44085/2025-11131</w:t>
      </w:r>
    </w:fldSimple>
    <w:r w:rsidR="00226D5F">
      <w:tab/>
    </w:r>
    <w:r w:rsidR="00226D5F">
      <w:fldChar w:fldCharType="begin"/>
    </w:r>
    <w:r w:rsidR="00226D5F">
      <w:instrText>PAGE   \* MERGEFORMAT</w:instrText>
    </w:r>
    <w:r w:rsidR="00226D5F">
      <w:fldChar w:fldCharType="separate"/>
    </w:r>
    <w:r w:rsidR="00226D5F">
      <w:t>2</w:t>
    </w:r>
    <w:r w:rsidR="00226D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3B2C" w14:textId="77777777" w:rsidR="00FE631B" w:rsidRDefault="00226D5F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06993B2D" w14:textId="77777777" w:rsidR="00FE631B" w:rsidRDefault="00226D5F">
    <w:pPr>
      <w:pStyle w:val="Zpat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06993B2E" w14:textId="77777777" w:rsidR="00FE631B" w:rsidRDefault="00226D5F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06993B2F" w14:textId="77777777" w:rsidR="00FE631B" w:rsidRDefault="00FE631B">
    <w:pPr>
      <w:pStyle w:val="Zpat"/>
      <w:tabs>
        <w:tab w:val="clear" w:pos="9072"/>
      </w:tabs>
      <w:ind w:right="-143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EEC0" w14:textId="77777777" w:rsidR="002B07FE" w:rsidRDefault="002B07FE">
      <w:r>
        <w:separator/>
      </w:r>
    </w:p>
  </w:footnote>
  <w:footnote w:type="continuationSeparator" w:id="0">
    <w:p w14:paraId="0F4C8ED2" w14:textId="77777777" w:rsidR="002B07FE" w:rsidRDefault="002B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3B27" w14:textId="76F93161" w:rsidR="00FE631B" w:rsidRDefault="00FE63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3B28" w14:textId="50E83E3D" w:rsidR="00FE631B" w:rsidRDefault="00FE63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3B2B" w14:textId="1DDE5F42" w:rsidR="00FE631B" w:rsidRDefault="00FE6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7EFABE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7E9A75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DCCAC4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C5E0D4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6BD67B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F9E2E0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9C6EA3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0A6C1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AAD2E6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5EF423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838035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2278E0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4030ED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F050CC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30E2A3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6840E5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702121871">
    <w:abstractNumId w:val="0"/>
  </w:num>
  <w:num w:numId="2" w16cid:durableId="1401715043">
    <w:abstractNumId w:val="1"/>
  </w:num>
  <w:num w:numId="3" w16cid:durableId="882904332">
    <w:abstractNumId w:val="2"/>
  </w:num>
  <w:num w:numId="4" w16cid:durableId="1027946938">
    <w:abstractNumId w:val="3"/>
  </w:num>
  <w:num w:numId="5" w16cid:durableId="1765957487">
    <w:abstractNumId w:val="4"/>
  </w:num>
  <w:num w:numId="6" w16cid:durableId="534805196">
    <w:abstractNumId w:val="5"/>
  </w:num>
  <w:num w:numId="7" w16cid:durableId="1841122745">
    <w:abstractNumId w:val="6"/>
  </w:num>
  <w:num w:numId="8" w16cid:durableId="1866627147">
    <w:abstractNumId w:val="7"/>
  </w:num>
  <w:num w:numId="9" w16cid:durableId="2031446680">
    <w:abstractNumId w:val="8"/>
  </w:num>
  <w:num w:numId="10" w16cid:durableId="118958773">
    <w:abstractNumId w:val="9"/>
  </w:num>
  <w:num w:numId="11" w16cid:durableId="2116703667">
    <w:abstractNumId w:val="10"/>
  </w:num>
  <w:num w:numId="12" w16cid:durableId="1287005410">
    <w:abstractNumId w:val="11"/>
  </w:num>
  <w:num w:numId="13" w16cid:durableId="487399928">
    <w:abstractNumId w:val="12"/>
  </w:num>
  <w:num w:numId="14" w16cid:durableId="2140300163">
    <w:abstractNumId w:val="13"/>
  </w:num>
  <w:num w:numId="15" w16cid:durableId="519664731">
    <w:abstractNumId w:val="14"/>
  </w:num>
  <w:num w:numId="16" w16cid:durableId="1685324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Isaac Cordova Mendez_x000d__x000a_Na Maninách 900/50_x000d__x000a_Holešovice_x000d__x000a_170 00 Praha 7"/>
    <w:docVar w:name="dms_adresat_adresa" w:val="Na Maninách 900/50_x000d__x000a_Holešovice_x000d__x000a_170 00 Praha 7"/>
    <w:docVar w:name="dms_adresat_dat_narozeni" w:val="%%%nevyplněno%%%"/>
    <w:docVar w:name="dms_adresat_ic" w:val="87726980"/>
    <w:docVar w:name="dms_adresat_jmeno" w:val="Isaac Cordova Mendez"/>
    <w:docVar w:name="dms_carovy_kod" w:val="mzedms029548357"/>
    <w:docVar w:name="dms_carovy_kod_cj" w:val="MZE-44085/2025-11131"/>
    <w:docVar w:name="dms_cj" w:val="MZE-44085/2025-11131"/>
    <w:docVar w:name="dms_cj_skn" w:val="%%%nevyplněno%%%"/>
    <w:docVar w:name="dms_datum" w:val="4. 6. 2025"/>
    <w:docVar w:name="dms_datum_textem" w:val="4. června 2025"/>
    <w:docVar w:name="dms_datum_vzniku" w:val="4. 6. 2025 8:53:42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JUDr. Kateřina Mihok_x000d__x000a_ředitelka odboru"/>
    <w:docVar w:name="dms_podpisova_dolozka_funkce" w:val="ředitelka odboru"/>
    <w:docVar w:name="dms_podpisova_dolozka_jmeno" w:val="JUDr. Kateřina Miho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Ing. Naděžda Kantnerová"/>
    <w:docVar w:name="dms_spravce_mail" w:val="Nadezda.Kantnerova@mze.gov.cz"/>
    <w:docVar w:name="dms_spravce_telefon" w:val="22181229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30"/>
    <w:docVar w:name="dms_utvar_nazev" w:val="Odbor personální"/>
    <w:docVar w:name="dms_utvar_nazev_adresa" w:val="11130 - Odbor personální_x000d__x000a_Těšnov 65/17_x000d__x000a_Nové Město_x000d__x000a_110 00 Praha 1"/>
    <w:docVar w:name="dms_utvar_nazev_do_dopisu" w:val="Odbor personální"/>
    <w:docVar w:name="dms_vec" w:val="Zajištění individuální odborné výuky španělského jazyka pro zaměstnance Ministerstva zemědělství - školní rok 2025/2026"/>
    <w:docVar w:name="dms_VNVSpravce" w:val="%%%nevyplněno%%%"/>
    <w:docVar w:name="dms_zpracoval_jmeno" w:val="Ing. Naděžda Kantnerová"/>
    <w:docVar w:name="dms_zpracoval_mail" w:val="Nadezda.Kantnerova@mze.gov.cz"/>
    <w:docVar w:name="dms_zpracoval_telefon" w:val="221812292"/>
  </w:docVars>
  <w:rsids>
    <w:rsidRoot w:val="00FE631B"/>
    <w:rsid w:val="00002287"/>
    <w:rsid w:val="00025921"/>
    <w:rsid w:val="000948DF"/>
    <w:rsid w:val="00114AE3"/>
    <w:rsid w:val="00141371"/>
    <w:rsid w:val="001518FB"/>
    <w:rsid w:val="001530D4"/>
    <w:rsid w:val="00180BC5"/>
    <w:rsid w:val="001A7DA7"/>
    <w:rsid w:val="00226D5F"/>
    <w:rsid w:val="002562AE"/>
    <w:rsid w:val="0028239C"/>
    <w:rsid w:val="002B07FE"/>
    <w:rsid w:val="002B668F"/>
    <w:rsid w:val="002C2C04"/>
    <w:rsid w:val="002C5ABF"/>
    <w:rsid w:val="002E6E49"/>
    <w:rsid w:val="00307331"/>
    <w:rsid w:val="0032422D"/>
    <w:rsid w:val="0032462B"/>
    <w:rsid w:val="003878CC"/>
    <w:rsid w:val="00397257"/>
    <w:rsid w:val="004065B9"/>
    <w:rsid w:val="0043351F"/>
    <w:rsid w:val="004B7B21"/>
    <w:rsid w:val="00523E28"/>
    <w:rsid w:val="0059234D"/>
    <w:rsid w:val="005954D0"/>
    <w:rsid w:val="005F16FA"/>
    <w:rsid w:val="00687BB6"/>
    <w:rsid w:val="006D6E2E"/>
    <w:rsid w:val="00737074"/>
    <w:rsid w:val="00745066"/>
    <w:rsid w:val="00766A59"/>
    <w:rsid w:val="00793E9D"/>
    <w:rsid w:val="007E1BE6"/>
    <w:rsid w:val="00815FCF"/>
    <w:rsid w:val="008768DE"/>
    <w:rsid w:val="00882268"/>
    <w:rsid w:val="009332A1"/>
    <w:rsid w:val="009558A4"/>
    <w:rsid w:val="009C08F9"/>
    <w:rsid w:val="009C6D9F"/>
    <w:rsid w:val="00A41F45"/>
    <w:rsid w:val="00A536CE"/>
    <w:rsid w:val="00A60F33"/>
    <w:rsid w:val="00A83643"/>
    <w:rsid w:val="00AB1410"/>
    <w:rsid w:val="00B27A33"/>
    <w:rsid w:val="00BB2CBB"/>
    <w:rsid w:val="00BD2ADF"/>
    <w:rsid w:val="00C73941"/>
    <w:rsid w:val="00C932BB"/>
    <w:rsid w:val="00D91EF4"/>
    <w:rsid w:val="00DC3050"/>
    <w:rsid w:val="00E42568"/>
    <w:rsid w:val="00E70C8D"/>
    <w:rsid w:val="00E77F74"/>
    <w:rsid w:val="00F31619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06993B20"/>
  <w15:docId w15:val="{70913DBF-F09D-4FF3-BEB6-0C69766E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2C5AB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6D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23E28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1309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Kantnerová Naděžda</cp:lastModifiedBy>
  <cp:revision>2</cp:revision>
  <dcterms:created xsi:type="dcterms:W3CDTF">2025-06-13T09:13:00Z</dcterms:created>
  <dcterms:modified xsi:type="dcterms:W3CDTF">2025-06-13T09:13:00Z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