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187" w:lineRule="auto"/>
        <w:ind w:left="0" w:right="0" w:firstLine="0"/>
        <w:jc w:val="center"/>
      </w:pPr>
      <w:r>
        <w:rPr>
          <w:b/>
          <w:bCs/>
          <w:color w:val="000000"/>
          <w:spacing w:val="0"/>
          <w:w w:val="100"/>
          <w:position w:val="0"/>
          <w:sz w:val="52"/>
          <w:szCs w:val="52"/>
          <w:shd w:val="clear" w:color="auto" w:fill="auto"/>
          <w:lang w:val="cs-CZ" w:eastAsia="cs-CZ" w:bidi="cs-CZ"/>
        </w:rPr>
        <w:t>Kupní smlouva</w:t>
        <w:br/>
      </w:r>
      <w:r>
        <w:rPr>
          <w:i/>
          <w:iCs/>
          <w:color w:val="000000"/>
          <w:spacing w:val="0"/>
          <w:w w:val="100"/>
          <w:position w:val="0"/>
          <w:shd w:val="clear" w:color="auto" w:fill="auto"/>
          <w:lang w:val="cs-CZ" w:eastAsia="cs-CZ" w:bidi="cs-CZ"/>
        </w:rPr>
        <w:t>uzavřená dle ustanovení § 2079 a násl. zákona č. 89/2012 Sb., občanský zákoník,</w:t>
        <w:br/>
        <w:t>ve znění pozdějších předpisů (dále jen „občanský zákoník“)</w:t>
      </w:r>
    </w:p>
    <w:p>
      <w:pPr>
        <w:pStyle w:val="Style2"/>
        <w:keepNext w:val="0"/>
        <w:keepLines w:val="0"/>
        <w:widowControl w:val="0"/>
        <w:shd w:val="clear" w:color="auto" w:fill="auto"/>
        <w:tabs>
          <w:tab w:pos="210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tab/>
      </w:r>
      <w:r>
        <w:rPr>
          <w:b/>
          <w:bCs/>
          <w:color w:val="000000"/>
          <w:spacing w:val="0"/>
          <w:w w:val="100"/>
          <w:position w:val="0"/>
          <w:shd w:val="clear" w:color="auto" w:fill="auto"/>
          <w:lang w:val="cs-CZ" w:eastAsia="cs-CZ" w:bidi="cs-CZ"/>
        </w:rPr>
        <w:t>Římskokatolická farnost Kryry</w:t>
      </w:r>
    </w:p>
    <w:p>
      <w:pPr>
        <w:pStyle w:val="Style2"/>
        <w:keepNext w:val="0"/>
        <w:keepLines w:val="0"/>
        <w:widowControl w:val="0"/>
        <w:shd w:val="clear" w:color="auto" w:fill="auto"/>
        <w:bidi w:val="0"/>
        <w:spacing w:before="0" w:after="0" w:line="240" w:lineRule="auto"/>
        <w:ind w:left="2100" w:right="0" w:firstLine="40"/>
        <w:jc w:val="left"/>
      </w:pPr>
      <w:r>
        <w:rPr>
          <w:color w:val="000000"/>
          <w:spacing w:val="0"/>
          <w:w w:val="100"/>
          <w:position w:val="0"/>
          <w:shd w:val="clear" w:color="auto" w:fill="auto"/>
          <w:lang w:val="cs-CZ" w:eastAsia="cs-CZ" w:bidi="cs-CZ"/>
        </w:rPr>
        <w:t>zapsaná v rejstříku evidovaných právnických osob vedeném Ministerstvem kultury pod č. 8/1-03-213/1994 ze dne 01.07.1994</w:t>
      </w:r>
    </w:p>
    <w:p>
      <w:pPr>
        <w:pStyle w:val="Style2"/>
        <w:keepNext w:val="0"/>
        <w:keepLines w:val="0"/>
        <w:widowControl w:val="0"/>
        <w:shd w:val="clear" w:color="auto" w:fill="auto"/>
        <w:tabs>
          <w:tab w:pos="2107"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Na Kopci 108, 441 01 Podbořany</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 Zastoupená:</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107" w:val="left"/>
        </w:tabs>
        <w:bidi w:val="0"/>
        <w:spacing w:before="0" w:after="0" w:line="240" w:lineRule="auto"/>
        <w:ind w:left="0" w:right="0" w:firstLine="0"/>
        <w:jc w:val="left"/>
      </w:pPr>
      <w:r>
        <w:rPr>
          <w:color w:val="000000"/>
          <w:spacing w:val="0"/>
          <w:w w:val="100"/>
          <w:position w:val="0"/>
          <w:shd w:val="clear" w:color="auto" w:fill="auto"/>
          <w:lang w:val="cs-CZ" w:eastAsia="cs-CZ" w:bidi="cs-CZ"/>
        </w:rPr>
        <w:t>Kupující:</w:t>
        <w:tab/>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100" w:right="0" w:firstLine="40"/>
        <w:jc w:val="left"/>
      </w:pPr>
      <w:r>
        <w:rPr>
          <w:color w:val="000000"/>
          <w:spacing w:val="0"/>
          <w:w w:val="100"/>
          <w:position w:val="0"/>
          <w:shd w:val="clear" w:color="auto" w:fill="auto"/>
          <w:lang w:val="cs-CZ" w:eastAsia="cs-CZ" w:bidi="cs-CZ"/>
        </w:rPr>
        <w:t>zapsaný v obchodním rejstříku u Krajského soudu v Ústí nad Labem v oddílu A, vložce č. 13052</w:t>
      </w:r>
    </w:p>
    <w:p>
      <w:pPr>
        <w:pStyle w:val="Style2"/>
        <w:keepNext w:val="0"/>
        <w:keepLines w:val="0"/>
        <w:widowControl w:val="0"/>
        <w:shd w:val="clear" w:color="auto" w:fill="auto"/>
        <w:tabs>
          <w:tab w:pos="2107" w:val="left"/>
          <w:tab w:pos="5141" w:val="center"/>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w:t>
        <w:tab/>
        <w:t>Chomutov</w:t>
      </w:r>
    </w:p>
    <w:p>
      <w:pPr>
        <w:pStyle w:val="Style2"/>
        <w:keepNext w:val="0"/>
        <w:keepLines w:val="0"/>
        <w:widowControl w:val="0"/>
        <w:shd w:val="clear" w:color="auto" w:fill="auto"/>
        <w:tabs>
          <w:tab w:pos="210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10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w:t>
      </w:r>
      <w:r>
        <w:rPr>
          <w:b/>
          <w:bCs/>
          <w:i/>
          <w:iCs/>
          <w:color w:val="000000"/>
          <w:spacing w:val="0"/>
          <w:w w:val="100"/>
          <w:position w:val="0"/>
          <w:shd w:val="clear" w:color="auto" w:fill="auto"/>
          <w:lang w:val="cs-CZ" w:eastAsia="cs-CZ" w:bidi="cs-CZ"/>
        </w:rPr>
        <w:t>kupující</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center"/>
      </w:pPr>
      <w:r>
        <w:rPr>
          <w:i/>
          <w:iCs/>
          <w:color w:val="000000"/>
          <w:spacing w:val="0"/>
          <w:w w:val="100"/>
          <w:position w:val="0"/>
          <w:shd w:val="clear" w:color="auto" w:fill="auto"/>
          <w:lang w:val="cs-CZ" w:eastAsia="cs-CZ" w:bidi="cs-CZ"/>
        </w:rPr>
        <w:t>uzavírají níže uvedeného data tuto kupní smlouvu:</w:t>
      </w:r>
    </w:p>
    <w:p>
      <w:pPr>
        <w:pStyle w:val="Style2"/>
        <w:keepNext w:val="0"/>
        <w:keepLines w:val="0"/>
        <w:widowControl w:val="0"/>
        <w:numPr>
          <w:ilvl w:val="0"/>
          <w:numId w:val="1"/>
        </w:numPr>
        <w:shd w:val="clear" w:color="auto" w:fill="auto"/>
        <w:bidi w:val="0"/>
        <w:spacing w:before="0" w:after="40" w:line="240" w:lineRule="auto"/>
        <w:ind w:left="0" w:right="0" w:firstLine="0"/>
        <w:jc w:val="center"/>
      </w:pPr>
      <w:bookmarkStart w:id="0" w:name="bookmark0"/>
      <w:bookmarkEnd w:id="0"/>
      <w:r>
        <w:rPr>
          <w:b/>
          <w:bCs/>
          <w:color w:val="000000"/>
          <w:spacing w:val="0"/>
          <w:w w:val="100"/>
          <w:position w:val="0"/>
          <w:shd w:val="clear" w:color="auto" w:fill="auto"/>
          <w:lang w:val="cs-CZ" w:eastAsia="cs-CZ" w:bidi="cs-CZ"/>
        </w:rPr>
        <w:br/>
        <w:t>Předmět kupní smlouvy</w:t>
      </w:r>
    </w:p>
    <w:p>
      <w:pPr>
        <w:pStyle w:val="Style2"/>
        <w:keepNext w:val="0"/>
        <w:keepLines w:val="0"/>
        <w:widowControl w:val="0"/>
        <w:numPr>
          <w:ilvl w:val="0"/>
          <w:numId w:val="3"/>
        </w:numPr>
        <w:shd w:val="clear" w:color="auto" w:fill="auto"/>
        <w:tabs>
          <w:tab w:pos="427" w:val="left"/>
        </w:tabs>
        <w:bidi w:val="0"/>
        <w:spacing w:before="0" w:after="320" w:line="240" w:lineRule="auto"/>
        <w:ind w:left="420" w:right="0" w:hanging="420"/>
        <w:jc w:val="left"/>
      </w:pPr>
      <w:bookmarkStart w:id="1" w:name="bookmark1"/>
      <w:bookmarkEnd w:id="1"/>
      <w:r>
        <w:rPr>
          <w:color w:val="000000"/>
          <w:spacing w:val="0"/>
          <w:w w:val="100"/>
          <w:position w:val="0"/>
          <w:shd w:val="clear" w:color="auto" w:fill="auto"/>
          <w:lang w:val="cs-CZ" w:eastAsia="cs-CZ" w:bidi="cs-CZ"/>
        </w:rPr>
        <w:t>Prodávající prohlašuje, že má ve svém vlastnictví následující nemovitou věc (včetně jejích součástí a příslušenství):</w:t>
      </w:r>
    </w:p>
    <w:tbl>
      <w:tblPr>
        <w:tblOverlap w:val="never"/>
        <w:jc w:val="center"/>
        <w:tblLayout w:type="fixed"/>
      </w:tblPr>
      <w:tblGrid>
        <w:gridCol w:w="2832"/>
        <w:gridCol w:w="2962"/>
        <w:gridCol w:w="2870"/>
      </w:tblGrid>
      <w:tr>
        <w:trPr>
          <w:trHeight w:val="46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61"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1320</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lesní pozemek</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Strojetice u Podbořan</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která je zapsána u Katastrálního úřadu pro Ústecký kraj, Katastrální pracoviště Žatec na LV č. 286 pro k. ú. Strojetice u Podbořan.</w:t>
      </w:r>
    </w:p>
    <w:p>
      <w:pPr>
        <w:widowControl w:val="0"/>
        <w:spacing w:after="379" w:line="1" w:lineRule="exact"/>
      </w:pP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Předmětem kupní smlouvy je následující nemovitá věc </w:t>
      </w:r>
      <w:r>
        <w:rPr>
          <w:color w:val="000000"/>
          <w:spacing w:val="0"/>
          <w:w w:val="100"/>
          <w:position w:val="0"/>
          <w:shd w:val="clear" w:color="auto" w:fill="auto"/>
          <w:lang w:val="cs-CZ" w:eastAsia="cs-CZ" w:bidi="cs-CZ"/>
        </w:rPr>
        <w:t xml:space="preserve">(včetně jejích součástí a příslušenství) </w:t>
      </w:r>
      <w:r>
        <w:rPr>
          <w:b/>
          <w:bCs/>
          <w:color w:val="000000"/>
          <w:spacing w:val="0"/>
          <w:w w:val="100"/>
          <w:position w:val="0"/>
          <w:shd w:val="clear" w:color="auto" w:fill="auto"/>
          <w:lang w:val="cs-CZ" w:eastAsia="cs-CZ" w:bidi="cs-CZ"/>
        </w:rPr>
        <w:t>dle GP č. 262-29/2025</w:t>
      </w:r>
      <w:r>
        <w:rPr>
          <w:color w:val="000000"/>
          <w:spacing w:val="0"/>
          <w:w w:val="100"/>
          <w:position w:val="0"/>
          <w:shd w:val="clear" w:color="auto" w:fill="auto"/>
          <w:lang w:val="cs-CZ" w:eastAsia="cs-CZ" w:bidi="cs-CZ"/>
        </w:rPr>
        <w:t>, který je nedílnou součástí smlouvy:</w:t>
      </w:r>
    </w:p>
    <w:tbl>
      <w:tblPr>
        <w:tblOverlap w:val="never"/>
        <w:jc w:val="center"/>
        <w:tblLayout w:type="fixed"/>
      </w:tblPr>
      <w:tblGrid>
        <w:gridCol w:w="2832"/>
        <w:gridCol w:w="2962"/>
        <w:gridCol w:w="2870"/>
      </w:tblGrid>
      <w:tr>
        <w:trPr>
          <w:trHeight w:val="461"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66"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1320/2</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lesní pozemek</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Strojetice u Podbořan</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„předmět převodu“</w:t>
      </w:r>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397" w:val="left"/>
        </w:tabs>
        <w:bidi w:val="0"/>
        <w:spacing w:before="0" w:line="240" w:lineRule="auto"/>
        <w:ind w:left="440" w:right="0" w:hanging="440"/>
        <w:jc w:val="both"/>
      </w:pPr>
      <w:bookmarkStart w:id="2" w:name="bookmark2"/>
      <w:bookmarkEnd w:id="2"/>
      <w:r>
        <w:rPr>
          <w:color w:val="000000"/>
          <w:spacing w:val="0"/>
          <w:w w:val="100"/>
          <w:position w:val="0"/>
          <w:shd w:val="clear" w:color="auto" w:fill="auto"/>
          <w:lang w:val="cs-CZ" w:eastAsia="cs-CZ" w:bidi="cs-CZ"/>
        </w:rPr>
        <w:t>S předmětem převodu se převádí všechny jeho součásti a příslušenství. Bližší popis předmětu převodu je obsažen ve znaleckém posudku, uvedeném v čl. II. odst. 1 této smlouvy, s jehož obsahem byly smluvní strany před podpisem této smlouvy seznámeny.</w:t>
      </w:r>
    </w:p>
    <w:p>
      <w:pPr>
        <w:pStyle w:val="Style2"/>
        <w:keepNext w:val="0"/>
        <w:keepLines w:val="0"/>
        <w:widowControl w:val="0"/>
        <w:numPr>
          <w:ilvl w:val="0"/>
          <w:numId w:val="3"/>
        </w:numPr>
        <w:shd w:val="clear" w:color="auto" w:fill="auto"/>
        <w:tabs>
          <w:tab w:pos="397" w:val="left"/>
        </w:tabs>
        <w:bidi w:val="0"/>
        <w:spacing w:before="0" w:line="240" w:lineRule="auto"/>
        <w:ind w:left="440" w:right="0" w:hanging="440"/>
        <w:jc w:val="both"/>
      </w:pPr>
      <w:bookmarkStart w:id="3" w:name="bookmark3"/>
      <w:bookmarkEnd w:id="3"/>
      <w:r>
        <w:rPr>
          <w:color w:val="000000"/>
          <w:spacing w:val="0"/>
          <w:w w:val="100"/>
          <w:position w:val="0"/>
          <w:shd w:val="clear" w:color="auto" w:fill="auto"/>
          <w:lang w:val="cs-CZ" w:eastAsia="cs-CZ" w:bidi="cs-CZ"/>
        </w:rPr>
        <w:t>Účelem této smlouvy je majetkoprávní vypořádání předmětu převodu, dotčeného plánovanou realizací stavby vodního díla Kryry, jejímž investorem je kupující.</w:t>
      </w:r>
    </w:p>
    <w:p>
      <w:pPr>
        <w:pStyle w:val="Style2"/>
        <w:keepNext w:val="0"/>
        <w:keepLines w:val="0"/>
        <w:widowControl w:val="0"/>
        <w:numPr>
          <w:ilvl w:val="0"/>
          <w:numId w:val="3"/>
        </w:numPr>
        <w:shd w:val="clear" w:color="auto" w:fill="auto"/>
        <w:tabs>
          <w:tab w:pos="397" w:val="left"/>
        </w:tabs>
        <w:bidi w:val="0"/>
        <w:spacing w:before="0" w:line="240" w:lineRule="auto"/>
        <w:ind w:left="440" w:right="0" w:hanging="440"/>
        <w:jc w:val="both"/>
      </w:pPr>
      <w:bookmarkStart w:id="4" w:name="bookmark4"/>
      <w:bookmarkEnd w:id="4"/>
      <w:r>
        <w:rPr>
          <w:color w:val="000000"/>
          <w:spacing w:val="0"/>
          <w:w w:val="100"/>
          <w:position w:val="0"/>
          <w:shd w:val="clear" w:color="auto" w:fill="auto"/>
          <w:lang w:val="cs-CZ" w:eastAsia="cs-CZ" w:bidi="cs-CZ"/>
        </w:rPr>
        <w:t>Prodávající je srozuměn s tím, že vodní dílo Kryry je akce hrazená za použití finančních prostředků z rozpočtové kapitoly Operace státních finančních aktiv a prostředků státního rozpočtu. Výše uvedené finanční prostředky jsou uvolňovány do rozpočtu kupujícího na základě vydaného Rozhodnutí o poskytnutí dotace a jsou určeny výlučně na úhradu kupní ceny dle této smlouvy.</w:t>
      </w:r>
    </w:p>
    <w:p>
      <w:pPr>
        <w:pStyle w:val="Style2"/>
        <w:keepNext w:val="0"/>
        <w:keepLines w:val="0"/>
        <w:widowControl w:val="0"/>
        <w:numPr>
          <w:ilvl w:val="0"/>
          <w:numId w:val="3"/>
        </w:numPr>
        <w:shd w:val="clear" w:color="auto" w:fill="auto"/>
        <w:tabs>
          <w:tab w:pos="397" w:val="left"/>
        </w:tabs>
        <w:bidi w:val="0"/>
        <w:spacing w:before="0" w:after="680" w:line="240" w:lineRule="auto"/>
        <w:ind w:left="440" w:right="0" w:hanging="440"/>
        <w:jc w:val="both"/>
      </w:pPr>
      <w:bookmarkStart w:id="5" w:name="bookmark5"/>
      <w:bookmarkEnd w:id="5"/>
      <w:r>
        <w:rPr>
          <w:color w:val="000000"/>
          <w:spacing w:val="0"/>
          <w:w w:val="100"/>
          <w:position w:val="0"/>
          <w:shd w:val="clear" w:color="auto" w:fill="auto"/>
          <w:lang w:val="cs-CZ" w:eastAsia="cs-CZ" w:bidi="cs-CZ"/>
        </w:rPr>
        <w:t>Prodávající touto smlouvou prodává předmět převodu ve svém vlastnictví kupujícímu a kupující jej od prodávajícího kupuje a přijímá do vlastnictví České republiky, práva hospodařit s majetkem státu pro Povodí Ohře, státní podnik, spolu se všemi součástmi a příslušenstvím a spolu s veškerými právy a povinnostmi s předmětem převodu spojenými.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cena a platební podmínky</w:t>
      </w:r>
    </w:p>
    <w:p>
      <w:pPr>
        <w:pStyle w:val="Style2"/>
        <w:keepNext w:val="0"/>
        <w:keepLines w:val="0"/>
        <w:widowControl w:val="0"/>
        <w:numPr>
          <w:ilvl w:val="0"/>
          <w:numId w:val="5"/>
        </w:numPr>
        <w:shd w:val="clear" w:color="auto" w:fill="auto"/>
        <w:tabs>
          <w:tab w:pos="397" w:val="left"/>
        </w:tabs>
        <w:bidi w:val="0"/>
        <w:spacing w:before="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 xml:space="preserve">Předmět převodu, vč. všech součástí a příslušenství, byl oceněn na základě znaleckého posudku č. 012688/2025 ze dne 07.02.2025 vypracovaného znaleckým ústavem ENI CONSULT spol. s r.o., </w:t>
      </w:r>
      <w:r>
        <w:rPr>
          <w:b/>
          <w:bCs/>
          <w:color w:val="000000"/>
          <w:spacing w:val="0"/>
          <w:w w:val="100"/>
          <w:position w:val="0"/>
          <w:shd w:val="clear" w:color="auto" w:fill="auto"/>
          <w:lang w:val="cs-CZ" w:eastAsia="cs-CZ" w:bidi="cs-CZ"/>
        </w:rPr>
        <w:t xml:space="preserve">pro stanovení finanční náhrady </w:t>
      </w:r>
      <w:r>
        <w:rPr>
          <w:color w:val="000000"/>
          <w:spacing w:val="0"/>
          <w:w w:val="100"/>
          <w:position w:val="0"/>
          <w:shd w:val="clear" w:color="auto" w:fill="auto"/>
          <w:lang w:val="cs-CZ" w:eastAsia="cs-CZ" w:bidi="cs-CZ"/>
        </w:rPr>
        <w:t xml:space="preserve">za vykupovaný majetek </w:t>
      </w:r>
      <w:r>
        <w:rPr>
          <w:b/>
          <w:bCs/>
          <w:color w:val="000000"/>
          <w:spacing w:val="0"/>
          <w:w w:val="100"/>
          <w:position w:val="0"/>
          <w:shd w:val="clear" w:color="auto" w:fill="auto"/>
          <w:lang w:val="cs-CZ" w:eastAsia="cs-CZ" w:bidi="cs-CZ"/>
        </w:rPr>
        <w:t xml:space="preserve">dle „Zásad pro vypořádání práv k nemovitým věcem dotčeným plánovanou realizací vodního díla Kryry“ ve smyslu Usnesení vlády ČR ze dne 5. října 2020 č. 971, </w:t>
      </w:r>
      <w:r>
        <w:rPr>
          <w:color w:val="000000"/>
          <w:spacing w:val="0"/>
          <w:w w:val="100"/>
          <w:position w:val="0"/>
          <w:shd w:val="clear" w:color="auto" w:fill="auto"/>
          <w:lang w:val="cs-CZ" w:eastAsia="cs-CZ" w:bidi="cs-CZ"/>
        </w:rPr>
        <w:t xml:space="preserve">zákona č. 151/1997 Sb., o oceňování majetku, ve znění pozdějších předpisů a vyhlášky MF ČR č. 441/2013 Sb., ve znění pozdějších předpisů, </w:t>
      </w:r>
      <w:r>
        <w:rPr>
          <w:b/>
          <w:bCs/>
          <w:color w:val="000000"/>
          <w:spacing w:val="0"/>
          <w:w w:val="100"/>
          <w:position w:val="0"/>
          <w:shd w:val="clear" w:color="auto" w:fill="auto"/>
          <w:lang w:val="cs-CZ" w:eastAsia="cs-CZ" w:bidi="cs-CZ"/>
        </w:rPr>
        <w:t>podle stavu ke dni 05.02.2025.</w:t>
      </w:r>
    </w:p>
    <w:p>
      <w:pPr>
        <w:pStyle w:val="Style2"/>
        <w:keepNext w:val="0"/>
        <w:keepLines w:val="0"/>
        <w:widowControl w:val="0"/>
        <w:numPr>
          <w:ilvl w:val="0"/>
          <w:numId w:val="5"/>
        </w:numPr>
        <w:shd w:val="clear" w:color="auto" w:fill="auto"/>
        <w:tabs>
          <w:tab w:pos="397" w:val="left"/>
        </w:tabs>
        <w:bidi w:val="0"/>
        <w:spacing w:before="0" w:line="240" w:lineRule="auto"/>
        <w:ind w:left="0" w:right="0" w:firstLine="0"/>
        <w:jc w:val="both"/>
      </w:pPr>
      <w:bookmarkStart w:id="7" w:name="bookmark7"/>
      <w:bookmarkEnd w:id="7"/>
      <w:r>
        <w:rPr>
          <w:color w:val="000000"/>
          <w:spacing w:val="0"/>
          <w:w w:val="100"/>
          <w:position w:val="0"/>
          <w:shd w:val="clear" w:color="auto" w:fill="auto"/>
          <w:lang w:val="cs-CZ" w:eastAsia="cs-CZ" w:bidi="cs-CZ"/>
        </w:rPr>
        <w:t>Kupní cena je stanovena v celkové výši včetně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835.780,- Kč</w:t>
      </w:r>
    </w:p>
    <w:p>
      <w:pPr>
        <w:pStyle w:val="Style2"/>
        <w:keepNext w:val="0"/>
        <w:keepLines w:val="0"/>
        <w:widowControl w:val="0"/>
        <w:shd w:val="clear" w:color="auto" w:fill="auto"/>
        <w:bidi w:val="0"/>
        <w:spacing w:before="0" w:after="200" w:line="240" w:lineRule="auto"/>
        <w:ind w:left="0" w:right="0" w:firstLine="0"/>
        <w:jc w:val="center"/>
      </w:pPr>
      <w:r>
        <w:rPr>
          <w:i/>
          <w:iCs/>
          <w:color w:val="000000"/>
          <w:spacing w:val="0"/>
          <w:w w:val="100"/>
          <w:position w:val="0"/>
          <w:shd w:val="clear" w:color="auto" w:fill="auto"/>
          <w:lang w:val="cs-CZ" w:eastAsia="cs-CZ" w:bidi="cs-CZ"/>
        </w:rPr>
        <w:t>(slovy: osm set třicet pět tisíc sedm set osmdesát korun českých),</w: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a je splatná na základě daňového dokladu vystaveného prodávajícím do 15 dnů od doručení vyrozumění o provedení vkladu vlastnického práva do katastru nemovitostí. Splatnost daňového dokladu je stanovena na 30 dní ode dne jeho vystavení bezhotovostním převodem na bankovní účet prodávajícího, uvedený v záhlaví smlouvy, s čímž prodávající výslovně souhlasí.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8"/>
        <w:keepNext/>
        <w:keepLines/>
        <w:widowControl w:val="0"/>
        <w:shd w:val="clear" w:color="auto" w:fill="auto"/>
        <w:bidi w:val="0"/>
        <w:spacing w:before="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Prohlášení smluvních stran</w:t>
      </w:r>
      <w:bookmarkEnd w:id="10"/>
      <w:bookmarkEnd w:id="8"/>
      <w:bookmarkEnd w:id="9"/>
    </w:p>
    <w:p>
      <w:pPr>
        <w:pStyle w:val="Style2"/>
        <w:keepNext w:val="0"/>
        <w:keepLines w:val="0"/>
        <w:widowControl w:val="0"/>
        <w:numPr>
          <w:ilvl w:val="0"/>
          <w:numId w:val="7"/>
        </w:numPr>
        <w:shd w:val="clear" w:color="auto" w:fill="auto"/>
        <w:tabs>
          <w:tab w:pos="397"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Prodávající prohlašuje, že ke dni podpisu této kupní smlouvy k předmětu převodu neexistují žádné jiné smlouvy či dohody, které by ohledně předmětu převodu dle této kupní smlouvy zakládaly ve prospěch třetích osob stejná, nebo obdobná práva, zejm. služebnosti, zástavní práva, nájem a pacht. Prodávající dále prohlašuje, že neexistují žádná jiná práva, jež se zapisují do katastru nemovitostí, která dosud v katastru nemovitostí nejsou zapsána.</w:t>
      </w:r>
    </w:p>
    <w:p>
      <w:pPr>
        <w:pStyle w:val="Style2"/>
        <w:keepNext w:val="0"/>
        <w:keepLines w:val="0"/>
        <w:widowControl w:val="0"/>
        <w:numPr>
          <w:ilvl w:val="0"/>
          <w:numId w:val="7"/>
        </w:numPr>
        <w:shd w:val="clear" w:color="auto" w:fill="auto"/>
        <w:tabs>
          <w:tab w:pos="397"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Prodávající dále prohlašuje, že ke dni podpisu této kupní smlouvy nejsou u příslušného katastrálního úřadu ohledně předmětu převodu dle této kupní smlouvy podány žádné jiné návrhy, o nichž dosud nebylo pravomocně rozhodnuto, že předmět převodu není předmětem exekučního a insolvenčního řízení.</w:t>
      </w:r>
    </w:p>
    <w:p>
      <w:pPr>
        <w:pStyle w:val="Style2"/>
        <w:keepNext w:val="0"/>
        <w:keepLines w:val="0"/>
        <w:widowControl w:val="0"/>
        <w:numPr>
          <w:ilvl w:val="0"/>
          <w:numId w:val="7"/>
        </w:numPr>
        <w:shd w:val="clear" w:color="auto" w:fill="auto"/>
        <w:tabs>
          <w:tab w:pos="397"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Prodávající prohlašuje, že do dne vkladu vlastnického práva ve prospěch kupujícího podle této smlouvy nezřídí ve prospěch třetích osob žádná práva uvedená v odstavci 1) a 2) tohoto článku.</w:t>
      </w:r>
    </w:p>
    <w:p>
      <w:pPr>
        <w:pStyle w:val="Style2"/>
        <w:keepNext w:val="0"/>
        <w:keepLines w:val="0"/>
        <w:widowControl w:val="0"/>
        <w:numPr>
          <w:ilvl w:val="0"/>
          <w:numId w:val="7"/>
        </w:numPr>
        <w:shd w:val="clear" w:color="auto" w:fill="auto"/>
        <w:tabs>
          <w:tab w:pos="412"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Kupující je oprávněn od této smlouvy odstoupit, jestliže se prokáže, že prohlášení prodávajícího uvedená v odst. 1), 2) a 3) tohoto článku nejsou pravdivá, úplná nebo přesná.</w:t>
      </w:r>
    </w:p>
    <w:p>
      <w:pPr>
        <w:pStyle w:val="Style2"/>
        <w:keepNext w:val="0"/>
        <w:keepLines w:val="0"/>
        <w:widowControl w:val="0"/>
        <w:numPr>
          <w:ilvl w:val="0"/>
          <w:numId w:val="7"/>
        </w:numPr>
        <w:shd w:val="clear" w:color="auto" w:fill="auto"/>
        <w:tabs>
          <w:tab w:pos="412" w:val="left"/>
        </w:tabs>
        <w:bidi w:val="0"/>
        <w:spacing w:before="0" w:after="68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Kupující prohlašuje, že se seznámil s polohou předmětu převodu a ve stavu, v jakém jej prodávající prodává, jej kupuje a nemá k tomu žádných výhrad.</w:t>
      </w:r>
    </w:p>
    <w:p>
      <w:pPr>
        <w:pStyle w:val="Style2"/>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I</w:t>
      </w:r>
      <w:bookmarkEnd w:id="16"/>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Ujednání o přechodu nájemního vztahu k nemovitým věcem</w:t>
      </w:r>
    </w:p>
    <w:p>
      <w:pPr>
        <w:pStyle w:val="Style2"/>
        <w:keepNext w:val="0"/>
        <w:keepLines w:val="0"/>
        <w:widowControl w:val="0"/>
        <w:numPr>
          <w:ilvl w:val="0"/>
          <w:numId w:val="9"/>
        </w:numPr>
        <w:shd w:val="clear" w:color="auto" w:fill="auto"/>
        <w:tabs>
          <w:tab w:pos="412" w:val="left"/>
        </w:tabs>
        <w:bidi w:val="0"/>
        <w:spacing w:before="0" w:line="240" w:lineRule="auto"/>
        <w:ind w:left="380" w:right="0" w:hanging="380"/>
        <w:jc w:val="both"/>
      </w:pPr>
      <w:bookmarkStart w:id="17" w:name="bookmark17"/>
      <w:bookmarkEnd w:id="17"/>
      <w:r>
        <w:rPr>
          <w:color w:val="000000"/>
          <w:spacing w:val="0"/>
          <w:w w:val="100"/>
          <w:position w:val="0"/>
          <w:shd w:val="clear" w:color="auto" w:fill="auto"/>
          <w:lang w:val="cs-CZ" w:eastAsia="cs-CZ" w:bidi="cs-CZ"/>
        </w:rPr>
        <w:t>V případě, že je předmět převodu nebo jeho část součástí nájemní či pachtovní smlouvy se třetí osobou, je prodávající povinen vyrozumět nájemce či pachtýře nemovitých věcí o změně vlastnictví a kupujícímu oznámit kontaktní údaje této osoby. Změnou vlastnického práva k předmětu převodu přechází práva a povinnosti z uzavřeného nájemního vztahu či pachtu na kupujícího. Na kupujícího však nepřecházejí peněžité pohledávky a dluhy, které vznikly před změnou vlastnictví, a které nesledují právní osud nájemního či pachtovního vztahu, tj. nezanikají se zánikem nájmu či pachtu.</w:t>
      </w:r>
    </w:p>
    <w:p>
      <w:pPr>
        <w:pStyle w:val="Style2"/>
        <w:keepNext w:val="0"/>
        <w:keepLines w:val="0"/>
        <w:widowControl w:val="0"/>
        <w:numPr>
          <w:ilvl w:val="0"/>
          <w:numId w:val="9"/>
        </w:numPr>
        <w:shd w:val="clear" w:color="auto" w:fill="auto"/>
        <w:tabs>
          <w:tab w:pos="412" w:val="left"/>
        </w:tabs>
        <w:bidi w:val="0"/>
        <w:spacing w:before="0" w:after="56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Smluvní strany se dále zavazují, že dojde ke vzájemnému finančnímu vyrovnání, a to ke dni změny vlastnictví.</w:t>
      </w:r>
    </w:p>
    <w:p>
      <w:pPr>
        <w:pStyle w:val="Style2"/>
        <w:keepNext w:val="0"/>
        <w:keepLines w:val="0"/>
        <w:widowControl w:val="0"/>
        <w:shd w:val="clear" w:color="auto" w:fill="auto"/>
        <w:bidi w:val="0"/>
        <w:spacing w:before="0" w:after="0" w:line="240" w:lineRule="auto"/>
        <w:ind w:left="0" w:right="0" w:firstLine="0"/>
        <w:jc w:val="center"/>
      </w:pPr>
      <w:bookmarkStart w:id="19" w:name="bookmark19"/>
      <w:r>
        <w:rPr>
          <w:b/>
          <w:bCs/>
          <w:color w:val="000000"/>
          <w:spacing w:val="0"/>
          <w:w w:val="100"/>
          <w:position w:val="0"/>
          <w:shd w:val="clear" w:color="auto" w:fill="auto"/>
          <w:lang w:val="cs-CZ" w:eastAsia="cs-CZ" w:bidi="cs-CZ"/>
        </w:rPr>
        <w:t>V</w:t>
      </w:r>
      <w:bookmarkEnd w:id="19"/>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Kupující bere na vědomí, že vkladem vlastnického práva do katastru nemovitostí u místně příslušného katastrálního úřadu přechází vlastnické právo k předmětu smlouvy na Českou republiku s právem hospodařit pro kupujícího.</w:t>
      </w:r>
    </w:p>
    <w:p>
      <w:pPr>
        <w:pStyle w:val="Style2"/>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Smluvní strany se dohodly, že na základě této kupní smlouvy lze zapsat do katastru nemovitostí u místně příslušného katastrálního úřadu vklad vlastnického práva pro Českou republiku s právem hospodařit pro kupujícího. Smluvní strany se dohodly, že návrh na provedení vkladu dle této smlouvy do katastru nemovitostí podá kupující bez zbytečného odkladu po obdržení Rozhodnutí o poskytnutí dotace.</w:t>
      </w:r>
    </w:p>
    <w:p>
      <w:pPr>
        <w:pStyle w:val="Style2"/>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Smluvní strany se dohodly, že veškeré náklady, zejm. spojené s vypracováním znaleckého posudku a správní poplatek k návrhu na vklad této smlouvy do katastru nemovitostí, ponese kupující.</w:t>
      </w:r>
    </w:p>
    <w:p>
      <w:pPr>
        <w:pStyle w:val="Style2"/>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Smluvní strany se zavazují poskytnout si veškerou součinnost a potřebné informace pro povolení vkladu vlastnického práva do katastru nemovitostí. V případě, že katastr nemovitostí zamítne, a to z jakéhokoliv důvodu, povolení vkladu vlastnického práva na základě této kupní smlouvy, zavazují se smluvní strany neprodleně využít všech možností k odstranění důvodu zamítnutí povolení vkladu vlastnického práva. Nepodaří-li se důvod zamítnutí povolení vkladu vlastnického práva odstranit ani v přiměřené lhůtě, tato kupní smlouva se ruší, a právní účinky této kupní smlouvy již nastalé pominou. Smluvní strany jsou v tomto případě povinny vzájemně si vrátit veškerá poskytnutá plnění dle této kupní smlouvy.</w:t>
      </w:r>
    </w:p>
    <w:p>
      <w:pPr>
        <w:pStyle w:val="Style2"/>
        <w:keepNext w:val="0"/>
        <w:keepLines w:val="0"/>
        <w:widowControl w:val="0"/>
        <w:numPr>
          <w:ilvl w:val="0"/>
          <w:numId w:val="11"/>
        </w:numPr>
        <w:shd w:val="clear" w:color="auto" w:fill="auto"/>
        <w:tabs>
          <w:tab w:pos="412" w:val="left"/>
        </w:tabs>
        <w:bidi w:val="0"/>
        <w:spacing w:before="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Smluvní strany se dohodly, že nebezpečí škody na předmětu převodu přechází na kupujícího vkladem vlastnického práva do katastru nemovitostí u místně příslušného katastrálního úřadu.</w:t>
      </w:r>
    </w:p>
    <w:p>
      <w:pPr>
        <w:pStyle w:val="Style2"/>
        <w:keepNext w:val="0"/>
        <w:keepLines w:val="0"/>
        <w:widowControl w:val="0"/>
        <w:shd w:val="clear" w:color="auto" w:fill="auto"/>
        <w:bidi w:val="0"/>
        <w:spacing w:before="0" w:after="0" w:line="240" w:lineRule="auto"/>
        <w:ind w:left="0" w:right="0" w:firstLine="0"/>
        <w:jc w:val="center"/>
      </w:pPr>
      <w:bookmarkStart w:id="25" w:name="bookmark25"/>
      <w:r>
        <w:rPr>
          <w:b/>
          <w:bCs/>
          <w:color w:val="000000"/>
          <w:spacing w:val="0"/>
          <w:w w:val="100"/>
          <w:position w:val="0"/>
          <w:shd w:val="clear" w:color="auto" w:fill="auto"/>
          <w:lang w:val="cs-CZ" w:eastAsia="cs-CZ" w:bidi="cs-CZ"/>
        </w:rPr>
        <w:t>V</w:t>
      </w:r>
      <w:bookmarkEnd w:id="25"/>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shd w:val="clear" w:color="auto" w:fill="auto"/>
        <w:bidi w:val="0"/>
        <w:spacing w:before="0" w:after="18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424" w:val="left"/>
        </w:tabs>
        <w:bidi w:val="0"/>
        <w:spacing w:before="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424" w:val="left"/>
        </w:tabs>
        <w:bidi w:val="0"/>
        <w:spacing w:before="0" w:line="240" w:lineRule="auto"/>
        <w:ind w:left="440" w:right="0" w:hanging="440"/>
        <w:jc w:val="both"/>
      </w:pPr>
      <w:bookmarkStart w:id="27" w:name="bookmark27"/>
      <w:bookmarkEnd w:id="27"/>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24" w:val="left"/>
        </w:tabs>
        <w:bidi w:val="0"/>
        <w:spacing w:before="0" w:after="56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560" w:line="240" w:lineRule="auto"/>
        <w:ind w:left="440" w:right="0" w:hanging="440"/>
        <w:jc w:val="both"/>
      </w:pPr>
      <w:r>
        <w:rPr>
          <w:color w:val="000000"/>
          <w:spacing w:val="0"/>
          <w:w w:val="100"/>
          <w:position w:val="0"/>
          <w:shd w:val="clear" w:color="auto" w:fill="auto"/>
          <w:lang w:val="cs-CZ" w:eastAsia="cs-CZ" w:bidi="cs-CZ"/>
        </w:rPr>
        <w:t xml:space="preserve">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shd w:val="clear" w:color="auto" w:fill="auto"/>
        <w:bidi w:val="0"/>
        <w:spacing w:before="0" w:after="0" w:line="240" w:lineRule="auto"/>
        <w:ind w:left="0" w:right="0" w:firstLine="0"/>
        <w:jc w:val="center"/>
      </w:pPr>
      <w:bookmarkStart w:id="30" w:name="bookmark30"/>
      <w:r>
        <w:rPr>
          <w:b/>
          <w:bCs/>
          <w:color w:val="000000"/>
          <w:spacing w:val="0"/>
          <w:w w:val="100"/>
          <w:position w:val="0"/>
          <w:shd w:val="clear" w:color="auto" w:fill="auto"/>
          <w:lang w:val="cs-CZ" w:eastAsia="cs-CZ" w:bidi="cs-CZ"/>
        </w:rPr>
        <w:t>V</w:t>
      </w:r>
      <w:bookmarkEnd w:id="30"/>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5"/>
        </w:numPr>
        <w:shd w:val="clear" w:color="auto" w:fill="auto"/>
        <w:tabs>
          <w:tab w:pos="424" w:val="left"/>
        </w:tabs>
        <w:bidi w:val="0"/>
        <w:spacing w:before="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Tato smlouva nabývá platnosti po podpisu smlouvy smluvními stranami dnem jejího schválení Biskupstvím litoměřickým, se sídlem Dómské náměstí 1/1, Litoměřice, PSČ 412 01, IČ 00445126, které je na základě zvláštní právní úpravy zřizovatelem prodávajícího a účinnosti dnem jejího zveřejnění v registru smluv. Biskupství litoměřické není vázáno projevy smluvních stran učiněnými v této smlouvě a není povinno schvalovací doložku připojit.</w:t>
      </w:r>
    </w:p>
    <w:p>
      <w:pPr>
        <w:pStyle w:val="Style2"/>
        <w:keepNext w:val="0"/>
        <w:keepLines w:val="0"/>
        <w:widowControl w:val="0"/>
        <w:numPr>
          <w:ilvl w:val="0"/>
          <w:numId w:val="15"/>
        </w:numPr>
        <w:shd w:val="clear" w:color="auto" w:fill="auto"/>
        <w:tabs>
          <w:tab w:pos="424" w:val="left"/>
        </w:tabs>
        <w:bidi w:val="0"/>
        <w:spacing w:before="0" w:after="20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 Odměna je údajem, který se nezveřejňuje ve smyslu § 3 odst. 2 písm. j č.340/2015 Sb., jakož i neuveřejněnou informací ve smyslu § 3 odst. 1 zákona č. 340/2015 Sb.</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3" w:name="bookmark33"/>
      <w:bookmarkEnd w:id="33"/>
      <w:r>
        <w:rPr>
          <w:b/>
          <w:bCs/>
          <w:color w:val="000000"/>
          <w:spacing w:val="0"/>
          <w:w w:val="100"/>
          <w:position w:val="0"/>
          <w:shd w:val="clear" w:color="auto" w:fill="auto"/>
          <w:lang w:val="cs-CZ" w:eastAsia="cs-CZ" w:bidi="cs-CZ"/>
        </w:rPr>
        <w:t>V případě, že ze strany Ministerstva zemědělství nebude vydáno Rozhodnutí o poskytnutí dotace k proplacení kupní ceny dle této smlouvy, tato smlouva se od počátku ruší a smluvní strany nemají vůči sobě nárok na jakákoli plnění z této smlouvy.</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Právní účinky vkladu nastávají k okamžiku, kdy návrh na vklad došel příslušnému katastrálnímu úřadu.</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Návrh na vklad vlastnického práva bude podepsán prodávajícím a kupujícím současně s podpisem této smlouvy.</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Tato smlouva je vyhotovena ve čtyřech stejnopisech majících povahu originálu, z nichž jeden bude určen jako příloha k návrhu na zápis vkladu vlastnického práva do katastru nemovitostí, jedno vyhotovení obdrží Biskupství litoměřické, prodávající a jedno vyhotovení kupující.</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Smluvní strany tímto vzájemně prohlašují a stvrzují svými podpisy, že si smlouvu řádně přečetly a pochopily, s jejím obsahem souhlasí, a že ji uzavírají bez nátlaku o své svobodné a vážné vůli.</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Smluvní strany prohlašují, že souhlasí s případným poskytnutím textu této smlouvy v souladu se zákonem č. 106/1999 Sb., o svobodném přístupu k informacím, ve znění pozdějších předpisů.</w:t>
      </w:r>
    </w:p>
    <w:p>
      <w:pPr>
        <w:pStyle w:val="Style2"/>
        <w:keepNext w:val="0"/>
        <w:keepLines w:val="0"/>
        <w:widowControl w:val="0"/>
        <w:numPr>
          <w:ilvl w:val="0"/>
          <w:numId w:val="15"/>
        </w:numPr>
        <w:shd w:val="clear" w:color="auto" w:fill="auto"/>
        <w:tabs>
          <w:tab w:pos="427" w:val="left"/>
        </w:tabs>
        <w:bidi w:val="0"/>
        <w:spacing w:before="0" w:after="0" w:line="240" w:lineRule="auto"/>
        <w:ind w:left="440" w:right="0" w:hanging="440"/>
        <w:jc w:val="both"/>
        <w:sectPr>
          <w:headerReference w:type="default" r:id="rId5"/>
          <w:footerReference w:type="default" r:id="rId6"/>
          <w:footnotePr>
            <w:pos w:val="pageBottom"/>
            <w:numFmt w:val="decimal"/>
            <w:numRestart w:val="continuous"/>
          </w:footnotePr>
          <w:pgSz w:w="11909" w:h="16838"/>
          <w:pgMar w:top="1136" w:left="1393" w:right="1385" w:bottom="1095" w:header="0" w:footer="3" w:gutter="0"/>
          <w:pgNumType w:start="1"/>
          <w:cols w:space="720"/>
          <w:noEndnote/>
          <w:rtlGutter w:val="0"/>
          <w:docGrid w:linePitch="360"/>
        </w:sectPr>
      </w:pPr>
      <w:bookmarkStart w:id="39" w:name="bookmark39"/>
      <w:bookmarkEnd w:id="39"/>
      <w:r>
        <w:rPr>
          <w:color w:val="000000"/>
          <w:spacing w:val="0"/>
          <w:w w:val="100"/>
          <w:position w:val="0"/>
          <w:shd w:val="clear" w:color="auto" w:fill="auto"/>
          <w:lang w:val="cs-CZ" w:eastAsia="cs-CZ" w:bidi="cs-CZ"/>
        </w:rPr>
        <w:t>Tuto kupní smlouvu je možné změnit pouze písemnými dodatky, vzestupně číslovanými a podepsanými zástupci obou smluvních stran.</w:t>
      </w: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05" w:header="0" w:footer="3" w:gutter="0"/>
          <w:cols w:space="720"/>
          <w:noEndnote/>
          <w:rtlGutter w:val="0"/>
          <w:docGrid w:linePitch="360"/>
        </w:sectPr>
      </w:pP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Přílohy: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Situační snímek katastrální mapy</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Výpis z katastru nemovitostí</w:t>
      </w:r>
    </w:p>
    <w:p>
      <w:pPr>
        <w:pStyle w:val="Style2"/>
        <w:keepNext w:val="0"/>
        <w:keepLines w:val="0"/>
        <w:widowControl w:val="0"/>
        <w:numPr>
          <w:ilvl w:val="0"/>
          <w:numId w:val="17"/>
        </w:numPr>
        <w:shd w:val="clear" w:color="auto" w:fill="auto"/>
        <w:tabs>
          <w:tab w:pos="427" w:val="left"/>
        </w:tabs>
        <w:bidi w:val="0"/>
        <w:spacing w:before="0" w:after="200" w:line="240" w:lineRule="auto"/>
        <w:ind w:left="0" w:right="0" w:firstLine="0"/>
        <w:jc w:val="left"/>
      </w:pPr>
      <w:bookmarkStart w:id="42" w:name="bookmark42"/>
      <w:bookmarkEnd w:id="42"/>
      <w:r>
        <w:rPr>
          <w:color w:val="000000"/>
          <w:spacing w:val="0"/>
          <w:w w:val="100"/>
          <w:position w:val="0"/>
          <w:shd w:val="clear" w:color="auto" w:fill="auto"/>
          <w:lang w:val="cs-CZ" w:eastAsia="cs-CZ" w:bidi="cs-CZ"/>
        </w:rPr>
        <w:t>GP č. 262-29/2025</w:t>
      </w:r>
    </w:p>
    <w:p>
      <w:pPr>
        <w:pStyle w:val="Style2"/>
        <w:keepNext w:val="0"/>
        <w:keepLines w:val="0"/>
        <w:widowControl w:val="0"/>
        <w:numPr>
          <w:ilvl w:val="0"/>
          <w:numId w:val="19"/>
        </w:numPr>
        <w:shd w:val="clear" w:color="auto" w:fill="auto"/>
        <w:tabs>
          <w:tab w:pos="344" w:val="left"/>
        </w:tabs>
        <w:bidi w:val="0"/>
        <w:spacing w:before="0" w:after="200" w:line="240" w:lineRule="auto"/>
        <w:ind w:left="0" w:right="0" w:firstLine="0"/>
        <w:jc w:val="left"/>
      </w:pPr>
      <w:bookmarkStart w:id="43" w:name="bookmark43"/>
      <w:bookmarkEnd w:id="43"/>
      <w:r>
        <w:rPr>
          <w:color w:val="000000"/>
          <w:spacing w:val="0"/>
          <w:w w:val="100"/>
          <w:position w:val="0"/>
          <w:shd w:val="clear" w:color="auto" w:fill="auto"/>
          <w:lang w:val="cs-CZ" w:eastAsia="cs-CZ" w:bidi="cs-CZ"/>
        </w:rPr>
        <w:t>Podbořanech dne ………………..</w:t>
      </w:r>
    </w:p>
    <w:p>
      <w:pPr>
        <w:pStyle w:val="Style2"/>
        <w:keepNext w:val="0"/>
        <w:keepLines w:val="0"/>
        <w:widowControl w:val="0"/>
        <w:shd w:val="clear" w:color="auto" w:fill="auto"/>
        <w:bidi w:val="0"/>
        <w:spacing w:before="0" w:after="940" w:line="240" w:lineRule="auto"/>
        <w:ind w:left="0" w:right="0" w:firstLine="0"/>
        <w:jc w:val="left"/>
      </w:pPr>
      <w:r>
        <w:rPr>
          <w:b/>
          <w:bCs/>
          <w:i/>
          <w:iCs/>
          <w:color w:val="000000"/>
          <w:spacing w:val="0"/>
          <w:w w:val="100"/>
          <w:position w:val="0"/>
          <w:shd w:val="clear" w:color="auto" w:fill="auto"/>
          <w:lang w:val="cs-CZ" w:eastAsia="cs-CZ" w:bidi="cs-CZ"/>
        </w:rPr>
        <w:t>Za prodávajícího:</w:t>
      </w:r>
    </w:p>
    <w:p>
      <w:pPr>
        <w:pStyle w:val="Style2"/>
        <w:keepNext w:val="0"/>
        <w:keepLines w:val="0"/>
        <w:widowControl w:val="0"/>
        <w:shd w:val="clear" w:color="auto" w:fill="auto"/>
        <w:tabs>
          <w:tab w:leader="underscore" w:pos="2933" w:val="left"/>
        </w:tabs>
        <w:bidi w:val="0"/>
        <w:spacing w:before="0" w:after="44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Římskokatolická farnost Kryry</w:t>
      </w:r>
    </w:p>
    <w:p>
      <w:pPr>
        <w:pStyle w:val="Style2"/>
        <w:keepNext w:val="0"/>
        <w:keepLines w:val="0"/>
        <w:widowControl w:val="0"/>
        <w:shd w:val="clear" w:color="auto" w:fill="auto"/>
        <w:bidi w:val="0"/>
        <w:spacing w:before="0" w:after="440" w:line="240" w:lineRule="auto"/>
        <w:ind w:left="0" w:right="0" w:firstLine="0"/>
        <w:jc w:val="left"/>
      </w:pPr>
      <w:r>
        <w:rPr>
          <w:b/>
          <w:bCs/>
          <w:i/>
          <w:iCs/>
          <w:color w:val="000000"/>
          <w:spacing w:val="0"/>
          <w:w w:val="100"/>
          <w:position w:val="0"/>
          <w:shd w:val="clear" w:color="auto" w:fill="auto"/>
          <w:lang w:val="cs-CZ" w:eastAsia="cs-CZ" w:bidi="cs-CZ"/>
        </w:rPr>
        <w:t>Schvalovací potvrzení</w:t>
      </w:r>
    </w:p>
    <w:p>
      <w:pPr>
        <w:pStyle w:val="Style2"/>
        <w:keepNext w:val="0"/>
        <w:keepLines w:val="0"/>
        <w:widowControl w:val="0"/>
        <w:numPr>
          <w:ilvl w:val="0"/>
          <w:numId w:val="19"/>
        </w:numPr>
        <w:shd w:val="clear" w:color="auto" w:fill="auto"/>
        <w:tabs>
          <w:tab w:pos="344" w:val="left"/>
        </w:tabs>
        <w:bidi w:val="0"/>
        <w:spacing w:before="0" w:after="700" w:line="240" w:lineRule="auto"/>
        <w:ind w:left="0" w:right="0" w:firstLine="0"/>
        <w:jc w:val="left"/>
      </w:pPr>
      <w:bookmarkStart w:id="44" w:name="bookmark44"/>
      <w:bookmarkEnd w:id="44"/>
      <w:r>
        <w:rPr>
          <w:b/>
          <w:bCs/>
          <w:i/>
          <w:iCs/>
          <w:color w:val="000000"/>
          <w:spacing w:val="0"/>
          <w:w w:val="100"/>
          <w:position w:val="0"/>
          <w:shd w:val="clear" w:color="auto" w:fill="auto"/>
          <w:lang w:val="cs-CZ" w:eastAsia="cs-CZ" w:bidi="cs-CZ"/>
        </w:rPr>
        <w:t>………………………… dne ……………</w:t>
      </w:r>
    </w:p>
    <w:p>
      <w:pPr>
        <w:pStyle w:val="Style2"/>
        <w:keepNext w:val="0"/>
        <w:keepLines w:val="0"/>
        <w:widowControl w:val="0"/>
        <w:shd w:val="clear" w:color="auto" w:fill="auto"/>
        <w:tabs>
          <w:tab w:leader="underscore" w:pos="3302" w:val="left"/>
        </w:tabs>
        <w:bidi w:val="0"/>
        <w:spacing w:before="0" w:after="0" w:line="240" w:lineRule="auto"/>
        <w:ind w:left="0" w:right="0" w:firstLine="0"/>
        <w:jc w:val="left"/>
      </w:pPr>
      <w:r>
        <w:rPr>
          <w:b/>
          <w:bCs/>
          <w:i/>
          <w:i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320" w:line="240" w:lineRule="auto"/>
        <w:ind w:left="0" w:right="0" w:firstLine="0"/>
        <w:jc w:val="left"/>
      </w:pPr>
      <w:r>
        <w:rPr>
          <w:b/>
          <w:bCs/>
          <w:i/>
          <w:iCs/>
          <w:color w:val="000000"/>
          <w:spacing w:val="0"/>
          <w:w w:val="100"/>
          <w:position w:val="0"/>
          <w:shd w:val="clear" w:color="auto" w:fill="auto"/>
          <w:lang w:val="cs-CZ" w:eastAsia="cs-CZ" w:bidi="cs-CZ"/>
        </w:rPr>
        <w:t>Biskupství litoměřické</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 Chomutově dne …………………</w:t>
      </w:r>
    </w:p>
    <w:p>
      <w:pPr>
        <w:pStyle w:val="Style2"/>
        <w:keepNext w:val="0"/>
        <w:keepLines w:val="0"/>
        <w:widowControl w:val="0"/>
        <w:shd w:val="clear" w:color="auto" w:fill="auto"/>
        <w:bidi w:val="0"/>
        <w:spacing w:before="0" w:after="940" w:line="240" w:lineRule="auto"/>
        <w:ind w:left="0" w:right="0" w:firstLine="0"/>
        <w:jc w:val="left"/>
      </w:pPr>
      <w:r>
        <w:rPr>
          <w:b/>
          <w:bCs/>
          <w:i/>
          <w:iCs/>
          <w:color w:val="000000"/>
          <w:spacing w:val="0"/>
          <w:w w:val="100"/>
          <w:position w:val="0"/>
          <w:shd w:val="clear" w:color="auto" w:fill="auto"/>
          <w:lang w:val="cs-CZ" w:eastAsia="cs-CZ" w:bidi="cs-CZ"/>
        </w:rPr>
        <w:t>Za kupujícího:</w:t>
      </w:r>
    </w:p>
    <w:p>
      <w:pPr>
        <w:pStyle w:val="Style2"/>
        <w:keepNext w:val="0"/>
        <w:keepLines w:val="0"/>
        <w:widowControl w:val="0"/>
        <w:shd w:val="clear" w:color="auto" w:fill="auto"/>
        <w:tabs>
          <w:tab w:leader="underscore" w:pos="3667" w:val="left"/>
        </w:tabs>
        <w:bidi w:val="0"/>
        <w:spacing w:before="0" w:after="44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205" w:left="1394" w:right="1826" w:bottom="1205" w:header="0" w:footer="3" w:gutter="0"/>
      <w:cols w:num="2" w:space="85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3745230</wp:posOffset>
              </wp:positionH>
              <wp:positionV relativeFrom="page">
                <wp:posOffset>10060305</wp:posOffset>
              </wp:positionV>
              <wp:extent cx="76200" cy="189230"/>
              <wp:wrapNone/>
              <wp:docPr id="3" name="Shape 3"/>
              <a:graphic xmlns:a="http://schemas.openxmlformats.org/drawingml/2006/main">
                <a:graphicData uri="http://schemas.microsoft.com/office/word/2010/wordprocessingShape">
                  <wps:wsp>
                    <wps:cNvSpPr txBox="1"/>
                    <wps:spPr>
                      <a:xfrm>
                        <a:ext cx="7620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294.90000000000003pt;margin-top:792.14999999999998pt;width:6.pt;height:14.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4412615</wp:posOffset>
              </wp:positionH>
              <wp:positionV relativeFrom="page">
                <wp:posOffset>419735</wp:posOffset>
              </wp:positionV>
              <wp:extent cx="2172970" cy="155575"/>
              <wp:wrapNone/>
              <wp:docPr id="1" name="Shape 1"/>
              <a:graphic xmlns:a="http://schemas.openxmlformats.org/drawingml/2006/main">
                <a:graphicData uri="http://schemas.microsoft.com/office/word/2010/wordprocessingShape">
                  <wps:wsp>
                    <wps:cNvSpPr txBox="1"/>
                    <wps:spPr>
                      <a:xfrm>
                        <a:ext cx="217297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160/2025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7.44999999999999pt;margin-top:33.049999999999997pt;width:171.09999999999999pt;height:12.2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Povodí Ohře, s.p.: 160/2025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V"/>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Ruml</dc:creator>
  <cp:keywords/>
</cp:coreProperties>
</file>