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0"/>
          <w:szCs w:val="20"/>
        </w:rPr>
      </w:pPr>
      <w:r>
        <w:rPr>
          <w:rFonts w:cs="Arial" w:ascii="Arial" w:hAnsi="Arial"/>
          <w:sz w:val="20"/>
          <w:szCs w:val="20"/>
        </w:rPr>
        <w:tab/>
      </w:r>
    </w:p>
    <w:p>
      <w:pPr>
        <w:pStyle w:val="Normal"/>
        <w:jc w:val="center"/>
        <w:rPr>
          <w:b/>
          <w:b/>
          <w:color w:val="000000"/>
          <w:sz w:val="44"/>
        </w:rPr>
      </w:pPr>
      <w:r>
        <w:rPr>
          <w:b/>
          <w:color w:val="000000"/>
          <w:sz w:val="44"/>
        </w:rPr>
        <w:t>Kupní smlouva č. 116/2025</w:t>
      </w:r>
    </w:p>
    <w:p>
      <w:pPr>
        <w:pStyle w:val="Normal"/>
        <w:jc w:val="center"/>
        <w:rPr/>
      </w:pPr>
      <w:r>
        <w:rPr>
          <w:b/>
          <w:bCs/>
        </w:rPr>
        <w:t xml:space="preserve">DNS01 Z2024-010934 </w:t>
      </w:r>
    </w:p>
    <w:p>
      <w:pPr>
        <w:pStyle w:val="Normal"/>
        <w:jc w:val="center"/>
        <w:rPr/>
      </w:pPr>
      <w:r>
        <w:rPr/>
        <w:t>ID 67631</w:t>
      </w:r>
    </w:p>
    <w:p>
      <w:pPr>
        <w:pStyle w:val="Normal"/>
        <w:jc w:val="both"/>
        <w:rPr>
          <w:sz w:val="22"/>
          <w:szCs w:val="22"/>
        </w:rPr>
      </w:pPr>
      <w:r>
        <w:rPr>
          <w:sz w:val="22"/>
          <w:szCs w:val="22"/>
        </w:rPr>
      </w:r>
    </w:p>
    <w:p>
      <w:pPr>
        <w:pStyle w:val="Normal"/>
        <w:jc w:val="both"/>
        <w:rPr/>
      </w:pPr>
      <w:r>
        <w:rPr/>
        <w:t>uzavřená podle Zákona č. 89/2012 Sb. Občanský zákoník v platném znění, mezi níže uvedenými stranami a za podmínek dále uvedených</w:t>
      </w:r>
    </w:p>
    <w:p>
      <w:pPr>
        <w:pStyle w:val="Normal"/>
        <w:jc w:val="both"/>
        <w:rPr>
          <w:b/>
          <w:b/>
          <w:i/>
          <w:i/>
          <w:color w:val="000000"/>
        </w:rPr>
      </w:pPr>
      <w:r>
        <w:rPr>
          <w:b/>
          <w:i/>
          <w:color w:val="000000"/>
        </w:rPr>
      </w:r>
    </w:p>
    <w:p>
      <w:pPr>
        <w:pStyle w:val="Normal"/>
        <w:jc w:val="center"/>
        <w:rPr>
          <w:b/>
          <w:b/>
        </w:rPr>
      </w:pPr>
      <w:r>
        <w:rPr>
          <w:b/>
        </w:rPr>
        <w:t xml:space="preserve">I. </w:t>
      </w:r>
    </w:p>
    <w:p>
      <w:pPr>
        <w:pStyle w:val="Normal"/>
        <w:jc w:val="center"/>
        <w:rPr>
          <w:b/>
          <w:b/>
        </w:rPr>
      </w:pPr>
      <w:r>
        <w:rPr>
          <w:b/>
        </w:rPr>
        <w:t>Smluvní strany</w:t>
      </w:r>
    </w:p>
    <w:p>
      <w:pPr>
        <w:pStyle w:val="Normal"/>
        <w:rPr/>
      </w:pPr>
      <w:r>
        <w:rPr/>
      </w:r>
    </w:p>
    <w:p>
      <w:pPr>
        <w:pStyle w:val="Normal"/>
        <w:tabs>
          <w:tab w:val="clear" w:pos="708"/>
          <w:tab w:val="left" w:pos="1701" w:leader="none"/>
        </w:tabs>
        <w:rPr/>
      </w:pPr>
      <w:r>
        <w:rPr>
          <w:b/>
        </w:rPr>
        <w:t>Kupující:</w:t>
      </w:r>
      <w:r>
        <w:rPr/>
        <w:tab/>
      </w:r>
      <w:r>
        <w:rPr>
          <w:b/>
        </w:rPr>
        <w:t>Psychiatrická nemocnice Havlíčkův Brod</w:t>
      </w:r>
    </w:p>
    <w:p>
      <w:pPr>
        <w:pStyle w:val="Normal"/>
        <w:tabs>
          <w:tab w:val="clear" w:pos="708"/>
          <w:tab w:val="left" w:pos="1701" w:leader="none"/>
        </w:tabs>
        <w:rPr/>
      </w:pPr>
      <w:r>
        <w:rPr/>
        <w:tab/>
        <w:t>Rozkošská 2322, 580 01 Havlíčkův Brod</w:t>
      </w:r>
    </w:p>
    <w:p>
      <w:pPr>
        <w:pStyle w:val="Normal"/>
        <w:tabs>
          <w:tab w:val="clear" w:pos="708"/>
          <w:tab w:val="left" w:pos="1701" w:leader="none"/>
        </w:tabs>
        <w:rPr/>
      </w:pPr>
      <w:r>
        <w:rPr/>
        <w:tab/>
        <w:t>Zastoupená:                  , pověřen k zastupování ve věci DNS</w:t>
      </w:r>
    </w:p>
    <w:p>
      <w:pPr>
        <w:pStyle w:val="Normal"/>
        <w:tabs>
          <w:tab w:val="clear" w:pos="708"/>
          <w:tab w:val="left" w:pos="1701" w:leader="none"/>
        </w:tabs>
        <w:rPr/>
      </w:pPr>
      <w:r>
        <w:rPr/>
        <w:tab/>
        <w:t>IČO: 00179230</w:t>
      </w:r>
    </w:p>
    <w:p>
      <w:pPr>
        <w:pStyle w:val="Normal"/>
        <w:tabs>
          <w:tab w:val="clear" w:pos="708"/>
          <w:tab w:val="left" w:pos="1701" w:leader="none"/>
        </w:tabs>
        <w:rPr/>
      </w:pPr>
      <w:r>
        <w:rPr/>
        <w:t xml:space="preserve">                            </w:t>
      </w:r>
      <w:r>
        <w:rPr/>
        <w:t>DIČ: CZ00179230</w:t>
      </w:r>
    </w:p>
    <w:p>
      <w:pPr>
        <w:pStyle w:val="Normal"/>
        <w:tabs>
          <w:tab w:val="clear" w:pos="708"/>
          <w:tab w:val="left" w:pos="1701" w:leader="none"/>
        </w:tabs>
        <w:rPr/>
      </w:pPr>
      <w:r>
        <w:rPr/>
        <w:tab/>
        <w:t xml:space="preserve">Bankovní spojení: ČNB, pobočka Hradec Králové </w:t>
      </w:r>
    </w:p>
    <w:p>
      <w:pPr>
        <w:pStyle w:val="Normal"/>
        <w:tabs>
          <w:tab w:val="clear" w:pos="708"/>
          <w:tab w:val="left" w:pos="1701" w:leader="none"/>
        </w:tabs>
        <w:rPr/>
      </w:pPr>
      <w:r>
        <w:rPr/>
        <w:t xml:space="preserve">                            </w:t>
      </w:r>
      <w:r>
        <w:rPr/>
        <w:t>Číslo účtu:  14235521/0710</w:t>
      </w:r>
    </w:p>
    <w:p>
      <w:pPr>
        <w:pStyle w:val="Normal"/>
        <w:tabs>
          <w:tab w:val="clear" w:pos="708"/>
          <w:tab w:val="left" w:pos="1701" w:leader="none"/>
        </w:tabs>
        <w:rPr/>
      </w:pPr>
      <w:r>
        <w:rPr/>
        <w:t xml:space="preserve">                            </w:t>
      </w:r>
      <w:r>
        <w:rPr/>
        <w:t>Pověřen ve věcech objednávek nebo reklamací:</w:t>
      </w:r>
    </w:p>
    <w:p>
      <w:pPr>
        <w:pStyle w:val="Normal"/>
        <w:tabs>
          <w:tab w:val="clear" w:pos="708"/>
          <w:tab w:val="left" w:pos="1701" w:leader="none"/>
        </w:tabs>
        <w:rPr/>
      </w:pPr>
      <w:r>
        <w:rPr/>
        <w:t xml:space="preserve">                             </w:t>
      </w:r>
    </w:p>
    <w:p>
      <w:pPr>
        <w:pStyle w:val="Normal"/>
        <w:tabs>
          <w:tab w:val="clear" w:pos="708"/>
          <w:tab w:val="left" w:pos="1701" w:leader="none"/>
        </w:tabs>
        <w:rPr/>
      </w:pPr>
      <w:r>
        <w:rPr/>
        <w:t xml:space="preserve">                                                   </w:t>
      </w:r>
      <w:r>
        <w:rPr/>
        <w:t xml:space="preserve">tel:                    , mob.   </w:t>
      </w:r>
    </w:p>
    <w:p>
      <w:pPr>
        <w:pStyle w:val="Normal"/>
        <w:tabs>
          <w:tab w:val="clear" w:pos="708"/>
          <w:tab w:val="left" w:pos="1701" w:leader="none"/>
        </w:tabs>
        <w:rPr/>
      </w:pPr>
      <w:r>
        <w:rPr/>
        <w:t xml:space="preserve">                                                   </w:t>
      </w:r>
      <w:r>
        <w:rPr/>
        <w:t xml:space="preserve">e-mail: </w:t>
      </w:r>
      <w:hyperlink r:id="rId2">
        <w:r>
          <w:rPr/>
          <w:t xml:space="preserve"> </w:t>
        </w:r>
      </w:hyperlink>
    </w:p>
    <w:p>
      <w:pPr>
        <w:pStyle w:val="Normal"/>
        <w:tabs>
          <w:tab w:val="clear" w:pos="708"/>
          <w:tab w:val="left" w:pos="1701" w:leader="none"/>
        </w:tabs>
        <w:rPr/>
      </w:pPr>
      <w:r>
        <w:rPr/>
        <w:t xml:space="preserve">                            </w:t>
      </w:r>
      <w:r>
        <w:rPr/>
        <w:t>Pověřen jednáním ve věcech smluvních:</w:t>
      </w:r>
    </w:p>
    <w:p>
      <w:pPr>
        <w:pStyle w:val="Normal"/>
        <w:tabs>
          <w:tab w:val="clear" w:pos="708"/>
          <w:tab w:val="left" w:pos="1701" w:leader="none"/>
        </w:tabs>
        <w:rPr/>
      </w:pPr>
      <w:r>
        <w:rPr/>
        <w:t xml:space="preserve">                         </w:t>
      </w:r>
    </w:p>
    <w:p>
      <w:pPr>
        <w:pStyle w:val="Normal"/>
        <w:tabs>
          <w:tab w:val="clear" w:pos="708"/>
          <w:tab w:val="left" w:pos="1701" w:leader="none"/>
        </w:tabs>
        <w:rPr/>
      </w:pPr>
      <w:r>
        <w:rPr/>
        <w:t xml:space="preserve">                                                   </w:t>
      </w:r>
      <w:r>
        <w:rPr/>
        <w:t xml:space="preserve">tel:                     , mob.  </w:t>
      </w:r>
    </w:p>
    <w:p>
      <w:pPr>
        <w:pStyle w:val="Normal"/>
        <w:tabs>
          <w:tab w:val="clear" w:pos="708"/>
          <w:tab w:val="left" w:pos="1701" w:leader="none"/>
        </w:tabs>
        <w:rPr/>
      </w:pPr>
      <w:r>
        <w:rPr/>
        <w:t xml:space="preserve">                                                   </w:t>
      </w:r>
      <w:r>
        <w:rPr/>
        <w:t xml:space="preserve">e-mail:                           </w:t>
        <w:tab/>
        <w:tab/>
      </w:r>
    </w:p>
    <w:p>
      <w:pPr>
        <w:pStyle w:val="Normal"/>
        <w:tabs>
          <w:tab w:val="clear" w:pos="708"/>
          <w:tab w:val="left" w:pos="1701" w:leader="none"/>
          <w:tab w:val="left" w:pos="3119" w:leader="none"/>
          <w:tab w:val="left" w:pos="4962" w:leader="none"/>
        </w:tabs>
        <w:rPr>
          <w:sz w:val="22"/>
        </w:rPr>
      </w:pPr>
      <w:r>
        <w:rPr>
          <w:sz w:val="22"/>
        </w:rPr>
        <w:t>a</w:t>
      </w:r>
    </w:p>
    <w:p>
      <w:pPr>
        <w:pStyle w:val="Normal"/>
        <w:tabs>
          <w:tab w:val="clear" w:pos="708"/>
          <w:tab w:val="left" w:pos="1701" w:leader="none"/>
          <w:tab w:val="left" w:pos="3119" w:leader="none"/>
          <w:tab w:val="left" w:pos="4962" w:leader="none"/>
        </w:tabs>
        <w:rPr>
          <w:rFonts w:ascii="Bookman Old Style" w:hAnsi="Bookman Old Style"/>
          <w:sz w:val="22"/>
        </w:rPr>
      </w:pPr>
      <w:r>
        <w:rPr>
          <w:rFonts w:ascii="Bookman Old Style" w:hAnsi="Bookman Old Style"/>
          <w:sz w:val="22"/>
        </w:rPr>
      </w:r>
    </w:p>
    <w:p>
      <w:pPr>
        <w:pStyle w:val="Normal"/>
        <w:tabs>
          <w:tab w:val="clear" w:pos="708"/>
          <w:tab w:val="left" w:pos="1701" w:leader="none"/>
          <w:tab w:val="left" w:pos="3119" w:leader="none"/>
          <w:tab w:val="left" w:pos="4962" w:leader="none"/>
        </w:tabs>
        <w:rPr>
          <w:b/>
          <w:b/>
        </w:rPr>
      </w:pPr>
      <w:r>
        <w:rPr>
          <w:b/>
        </w:rPr>
        <w:t>Prodávající :</w:t>
      </w:r>
      <w:r>
        <w:rPr/>
        <w:tab/>
      </w:r>
      <w:r>
        <w:rPr>
          <w:shd w:fill="FFFFFF" w:val="clear"/>
        </w:rPr>
        <w:t>Název firmy : Potraviny Vysočina s.r.o</w:t>
      </w:r>
    </w:p>
    <w:p>
      <w:pPr>
        <w:pStyle w:val="Normal"/>
        <w:tabs>
          <w:tab w:val="clear" w:pos="708"/>
          <w:tab w:val="left" w:pos="1701" w:leader="none"/>
          <w:tab w:val="left" w:pos="3119" w:leader="none"/>
          <w:tab w:val="left" w:pos="4962" w:leader="none"/>
        </w:tabs>
        <w:rPr>
          <w:highlight w:val="none"/>
          <w:shd w:fill="FFFFFF" w:val="clear"/>
        </w:rPr>
      </w:pPr>
      <w:r>
        <w:rPr>
          <w:shd w:fill="FFFFFF" w:val="clear"/>
        </w:rPr>
        <w:tab/>
        <w:t>Sídlo firmy : Horní Holetín 69; Holetín 53971</w:t>
      </w:r>
    </w:p>
    <w:p>
      <w:pPr>
        <w:pStyle w:val="Normal"/>
        <w:tabs>
          <w:tab w:val="clear" w:pos="708"/>
          <w:tab w:val="left" w:pos="1701" w:leader="none"/>
          <w:tab w:val="left" w:pos="3119" w:leader="none"/>
          <w:tab w:val="left" w:pos="4962" w:leader="none"/>
        </w:tabs>
        <w:rPr>
          <w:highlight w:val="none"/>
          <w:shd w:fill="FFFFFF" w:val="clear"/>
        </w:rPr>
      </w:pPr>
      <w:r>
        <w:rPr>
          <w:shd w:fill="FFFFFF" w:val="clear"/>
        </w:rPr>
        <w:tab/>
        <w:t>Zastoupená : Miroslav Kyncl, jednatel</w:t>
      </w:r>
    </w:p>
    <w:p>
      <w:pPr>
        <w:pStyle w:val="Normal"/>
        <w:tabs>
          <w:tab w:val="clear" w:pos="708"/>
          <w:tab w:val="left" w:pos="1701" w:leader="none"/>
          <w:tab w:val="left" w:pos="3119" w:leader="none"/>
          <w:tab w:val="left" w:pos="4962" w:leader="none"/>
        </w:tabs>
        <w:rPr>
          <w:highlight w:val="none"/>
          <w:shd w:fill="FFFFFF" w:val="clear"/>
        </w:rPr>
      </w:pPr>
      <w:r>
        <w:rPr>
          <w:shd w:fill="FFFFFF" w:val="clear"/>
        </w:rPr>
        <w:t xml:space="preserve">                            </w:t>
      </w:r>
      <w:r>
        <w:rPr>
          <w:shd w:fill="FFFFFF" w:val="clear"/>
        </w:rPr>
        <w:tab/>
        <w:t>IČO :   48152498</w:t>
      </w:r>
    </w:p>
    <w:p>
      <w:pPr>
        <w:pStyle w:val="Normal"/>
        <w:tabs>
          <w:tab w:val="clear" w:pos="708"/>
          <w:tab w:val="left" w:pos="1701" w:leader="none"/>
          <w:tab w:val="left" w:pos="3119" w:leader="none"/>
          <w:tab w:val="left" w:pos="4962" w:leader="none"/>
        </w:tabs>
        <w:rPr>
          <w:highlight w:val="none"/>
          <w:shd w:fill="FFFFFF" w:val="clear"/>
        </w:rPr>
      </w:pPr>
      <w:r>
        <w:rPr>
          <w:shd w:fill="FFFFFF" w:val="clear"/>
        </w:rPr>
        <w:tab/>
        <w:t>DIČ :  CZ 48152498</w:t>
      </w:r>
    </w:p>
    <w:p>
      <w:pPr>
        <w:pStyle w:val="Normal"/>
        <w:tabs>
          <w:tab w:val="clear" w:pos="708"/>
          <w:tab w:val="left" w:pos="1701" w:leader="none"/>
          <w:tab w:val="left" w:pos="3119" w:leader="none"/>
          <w:tab w:val="left" w:pos="4962" w:leader="none"/>
        </w:tabs>
        <w:rPr>
          <w:highlight w:val="none"/>
          <w:shd w:fill="FFFFFF" w:val="clear"/>
        </w:rPr>
      </w:pPr>
      <w:r>
        <w:rPr>
          <w:shd w:fill="FFFFFF" w:val="clear"/>
        </w:rPr>
        <w:tab/>
        <w:t>Bankovní spojení :  0600</w:t>
      </w:r>
    </w:p>
    <w:p>
      <w:pPr>
        <w:pStyle w:val="Normal"/>
        <w:tabs>
          <w:tab w:val="clear" w:pos="708"/>
          <w:tab w:val="left" w:pos="1701" w:leader="none"/>
          <w:tab w:val="left" w:pos="3119" w:leader="none"/>
          <w:tab w:val="left" w:pos="4962" w:leader="none"/>
        </w:tabs>
        <w:rPr>
          <w:highlight w:val="none"/>
          <w:shd w:fill="FFFFFF" w:val="clear"/>
        </w:rPr>
      </w:pPr>
      <w:r>
        <w:rPr>
          <w:shd w:fill="FFFFFF" w:val="clear"/>
        </w:rPr>
        <w:t xml:space="preserve">                            </w:t>
      </w:r>
      <w:r>
        <w:rPr>
          <w:shd w:fill="FFFFFF" w:val="clear"/>
        </w:rPr>
        <w:t>Číslo účtu :   163423219</w:t>
      </w:r>
    </w:p>
    <w:p>
      <w:pPr>
        <w:pStyle w:val="Normal"/>
        <w:tabs>
          <w:tab w:val="clear" w:pos="708"/>
          <w:tab w:val="left" w:pos="1701" w:leader="none"/>
        </w:tabs>
        <w:rPr>
          <w:highlight w:val="none"/>
          <w:shd w:fill="FFFFFF" w:val="clear"/>
        </w:rPr>
      </w:pPr>
      <w:r>
        <w:rPr>
          <w:shd w:fill="FFFFFF" w:val="clear"/>
        </w:rPr>
        <w:t xml:space="preserve">                            </w:t>
      </w:r>
      <w:r>
        <w:rPr>
          <w:shd w:fill="FFFFFF" w:val="clear"/>
        </w:rPr>
        <w:t>Pověřen ve věcech objednávek nebo reklamací:</w:t>
      </w:r>
    </w:p>
    <w:p>
      <w:pPr>
        <w:pStyle w:val="Normal"/>
        <w:tabs>
          <w:tab w:val="clear" w:pos="708"/>
          <w:tab w:val="left" w:pos="1701" w:leader="none"/>
        </w:tabs>
        <w:rPr>
          <w:highlight w:val="none"/>
          <w:shd w:fill="FFFFFF" w:val="clear"/>
        </w:rPr>
      </w:pPr>
      <w:r>
        <w:rPr>
          <w:shd w:fill="FFFFFF" w:val="clear"/>
        </w:rPr>
        <w:t xml:space="preserve">                           </w:t>
      </w:r>
      <w:r>
        <w:rPr>
          <w:shd w:fill="FFFFFF" w:val="clear"/>
        </w:rPr>
        <w:t xml:space="preserve"> </w:t>
      </w:r>
    </w:p>
    <w:p>
      <w:pPr>
        <w:pStyle w:val="Normal"/>
        <w:tabs>
          <w:tab w:val="clear" w:pos="708"/>
          <w:tab w:val="left" w:pos="1701" w:leader="none"/>
        </w:tabs>
        <w:rPr>
          <w:highlight w:val="none"/>
          <w:shd w:fill="FFFFFF" w:val="clear"/>
        </w:rPr>
      </w:pPr>
      <w:r>
        <w:rPr>
          <w:shd w:fill="FFFFFF" w:val="clear"/>
        </w:rPr>
        <w:t xml:space="preserve">                                                   </w:t>
      </w:r>
      <w:r>
        <w:rPr>
          <w:shd w:fill="FFFFFF" w:val="clear"/>
        </w:rPr>
        <w:t xml:space="preserve">tel:   </w:t>
      </w:r>
    </w:p>
    <w:p>
      <w:pPr>
        <w:pStyle w:val="Normal"/>
        <w:tabs>
          <w:tab w:val="clear" w:pos="708"/>
          <w:tab w:val="left" w:pos="1701" w:leader="none"/>
        </w:tabs>
        <w:rPr>
          <w:highlight w:val="none"/>
          <w:shd w:fill="FFFFFF" w:val="clear"/>
        </w:rPr>
      </w:pPr>
      <w:r>
        <w:rPr>
          <w:shd w:fill="FFFFFF" w:val="clear"/>
        </w:rPr>
        <w:t xml:space="preserve">                                                   </w:t>
      </w:r>
      <w:r>
        <w:rPr>
          <w:shd w:fill="FFFFFF" w:val="clear"/>
        </w:rPr>
        <w:t xml:space="preserve">e-mail:  </w:t>
      </w:r>
    </w:p>
    <w:p>
      <w:pPr>
        <w:pStyle w:val="Normal"/>
        <w:tabs>
          <w:tab w:val="clear" w:pos="708"/>
          <w:tab w:val="left" w:pos="1701" w:leader="none"/>
        </w:tabs>
        <w:rPr>
          <w:highlight w:val="none"/>
          <w:shd w:fill="FFFFFF" w:val="clear"/>
        </w:rPr>
      </w:pPr>
      <w:r>
        <w:rPr>
          <w:shd w:fill="FFFFFF" w:val="clear"/>
        </w:rPr>
        <w:t xml:space="preserve">                            </w:t>
      </w:r>
      <w:r>
        <w:rPr>
          <w:shd w:fill="FFFFFF" w:val="clear"/>
        </w:rPr>
        <w:t>Pověřen jednáním ve věcech smluvních:</w:t>
      </w:r>
    </w:p>
    <w:p>
      <w:pPr>
        <w:pStyle w:val="Normal"/>
        <w:tabs>
          <w:tab w:val="clear" w:pos="708"/>
          <w:tab w:val="left" w:pos="1701" w:leader="none"/>
        </w:tabs>
        <w:rPr>
          <w:highlight w:val="none"/>
          <w:shd w:fill="FFFFFF" w:val="clear"/>
        </w:rPr>
      </w:pPr>
      <w:r>
        <w:rPr>
          <w:shd w:fill="FFFFFF" w:val="clear"/>
        </w:rPr>
        <w:t xml:space="preserve">                             </w:t>
      </w:r>
    </w:p>
    <w:p>
      <w:pPr>
        <w:pStyle w:val="Normal"/>
        <w:tabs>
          <w:tab w:val="clear" w:pos="708"/>
          <w:tab w:val="left" w:pos="1701" w:leader="none"/>
        </w:tabs>
        <w:rPr>
          <w:highlight w:val="none"/>
          <w:shd w:fill="FFFFFF" w:val="clear"/>
        </w:rPr>
      </w:pPr>
      <w:r>
        <w:rPr>
          <w:shd w:fill="FFFFFF" w:val="clear"/>
        </w:rPr>
        <w:t xml:space="preserve">                                                   </w:t>
      </w:r>
      <w:r>
        <w:rPr>
          <w:shd w:fill="FFFFFF" w:val="clear"/>
        </w:rPr>
        <w:t xml:space="preserve">tel:  </w:t>
      </w:r>
    </w:p>
    <w:p>
      <w:pPr>
        <w:pStyle w:val="Normal"/>
        <w:tabs>
          <w:tab w:val="clear" w:pos="708"/>
          <w:tab w:val="left" w:pos="1418" w:leader="none"/>
          <w:tab w:val="left" w:pos="1701" w:leader="none"/>
        </w:tabs>
        <w:jc w:val="both"/>
        <w:rPr/>
      </w:pPr>
      <w:r>
        <w:rPr>
          <w:shd w:fill="FFFFFF" w:val="clear"/>
        </w:rPr>
        <w:t xml:space="preserve">                                                   </w:t>
      </w:r>
      <w:r>
        <w:rPr>
          <w:shd w:fill="FFFFFF" w:val="clear"/>
        </w:rPr>
        <w:t xml:space="preserve">e-mail:  </w:t>
      </w:r>
    </w:p>
    <w:p>
      <w:pPr>
        <w:pStyle w:val="Normal"/>
        <w:tabs>
          <w:tab w:val="clear" w:pos="708"/>
          <w:tab w:val="left" w:pos="1418" w:leader="none"/>
          <w:tab w:val="left" w:pos="1701" w:leader="none"/>
        </w:tabs>
        <w:jc w:val="both"/>
        <w:rPr>
          <w:rFonts w:ascii="Bookman Old Style" w:hAnsi="Bookman Old Style"/>
          <w:sz w:val="22"/>
        </w:rPr>
      </w:pPr>
      <w:r>
        <w:rPr>
          <w:rFonts w:ascii="Bookman Old Style" w:hAnsi="Bookman Old Style"/>
          <w:sz w:val="22"/>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II.</w:t>
      </w:r>
    </w:p>
    <w:p>
      <w:pPr>
        <w:pStyle w:val="Normal"/>
        <w:jc w:val="center"/>
        <w:rPr>
          <w:b/>
          <w:b/>
        </w:rPr>
      </w:pPr>
      <w:r>
        <w:rPr>
          <w:b/>
        </w:rPr>
        <w:t>Předmět smlouvy</w:t>
      </w:r>
    </w:p>
    <w:p>
      <w:pPr>
        <w:pStyle w:val="Normal"/>
        <w:jc w:val="center"/>
        <w:rPr/>
      </w:pPr>
      <w:r>
        <w:rPr/>
      </w:r>
    </w:p>
    <w:p>
      <w:pPr>
        <w:pStyle w:val="ListParagraph"/>
        <w:numPr>
          <w:ilvl w:val="0"/>
          <w:numId w:val="2"/>
        </w:numPr>
        <w:ind w:left="426" w:hanging="426"/>
        <w:jc w:val="both"/>
        <w:rPr/>
      </w:pPr>
      <w:r>
        <w:rPr/>
        <w:t xml:space="preserve">Předmětem této Smlouvy je realizace dílčí veřejné zakázky v kategoriích v zavedeném dynamickém nákupním systému Kupujícího pro dodávky potravin a nápojů, tj. zejména závazek Prodávajícího dodávat Kupujícímu na základě jeho jednostranných Pokynů průběžné a opakující se dodávky Zboží dle specifikace Zboží uvedené v příloze č. 1 Smlouvy (dále jen „Zboží“) a závazek Kupujícího řádně dodané Zboží od Prodávajícího převzít a zaplatit mu za něj sjednanou kupní cenu. </w:t>
      </w:r>
    </w:p>
    <w:p>
      <w:pPr>
        <w:pStyle w:val="ListParagraph"/>
        <w:numPr>
          <w:ilvl w:val="0"/>
          <w:numId w:val="2"/>
        </w:numPr>
        <w:ind w:left="426" w:hanging="426"/>
        <w:jc w:val="both"/>
        <w:rPr/>
      </w:pPr>
      <w:r>
        <w:rPr/>
        <w:t>Prodávající se zavazuje, že při výrobě a skladování Zboží budou splněny veškeré požadavky stanovené v České republice, včetně požadavků dle platných a přímo závazných právních předpisů Evropské unie.</w:t>
      </w:r>
    </w:p>
    <w:p>
      <w:pPr>
        <w:pStyle w:val="Normal"/>
        <w:jc w:val="both"/>
        <w:rPr/>
      </w:pPr>
      <w:r>
        <w:rPr/>
      </w:r>
    </w:p>
    <w:p>
      <w:pPr>
        <w:pStyle w:val="Normal"/>
        <w:jc w:val="both"/>
        <w:rPr>
          <w:b/>
          <w:b/>
          <w:bCs/>
          <w:color w:val="000000"/>
        </w:rPr>
      </w:pPr>
      <w:r>
        <w:rPr>
          <w:b/>
          <w:bCs/>
          <w:color w:val="000000"/>
        </w:rPr>
      </w:r>
    </w:p>
    <w:p>
      <w:pPr>
        <w:pStyle w:val="Normal"/>
        <w:jc w:val="center"/>
        <w:rPr>
          <w:b/>
          <w:b/>
        </w:rPr>
      </w:pPr>
      <w:r>
        <w:rPr>
          <w:b/>
        </w:rPr>
        <w:t>III.</w:t>
      </w:r>
    </w:p>
    <w:p>
      <w:pPr>
        <w:pStyle w:val="Normal"/>
        <w:jc w:val="center"/>
        <w:rPr>
          <w:b/>
          <w:b/>
        </w:rPr>
      </w:pPr>
      <w:r>
        <w:rPr>
          <w:b/>
        </w:rPr>
        <w:t>Dodací podmínky</w:t>
      </w:r>
    </w:p>
    <w:p>
      <w:pPr>
        <w:pStyle w:val="Normal"/>
        <w:jc w:val="center"/>
        <w:rPr>
          <w:b/>
          <w:b/>
          <w:sz w:val="22"/>
        </w:rPr>
      </w:pPr>
      <w:r>
        <w:rPr>
          <w:b/>
          <w:sz w:val="22"/>
        </w:rPr>
      </w:r>
    </w:p>
    <w:p>
      <w:pPr>
        <w:pStyle w:val="ListParagraph"/>
        <w:numPr>
          <w:ilvl w:val="0"/>
          <w:numId w:val="6"/>
        </w:numPr>
        <w:ind w:left="426" w:hanging="426"/>
        <w:jc w:val="both"/>
        <w:rPr/>
      </w:pPr>
      <w:r>
        <w:rPr/>
        <w:t>Kupující má právo kdykoliv v době účinnosti této Smlouvy zadat Prodávajícímu Pokyn na dodávku Zboží dle svých aktuálních potřeb a požadavků, nejpozději však 1 den předem před požadovaným termínem dodání Zboží. Pokyn je Kupující oprávněn činit e-mailem nebo telefonicky na následující kontakt Prodávajícího, nebude-li mezi Smluvními stranami domluveno jinak (d</w:t>
      </w:r>
      <w:r>
        <w:rPr>
          <w:shd w:fill="FFFFFF" w:val="clear"/>
        </w:rPr>
        <w:t>ále jen „Pokyn“).</w:t>
      </w:r>
    </w:p>
    <w:p>
      <w:pPr>
        <w:pStyle w:val="ListParagraph"/>
        <w:ind w:left="426" w:hanging="0"/>
        <w:jc w:val="both"/>
        <w:rPr>
          <w:highlight w:val="none"/>
          <w:shd w:fill="FFFFFF" w:val="clear"/>
        </w:rPr>
      </w:pPr>
      <w:r>
        <w:rPr>
          <w:shd w:fill="FFFFFF" w:val="clear"/>
        </w:rPr>
        <w:t xml:space="preserve">E-mail: </w:t>
      </w:r>
      <w:hyperlink r:id="rId3">
        <w:r>
          <w:rPr>
            <w:shd w:fill="FFFFFF" w:val="clear"/>
          </w:rPr>
          <w:t xml:space="preserve"> </w:t>
        </w:r>
      </w:hyperlink>
    </w:p>
    <w:p>
      <w:pPr>
        <w:pStyle w:val="ListParagraph"/>
        <w:ind w:left="426" w:hanging="0"/>
        <w:jc w:val="both"/>
        <w:rPr>
          <w:highlight w:val="none"/>
          <w:shd w:fill="FFFFFF" w:val="clear"/>
        </w:rPr>
      </w:pPr>
      <w:r>
        <w:rPr>
          <w:shd w:fill="FFFFFF" w:val="clear"/>
        </w:rPr>
        <w:t xml:space="preserve">Telefon:  </w:t>
      </w:r>
    </w:p>
    <w:p>
      <w:pPr>
        <w:pStyle w:val="ListParagraph"/>
        <w:numPr>
          <w:ilvl w:val="0"/>
          <w:numId w:val="6"/>
        </w:numPr>
        <w:ind w:left="426" w:hanging="426"/>
        <w:jc w:val="both"/>
        <w:rPr/>
      </w:pPr>
      <w:r>
        <w:rPr/>
        <w:t>Kupující uvede v Pokynu alespoň tyto údaje:</w:t>
      </w:r>
    </w:p>
    <w:p>
      <w:pPr>
        <w:pStyle w:val="ListParagraph"/>
        <w:jc w:val="both"/>
        <w:rPr/>
      </w:pPr>
      <w:r>
        <w:rPr/>
        <w:t>a) název objednávaného druhu Zboží dle přílohy č. 1 této Smlouvy,</w:t>
      </w:r>
    </w:p>
    <w:p>
      <w:pPr>
        <w:pStyle w:val="ListParagraph"/>
        <w:jc w:val="both"/>
        <w:rPr/>
      </w:pPr>
      <w:r>
        <w:rPr/>
        <w:t>b) množství objednávaného druhu Zboží,</w:t>
      </w:r>
    </w:p>
    <w:p>
      <w:pPr>
        <w:pStyle w:val="ListParagraph"/>
        <w:jc w:val="both"/>
        <w:rPr/>
      </w:pPr>
      <w:r>
        <w:rPr/>
        <w:t>c) požadovaný termín dodání, tj. den a čas (nebude-li uveden žádný termín, bude termín dodání následující den po zadání Pokynu, tj. pondělí–pátek, vždy mezi 6:00 - 10:00 hodinou ranní). Kupující si vyhrazuje právo, že v případě neočekávané potřeby dodávek zboží může být Prodávající požádán i o druhý, většinou odpolední závoz;</w:t>
      </w:r>
    </w:p>
    <w:p>
      <w:pPr>
        <w:pStyle w:val="ListParagraph"/>
        <w:jc w:val="both"/>
        <w:rPr/>
      </w:pPr>
      <w:r>
        <w:rPr/>
        <w:t>d) kvalitativní požadavky vztahující se ke Zboží (např. jakost), jsou-li požadovány.</w:t>
      </w:r>
    </w:p>
    <w:p>
      <w:pPr>
        <w:pStyle w:val="ListParagraph"/>
        <w:numPr>
          <w:ilvl w:val="0"/>
          <w:numId w:val="6"/>
        </w:numPr>
        <w:ind w:left="426" w:hanging="426"/>
        <w:jc w:val="both"/>
        <w:rPr/>
      </w:pPr>
      <w:r>
        <w:rPr/>
        <w:t>Místem plnění je: Psychiatrická nemocnice Havlíčkův Brod, Stravovací provoz, Rozkošská 2312, 580 01 Havlíčkův Brod.</w:t>
      </w:r>
    </w:p>
    <w:p>
      <w:pPr>
        <w:pStyle w:val="ListParagraph"/>
        <w:numPr>
          <w:ilvl w:val="0"/>
          <w:numId w:val="6"/>
        </w:numPr>
        <w:ind w:left="426" w:hanging="426"/>
        <w:jc w:val="both"/>
        <w:rPr/>
      </w:pPr>
      <w:r>
        <w:rPr/>
        <w:t xml:space="preserve">Prodávající je povinen dodávat Zboží dle přísl. Pokynu vždy bez vad, v celém rozsahu v termínu a místě dodání určeném přísl. Pokynem v souladu s odst. 2 písm. a) - d) tohoto článku Smlouvy. </w:t>
      </w:r>
    </w:p>
    <w:p>
      <w:pPr>
        <w:pStyle w:val="ListParagraph"/>
        <w:numPr>
          <w:ilvl w:val="0"/>
          <w:numId w:val="6"/>
        </w:numPr>
        <w:ind w:left="426" w:hanging="426"/>
        <w:jc w:val="both"/>
        <w:rPr/>
      </w:pPr>
      <w:r>
        <w:rPr/>
        <w:t xml:space="preserve">Prodávající je povinen ihned informovat Kupujícího v případě, že není schopen dodat Zboží v požadovaném množství, druhu a termínu. To však Prodávajícího nezbavuje </w:t>
      </w:r>
      <w:bookmarkStart w:id="0" w:name="_Hlk158103374"/>
      <w:r>
        <w:rPr/>
        <w:t>odpovědnosti za porušení takových povinno</w:t>
      </w:r>
      <w:bookmarkEnd w:id="0"/>
      <w:r>
        <w:rPr/>
        <w:t>stí.</w:t>
      </w:r>
    </w:p>
    <w:p>
      <w:pPr>
        <w:pStyle w:val="ListParagraph"/>
        <w:numPr>
          <w:ilvl w:val="0"/>
          <w:numId w:val="6"/>
        </w:numPr>
        <w:ind w:left="426" w:hanging="426"/>
        <w:jc w:val="both"/>
        <w:rPr/>
      </w:pPr>
      <w:r>
        <w:rPr/>
        <w:t xml:space="preserve">Dodávka Zboží musí být při dodání opatřena dodacím listem. </w:t>
      </w:r>
    </w:p>
    <w:p>
      <w:pPr>
        <w:pStyle w:val="ListParagraph"/>
        <w:numPr>
          <w:ilvl w:val="0"/>
          <w:numId w:val="6"/>
        </w:numPr>
        <w:ind w:left="426" w:hanging="426"/>
        <w:jc w:val="both"/>
        <w:rPr/>
      </w:pPr>
      <w:r>
        <w:rPr/>
        <w:t>Prodávající odpovídá za to, že v rámci přepravy Zboží do místa plnění bude zajištěno dodržení všech platných právních předpisů (např. hygienických) jež se vztahují na přepravovaný typ Zboží, včetně dodržení odpovídajícího teplotního řetězce.</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b/>
          <w:b/>
          <w:bCs/>
          <w:color w:val="000000"/>
        </w:rPr>
      </w:pPr>
      <w:r>
        <w:rPr>
          <w:b/>
          <w:bCs/>
          <w:color w:val="000000"/>
        </w:rPr>
      </w:r>
    </w:p>
    <w:p>
      <w:pPr>
        <w:pStyle w:val="Normal"/>
        <w:jc w:val="center"/>
        <w:rPr>
          <w:b/>
          <w:b/>
        </w:rPr>
      </w:pPr>
      <w:r>
        <w:rPr>
          <w:b/>
        </w:rPr>
        <w:t>IV</w:t>
      </w:r>
    </w:p>
    <w:p>
      <w:pPr>
        <w:pStyle w:val="Normal"/>
        <w:jc w:val="center"/>
        <w:rPr>
          <w:b/>
          <w:b/>
        </w:rPr>
      </w:pPr>
      <w:r>
        <w:rPr>
          <w:b/>
        </w:rPr>
        <w:t xml:space="preserve">Kupní cena </w:t>
      </w:r>
    </w:p>
    <w:p>
      <w:pPr>
        <w:pStyle w:val="Normal"/>
        <w:jc w:val="center"/>
        <w:rPr>
          <w:b/>
          <w:b/>
          <w:sz w:val="22"/>
        </w:rPr>
      </w:pPr>
      <w:r>
        <w:rPr>
          <w:b/>
          <w:sz w:val="22"/>
        </w:rPr>
      </w:r>
    </w:p>
    <w:p>
      <w:pPr>
        <w:pStyle w:val="Normal"/>
        <w:widowControl/>
        <w:numPr>
          <w:ilvl w:val="0"/>
          <w:numId w:val="11"/>
        </w:numPr>
        <w:jc w:val="both"/>
        <w:rPr/>
      </w:pPr>
      <w:r>
        <w:rPr/>
        <w:t>Kupní cena jednotlivých položek Zboží v Kč bez DPH (tj. za příslušnou měrnou jednotku) je uvedena v příloze č. 1 této Smlouvy (dále jen „Kupní cena“). Jednotková kupní cena Zboží dle této Smlouvy (v Kč bez DPH) je stanovena jako cena pevná, maximální a nejvýše přípustná.</w:t>
      </w:r>
    </w:p>
    <w:p>
      <w:pPr>
        <w:pStyle w:val="Normal"/>
        <w:widowControl/>
        <w:numPr>
          <w:ilvl w:val="0"/>
          <w:numId w:val="12"/>
        </w:numPr>
        <w:jc w:val="both"/>
        <w:rPr/>
      </w:pPr>
      <w:r>
        <w:rPr/>
        <w:t>Prodávající prohlašuje, že kupní cena zahrnuje veškeré náklady související s dodávkou Zboží (tj. balné, dopravu do místa plnění atp.)</w:t>
      </w:r>
    </w:p>
    <w:p>
      <w:pPr>
        <w:pStyle w:val="Normal"/>
        <w:widowControl/>
        <w:numPr>
          <w:ilvl w:val="0"/>
          <w:numId w:val="13"/>
        </w:numPr>
        <w:jc w:val="both"/>
        <w:rPr/>
      </w:pPr>
      <w:r>
        <w:rPr/>
        <w:t>DPH k ceně dodávky uvedené v příloze číslo 1 této smlouvy bude stanoveno v souladu s obecně závaznými předpisy o DPH platnými v čase fakturace.</w:t>
      </w:r>
    </w:p>
    <w:p>
      <w:pPr>
        <w:pStyle w:val="Normal"/>
        <w:jc w:val="both"/>
        <w:rPr>
          <w:color w:val="000000"/>
        </w:rPr>
      </w:pPr>
      <w:r>
        <w:rPr>
          <w:color w:val="000000"/>
        </w:rPr>
      </w:r>
    </w:p>
    <w:p>
      <w:pPr>
        <w:pStyle w:val="Normal"/>
        <w:jc w:val="both"/>
        <w:rPr>
          <w:color w:val="000000"/>
        </w:rPr>
      </w:pPr>
      <w:r>
        <w:rPr>
          <w:color w:val="000000"/>
        </w:rPr>
      </w:r>
    </w:p>
    <w:p>
      <w:pPr>
        <w:pStyle w:val="Normal"/>
        <w:jc w:val="center"/>
        <w:rPr>
          <w:b/>
          <w:b/>
        </w:rPr>
      </w:pPr>
      <w:r>
        <w:rPr>
          <w:b/>
        </w:rPr>
        <w:t>V.</w:t>
      </w:r>
    </w:p>
    <w:p>
      <w:pPr>
        <w:pStyle w:val="Normal"/>
        <w:jc w:val="center"/>
        <w:rPr>
          <w:b/>
          <w:b/>
        </w:rPr>
      </w:pPr>
      <w:r>
        <w:rPr>
          <w:b/>
        </w:rPr>
        <w:t>Platební podmínky</w:t>
      </w:r>
    </w:p>
    <w:p>
      <w:pPr>
        <w:pStyle w:val="Normal"/>
        <w:jc w:val="center"/>
        <w:rPr/>
      </w:pPr>
      <w:r>
        <w:rPr/>
      </w:r>
    </w:p>
    <w:p>
      <w:pPr>
        <w:pStyle w:val="Normal"/>
        <w:widowControl/>
        <w:numPr>
          <w:ilvl w:val="0"/>
          <w:numId w:val="5"/>
        </w:numPr>
        <w:jc w:val="both"/>
        <w:rPr/>
      </w:pPr>
      <w:r>
        <w:rPr>
          <w:shd w:fill="FFFFFF" w:val="clear"/>
        </w:rPr>
        <w:t>Prodávající vyhotoví za jednotlivou řádně realizovanou dodávku Zboží dle přísl. Pokynu samostatný daňový doklad – fakturu (dále jen „Faktura“), jejíž cena bez DPH bude vypočtena dle sjednaných jednotkových cen.</w:t>
      </w:r>
      <w:r>
        <w:rPr/>
        <w:t xml:space="preserve"> Kupní cenu a DPH je Prodávající povinen fakturovat v českých korunách (Kč).</w:t>
      </w:r>
    </w:p>
    <w:p>
      <w:pPr>
        <w:pStyle w:val="Normal"/>
        <w:widowControl/>
        <w:numPr>
          <w:ilvl w:val="0"/>
          <w:numId w:val="5"/>
        </w:numPr>
        <w:jc w:val="both"/>
        <w:rPr/>
      </w:pPr>
      <w:r>
        <w:rPr/>
        <w:t>Kupující nebude prodávajícímu poskytovat zálohu.</w:t>
      </w:r>
    </w:p>
    <w:p>
      <w:pPr>
        <w:pStyle w:val="Normal"/>
        <w:widowControl/>
        <w:numPr>
          <w:ilvl w:val="0"/>
          <w:numId w:val="5"/>
        </w:numPr>
        <w:jc w:val="both"/>
        <w:rPr/>
      </w:pPr>
      <w:r>
        <w:rPr>
          <w:b/>
          <w:bCs/>
        </w:rPr>
        <w:t xml:space="preserve">Faktury budou zasílány pouze elektronicky na e-mailovou adresu:  </w:t>
      </w:r>
    </w:p>
    <w:p>
      <w:pPr>
        <w:pStyle w:val="Normal"/>
        <w:widowControl/>
        <w:numPr>
          <w:ilvl w:val="0"/>
          <w:numId w:val="0"/>
        </w:numPr>
        <w:ind w:left="283" w:hanging="0"/>
        <w:jc w:val="both"/>
        <w:rPr>
          <w:b/>
          <w:b/>
          <w:bCs/>
        </w:rPr>
      </w:pPr>
      <w:r>
        <w:rPr>
          <w:b/>
          <w:bCs/>
          <w:color w:val="000000"/>
          <w:sz w:val="22"/>
          <w:shd w:fill="FFFFFF" w:val="clear"/>
        </w:rPr>
        <w:t>Na faktuře bude uvedeno číslo kupní smlouvy.</w:t>
      </w:r>
    </w:p>
    <w:p>
      <w:pPr>
        <w:pStyle w:val="Normal"/>
        <w:widowControl/>
        <w:numPr>
          <w:ilvl w:val="0"/>
          <w:numId w:val="0"/>
        </w:numPr>
        <w:ind w:left="283" w:hanging="0"/>
        <w:jc w:val="both"/>
        <w:rPr>
          <w:b/>
          <w:b/>
          <w:bCs/>
        </w:rPr>
      </w:pPr>
      <w:r>
        <w:rPr>
          <w:b/>
          <w:bCs/>
          <w:color w:val="000000"/>
          <w:sz w:val="22"/>
        </w:rPr>
        <w:t xml:space="preserve">Faktura </w:t>
      </w:r>
      <w:r>
        <w:rPr>
          <w:b/>
          <w:color w:val="000000"/>
          <w:sz w:val="22"/>
        </w:rPr>
        <w:t>bude vystavena ve formátu PDF a formátu ISDOC.</w:t>
      </w:r>
    </w:p>
    <w:p>
      <w:pPr>
        <w:pStyle w:val="Normal"/>
        <w:widowControl/>
        <w:numPr>
          <w:ilvl w:val="0"/>
          <w:numId w:val="5"/>
        </w:numPr>
        <w:jc w:val="both"/>
        <w:rPr/>
      </w:pPr>
      <w:r>
        <w:rPr/>
        <w:t>Na faktuře musí být uvedeno číslo objednávky (pokynu) i číslo smlouvy.</w:t>
      </w:r>
    </w:p>
    <w:p>
      <w:pPr>
        <w:pStyle w:val="Normal"/>
        <w:widowControl/>
        <w:numPr>
          <w:ilvl w:val="0"/>
          <w:numId w:val="5"/>
        </w:numPr>
        <w:jc w:val="both"/>
        <w:rPr/>
      </w:pPr>
      <w:r>
        <w:rPr/>
        <w:t xml:space="preserve">Cenu za dodané Zboží uhradí Kupující Prodávajícímu na základě vystavených faktur a na základě oběma stranami potvrzeného dodacího listu. Bez tohoto dodacího listu je faktura neplatná. </w:t>
      </w:r>
    </w:p>
    <w:p>
      <w:pPr>
        <w:pStyle w:val="Normal"/>
        <w:widowControl/>
        <w:numPr>
          <w:ilvl w:val="0"/>
          <w:numId w:val="5"/>
        </w:numPr>
        <w:jc w:val="both"/>
        <w:rPr/>
      </w:pPr>
      <w:r>
        <w:rPr/>
        <w:t>Faktury musí odpovídat svou povahou pojmu účetního dokladu podle § 11 zákona č.563/1991 Sb., o účetnictví, v platném znění a splňovat náležitosti obsažené v § 29 zákona č. 235/2004 Sb., o dani z přidané hodnoty, ve znění pozdějších předpisů. Pokud faktura nemá sjednané náležitosti objednatel je oprávněn ji vrátit zhotoviteli k opravě či doplnění, nejpozději však do 10 dnů pracovních dnů ode dne, kdy ji prokazatelně obdržel. Toto oznámení o vrácení může být učiněno i elektronickou poštou nebo faxem.  V takovém případě se hledí na fakturu jako na nedoručenou a běh lhůt započne, počínaje dnem doručení opraveného dokladu objednateli.</w:t>
      </w:r>
    </w:p>
    <w:p>
      <w:pPr>
        <w:pStyle w:val="Normal"/>
        <w:widowControl/>
        <w:numPr>
          <w:ilvl w:val="0"/>
          <w:numId w:val="5"/>
        </w:numPr>
        <w:jc w:val="both"/>
        <w:rPr/>
      </w:pPr>
      <w:r>
        <w:rPr/>
        <w:t>Splatnost faktury je stanovena na 30 dnů ode dne doručení oprávněné faktury do sídla objednatele. Povinnost úhrady je splněna okamžikem předání pokynu k úhradě peněžnímu ústavu. Veškeré platby budou probíhat výhradně v CZK  a rovněž veškeré cenové údaje budou v této měně.</w:t>
      </w:r>
    </w:p>
    <w:p>
      <w:pPr>
        <w:pStyle w:val="Normal"/>
        <w:jc w:val="both"/>
        <w:rPr/>
      </w:pPr>
      <w:r>
        <w:rPr/>
      </w:r>
    </w:p>
    <w:p>
      <w:pPr>
        <w:pStyle w:val="Normal"/>
        <w:jc w:val="both"/>
        <w:rPr/>
      </w:pPr>
      <w:r>
        <w:rPr/>
      </w:r>
    </w:p>
    <w:p>
      <w:pPr>
        <w:pStyle w:val="NoSpacing"/>
        <w:jc w:val="center"/>
        <w:rPr>
          <w:sz w:val="22"/>
          <w:szCs w:val="22"/>
        </w:rPr>
      </w:pPr>
      <w:r>
        <w:rPr>
          <w:b/>
        </w:rPr>
        <w:t>VI.</w:t>
      </w:r>
    </w:p>
    <w:p>
      <w:pPr>
        <w:pStyle w:val="Normal"/>
        <w:jc w:val="center"/>
        <w:rPr>
          <w:b/>
          <w:b/>
        </w:rPr>
      </w:pPr>
      <w:r>
        <w:rPr>
          <w:b/>
        </w:rPr>
        <w:t xml:space="preserve">Doba platnosti smlouvy </w:t>
      </w:r>
    </w:p>
    <w:p>
      <w:pPr>
        <w:pStyle w:val="Normal"/>
        <w:jc w:val="center"/>
        <w:rPr>
          <w:sz w:val="22"/>
        </w:rPr>
      </w:pPr>
      <w:r>
        <w:rPr>
          <w:sz w:val="22"/>
        </w:rPr>
      </w:r>
    </w:p>
    <w:p>
      <w:pPr>
        <w:pStyle w:val="Normal"/>
        <w:widowControl/>
        <w:numPr>
          <w:ilvl w:val="0"/>
          <w:numId w:val="4"/>
        </w:numPr>
        <w:jc w:val="both"/>
        <w:rPr/>
      </w:pPr>
      <w:r>
        <w:rPr/>
        <w:t xml:space="preserve">Tato Smlouva se uzavírá na dobu </w:t>
      </w:r>
      <w:r>
        <w:rPr>
          <w:b/>
          <w:bCs/>
        </w:rPr>
        <w:t>do 30. 9. 2025</w:t>
      </w:r>
      <w:r>
        <w:rPr/>
        <w:t>, která započne běžet ode dne nabytí její účinnosti.</w:t>
      </w:r>
    </w:p>
    <w:p>
      <w:pPr>
        <w:pStyle w:val="Normal"/>
        <w:widowControl/>
        <w:numPr>
          <w:ilvl w:val="0"/>
          <w:numId w:val="4"/>
        </w:numPr>
        <w:jc w:val="both"/>
        <w:rPr/>
      </w:pPr>
      <w:r>
        <w:rPr/>
        <w:t>Kupující má právo tuto smlouvu vypovědět s okamžitou účinností, pokud Prodávající za předchozí měsíc alespoň ve třech případech řádně a včas nesplnil Pokyn kupujícího.</w:t>
      </w:r>
    </w:p>
    <w:p>
      <w:pPr>
        <w:pStyle w:val="Normal"/>
        <w:widowControl/>
        <w:numPr>
          <w:ilvl w:val="0"/>
          <w:numId w:val="4"/>
        </w:numPr>
        <w:jc w:val="both"/>
        <w:rPr/>
      </w:pPr>
      <w:r>
        <w:rPr/>
        <w:t>Smluvní strana je oprávněna ukončit tuto Smlouvu kdykoliv písemnou výpovědí s výpovědní lhůtou 2 kalendářních měsíců, která započne běžet prvním dnem kalendářního měsíce následujícího po měsíci, v němž byla výpověď doručena druhé Smluvní straně. Výpovědí nebudou dotčeny dílčí plnění uzavřené do dne uplynutí výpovědní doby.</w:t>
      </w:r>
    </w:p>
    <w:p>
      <w:pPr>
        <w:pStyle w:val="Normal"/>
        <w:rPr>
          <w:lang w:eastAsia="ar-SA" w:bidi="ar-SA"/>
        </w:rPr>
      </w:pPr>
      <w:r>
        <w:rPr>
          <w:lang w:eastAsia="ar-SA" w:bidi="ar-SA"/>
        </w:rPr>
      </w:r>
    </w:p>
    <w:p>
      <w:pPr>
        <w:pStyle w:val="Normal"/>
        <w:rPr>
          <w:rFonts w:ascii="Arial" w:hAnsi="Arial"/>
          <w:b/>
          <w:b/>
          <w:sz w:val="22"/>
        </w:rPr>
      </w:pPr>
      <w:r>
        <w:rPr>
          <w:rFonts w:ascii="Arial" w:hAnsi="Arial"/>
          <w:b/>
          <w:sz w:val="22"/>
        </w:rPr>
      </w:r>
    </w:p>
    <w:p>
      <w:pPr>
        <w:pStyle w:val="Normal"/>
        <w:jc w:val="center"/>
        <w:rPr>
          <w:b/>
          <w:b/>
        </w:rPr>
      </w:pPr>
      <w:r>
        <w:rPr>
          <w:b/>
        </w:rPr>
        <w:t>VII.</w:t>
      </w:r>
    </w:p>
    <w:p>
      <w:pPr>
        <w:pStyle w:val="Normal"/>
        <w:jc w:val="center"/>
        <w:rPr>
          <w:b/>
          <w:b/>
        </w:rPr>
      </w:pPr>
      <w:r>
        <w:rPr>
          <w:b/>
        </w:rPr>
        <w:t>Odpovědnost za vady</w:t>
      </w:r>
    </w:p>
    <w:p>
      <w:pPr>
        <w:pStyle w:val="ListParagraph"/>
        <w:rPr>
          <w:b/>
          <w:b/>
          <w:sz w:val="22"/>
        </w:rPr>
      </w:pPr>
      <w:r>
        <w:rPr>
          <w:b/>
          <w:sz w:val="22"/>
        </w:rPr>
      </w:r>
    </w:p>
    <w:p>
      <w:pPr>
        <w:pStyle w:val="ListParagraph"/>
        <w:numPr>
          <w:ilvl w:val="0"/>
          <w:numId w:val="3"/>
        </w:numPr>
        <w:ind w:left="284" w:hanging="426"/>
        <w:jc w:val="both"/>
        <w:rPr/>
      </w:pPr>
      <w:r>
        <w:rPr/>
        <w:t>Prodávající odpovídá za vady Zboží, které mělo při předání, včetně skrytých vad a poskytuje záruku za jakost Zboží v délce trvání odpovídající datu použitelnosti Zboží a datu minimální trvanlivosti Zboží.</w:t>
      </w:r>
    </w:p>
    <w:p>
      <w:pPr>
        <w:pStyle w:val="ListParagraph"/>
        <w:numPr>
          <w:ilvl w:val="0"/>
          <w:numId w:val="3"/>
        </w:numPr>
        <w:ind w:left="284" w:hanging="426"/>
        <w:jc w:val="both"/>
        <w:rPr/>
      </w:pPr>
      <w:r>
        <w:rPr/>
        <w:t>Kupující není povinen Zboží při jeho dodání ani po jeho dodání zkontrolovat, a to jak co do kvality, tak co do množství. Podpisem dodacího listu uvádějícím množství Zboží se Kupující tohoto práva nevzdává. Povinnost prokázat vadu Zboží spočívající ve vadě dodaného množství však bude na Kupujícím.</w:t>
      </w:r>
    </w:p>
    <w:p>
      <w:pPr>
        <w:pStyle w:val="ListParagraph"/>
        <w:numPr>
          <w:ilvl w:val="0"/>
          <w:numId w:val="3"/>
        </w:numPr>
        <w:ind w:left="284" w:hanging="426"/>
        <w:jc w:val="both"/>
        <w:rPr/>
      </w:pPr>
      <w:r>
        <w:rPr/>
        <w:t>Kupující je oprávněn dodávku Zboží odmítnout, pokud při přejímce odhalí jakoukoliv vadu, a to v rozsahu Zboží dotčeného takovou vadou. Odmítnutí má bez dalšího za následek odstoupení Kupujícího od příslušného Pokynu v rozsahu vadou dotčeného Zboží, nesdělí-li Kupující Prodávajícímu jiný požadavek (např. na dodání náhradního bezvadného zboží). Odmítnutí a s ním spojené odstoupení od Pokynu nezbavuje Prodávajícího odpovědnosti za porušení povinnosti dodat Zboří řádně.</w:t>
      </w:r>
    </w:p>
    <w:p>
      <w:pPr>
        <w:pStyle w:val="ListParagraph"/>
        <w:numPr>
          <w:ilvl w:val="0"/>
          <w:numId w:val="3"/>
        </w:numPr>
        <w:ind w:left="284" w:hanging="426"/>
        <w:jc w:val="both"/>
        <w:rPr/>
      </w:pPr>
      <w:r>
        <w:rPr/>
        <w:t>Kupující má tato práva z vad zboží:</w:t>
      </w:r>
    </w:p>
    <w:p>
      <w:pPr>
        <w:pStyle w:val="ListParagraph"/>
        <w:ind w:left="567" w:hanging="283"/>
        <w:jc w:val="both"/>
        <w:rPr/>
      </w:pPr>
      <w:r>
        <w:rPr/>
        <w:t>a) požadovat dodání chybějícího množství Zboží,</w:t>
      </w:r>
    </w:p>
    <w:p>
      <w:pPr>
        <w:pStyle w:val="ListParagraph"/>
        <w:ind w:left="567" w:hanging="283"/>
        <w:jc w:val="both"/>
        <w:rPr/>
      </w:pPr>
      <w:r>
        <w:rPr/>
        <w:t>b) požadovat výměnu vadného Zboží za bezvadné</w:t>
      </w:r>
    </w:p>
    <w:p>
      <w:pPr>
        <w:pStyle w:val="ListParagraph"/>
        <w:ind w:left="567" w:hanging="283"/>
        <w:jc w:val="both"/>
        <w:rPr/>
      </w:pPr>
      <w:r>
        <w:rPr/>
        <w:t>c) odstoupit od smlouvy v rozsahu dodávky vadného zboží.</w:t>
      </w:r>
    </w:p>
    <w:p>
      <w:pPr>
        <w:pStyle w:val="ListParagraph"/>
        <w:ind w:left="567" w:hanging="283"/>
        <w:jc w:val="both"/>
        <w:rPr/>
      </w:pPr>
      <w:r>
        <w:rPr/>
        <w:t>Možnost volby mezi shora uvedenými právy náleží Kupujícímu.</w:t>
      </w:r>
    </w:p>
    <w:p>
      <w:pPr>
        <w:pStyle w:val="ListParagraph"/>
        <w:ind w:left="567" w:hanging="283"/>
        <w:jc w:val="both"/>
        <w:rPr/>
      </w:pPr>
      <w:r>
        <w:rPr/>
        <w:t>Kupující se s prodávajícím může domluvit i na poskytnutí slevy z vadného zboží.</w:t>
      </w:r>
    </w:p>
    <w:p>
      <w:pPr>
        <w:pStyle w:val="ListParagraph"/>
        <w:ind w:left="283" w:hanging="0"/>
        <w:jc w:val="both"/>
        <w:rPr/>
      </w:pPr>
      <w:r>
        <w:rPr/>
        <w:t xml:space="preserve">Kupující má právo požadovat splnění povinnosti vybrané ze shora uvedených povinností Prodávajícího ve lhůtě </w:t>
      </w:r>
      <w:r>
        <w:rPr>
          <w:shd w:fill="FFFFFF" w:val="clear"/>
        </w:rPr>
        <w:t xml:space="preserve">do 7:00 hodin </w:t>
      </w:r>
      <w:r>
        <w:rPr/>
        <w:t>následujícího pracovního dne.</w:t>
      </w:r>
    </w:p>
    <w:p>
      <w:pPr>
        <w:pStyle w:val="ListParagraph"/>
        <w:numPr>
          <w:ilvl w:val="0"/>
          <w:numId w:val="3"/>
        </w:numPr>
        <w:ind w:left="284" w:hanging="426"/>
        <w:jc w:val="both"/>
        <w:rPr/>
      </w:pPr>
      <w:r>
        <w:rPr/>
        <w:t>Veškeré náklady vyplývající z uplatněných práv z vad Zboží jdou k tíži Prodávajícího.</w:t>
      </w:r>
    </w:p>
    <w:p>
      <w:pPr>
        <w:pStyle w:val="Normal"/>
        <w:jc w:val="center"/>
        <w:rPr>
          <w:b/>
          <w:b/>
          <w:color w:val="FF0000"/>
        </w:rPr>
      </w:pPr>
      <w:r>
        <w:rPr>
          <w:b/>
          <w:color w:val="FF0000"/>
        </w:rPr>
      </w:r>
    </w:p>
    <w:p>
      <w:pPr>
        <w:pStyle w:val="Normal"/>
        <w:rPr>
          <w:b/>
          <w:b/>
        </w:rPr>
      </w:pPr>
      <w:r>
        <w:rPr>
          <w:b/>
        </w:rPr>
      </w:r>
    </w:p>
    <w:p>
      <w:pPr>
        <w:pStyle w:val="Normal"/>
        <w:jc w:val="center"/>
        <w:rPr>
          <w:b/>
          <w:b/>
        </w:rPr>
      </w:pPr>
      <w:r>
        <w:rPr>
          <w:b/>
        </w:rPr>
      </w:r>
    </w:p>
    <w:p>
      <w:pPr>
        <w:pStyle w:val="Normal"/>
        <w:jc w:val="center"/>
        <w:rPr>
          <w:b/>
          <w:b/>
        </w:rPr>
      </w:pPr>
      <w:r>
        <w:rPr>
          <w:b/>
        </w:rPr>
        <w:t>VIII.</w:t>
      </w:r>
    </w:p>
    <w:p>
      <w:pPr>
        <w:pStyle w:val="Normal"/>
        <w:jc w:val="center"/>
        <w:rPr>
          <w:b/>
          <w:b/>
        </w:rPr>
      </w:pPr>
      <w:r>
        <w:rPr>
          <w:b/>
        </w:rPr>
        <w:t xml:space="preserve">Ostatní ustanovení </w:t>
      </w:r>
    </w:p>
    <w:p>
      <w:pPr>
        <w:pStyle w:val="Normal"/>
        <w:rPr>
          <w:b/>
          <w:b/>
        </w:rPr>
      </w:pPr>
      <w:r>
        <w:rPr>
          <w:b/>
        </w:rPr>
      </w:r>
    </w:p>
    <w:p>
      <w:pPr>
        <w:pStyle w:val="Default"/>
        <w:tabs>
          <w:tab w:val="clear" w:pos="708"/>
          <w:tab w:val="left" w:pos="284" w:leader="none"/>
        </w:tabs>
        <w:ind w:left="284" w:hanging="284"/>
        <w:jc w:val="both"/>
        <w:rPr>
          <w:rFonts w:ascii="Times New Roman" w:hAnsi="Times New Roman" w:cs="Times New Roman"/>
        </w:rPr>
      </w:pPr>
      <w:r>
        <w:rPr>
          <w:rFonts w:cs="Times New Roman" w:ascii="Times New Roman" w:hAnsi="Times New Roman"/>
        </w:rPr>
        <w:t>1.  Kupující si v souladu s § 100 odst. 2 z. č. 134/2016 Sb., zákon o zadávání veřejných zakázek, ve              znění pozdějších předpisů (dále jen „</w:t>
      </w:r>
      <w:r>
        <w:rPr>
          <w:rFonts w:cs="Times New Roman" w:ascii="Times New Roman" w:hAnsi="Times New Roman"/>
          <w:b/>
          <w:bCs/>
        </w:rPr>
        <w:t>ZZVZ</w:t>
      </w:r>
      <w:r>
        <w:rPr>
          <w:rFonts w:cs="Times New Roman" w:ascii="Times New Roman" w:hAnsi="Times New Roman"/>
        </w:rPr>
        <w:t xml:space="preserve">“), vyhrazuje změnu Prodávajícího, se kterým byla uzavřena Smlouva, v případě, že dojde k předčasnému ukončení Smlouvy v souladu s jejím zněním nebo v souladu s právními předpisy platnými v České republice. Kupující si dále vyhrazuje změnu Prodávajícího, v případě, že Prodávající nebude schopen z objektivně nastalých důvodů garantovat dodání celkového množství Zboží uvedeného v konkrétním Pokynu dle čl. III. Smlouvy. V takovém případě odebere Kupující od Prodávajícího množství, které je schopen dodat, a pro účely dodání zbývajícího množství Zboží je Kupující oprávněn oslovit náhradního dodavatele, a to postupem dle odst. 7 tohoto článku Smlouvy. </w:t>
      </w:r>
    </w:p>
    <w:p>
      <w:pPr>
        <w:pStyle w:val="Default"/>
        <w:spacing w:before="0" w:after="16"/>
        <w:ind w:left="284" w:hanging="284"/>
        <w:jc w:val="both"/>
        <w:rPr>
          <w:rFonts w:ascii="Times New Roman" w:hAnsi="Times New Roman" w:cs="Times New Roman"/>
        </w:rPr>
      </w:pPr>
      <w:r>
        <w:rPr>
          <w:rFonts w:cs="Times New Roman" w:ascii="Times New Roman" w:hAnsi="Times New Roman"/>
        </w:rPr>
        <w:t xml:space="preserve">2. V případě využití vyhrazené změny Prodávajícího podle předchozího odstavce Kupující vyzve k uzavření nové smlouvy na Prodávajícím nedodanou část předmětu Veřejné zakázky toho dodavatele, jehož nabídka se umístila jako další v pořadí hodnocení nabídek za nabídkou Prodávajícího. Dodavatel je oprávněn uzavření smlouvy odmítnout. Odmítne-li tento dodavatel uzavření smlouvy nebo smlouva nebude uzavřena z důvodů uvedených v následujícím odstavci, může Kupující vyzvat další dodavatele v pořadí podle původního hodnocení nabídek. Tento postup může kupující opakovat až do uzavření smlouvy nebo odmítnutí jejího uzavření ze strany všech dodavatelů. </w:t>
      </w:r>
    </w:p>
    <w:p>
      <w:pPr>
        <w:pStyle w:val="Default"/>
        <w:spacing w:before="0" w:after="16"/>
        <w:ind w:left="284" w:hanging="284"/>
        <w:jc w:val="both"/>
        <w:rPr>
          <w:rFonts w:ascii="Times New Roman" w:hAnsi="Times New Roman" w:cs="Times New Roman"/>
        </w:rPr>
      </w:pPr>
      <w:r>
        <w:rPr>
          <w:rFonts w:cs="Times New Roman" w:ascii="Times New Roman" w:hAnsi="Times New Roman"/>
        </w:rPr>
        <w:t xml:space="preserve">3. Dodavatel vyzvaný podle předchozího odstavce musí splnit veškeré zadávací podmínky a v souladu s § 86 odst. 3 ZZVZ předložit originály nebo ověřené kopie dokladů o kvalifikaci, pokud je již Kupující nemá k dispozici. </w:t>
      </w:r>
    </w:p>
    <w:p>
      <w:pPr>
        <w:pStyle w:val="Default"/>
        <w:ind w:left="284" w:hanging="284"/>
        <w:jc w:val="both"/>
        <w:rPr>
          <w:rFonts w:ascii="Times New Roman" w:hAnsi="Times New Roman" w:cs="Times New Roman"/>
        </w:rPr>
      </w:pPr>
      <w:r>
        <w:rPr>
          <w:rFonts w:cs="Times New Roman" w:ascii="Times New Roman" w:hAnsi="Times New Roman"/>
        </w:rPr>
        <w:t xml:space="preserve">4. Pro dodavatele, se kterým bude uzavřena smlouva na základě výhrady dle odst. 1 tohoto článku Smlouvy, zůstávají v platnosti původní zadávací podmínky Veřejné zakázky, s modifikacemi vyplývajícími z již dříve plněné části předmětu Veřejné zakázky a změn v rozsahu plnění Veřejné zakázky a cena sjednaná ve smlouvě musí odpovídat ceně uvedené v nabídce tohoto dodavatele. </w:t>
      </w:r>
    </w:p>
    <w:p>
      <w:pPr>
        <w:pStyle w:val="Normal"/>
        <w:ind w:hanging="142"/>
        <w:jc w:val="both"/>
        <w:rPr/>
      </w:pPr>
      <w:r>
        <w:rPr/>
      </w:r>
    </w:p>
    <w:p>
      <w:pPr>
        <w:pStyle w:val="Normal"/>
        <w:jc w:val="center"/>
        <w:rPr>
          <w:b/>
          <w:b/>
        </w:rPr>
      </w:pPr>
      <w:r>
        <w:rPr>
          <w:b/>
        </w:rPr>
      </w:r>
    </w:p>
    <w:p>
      <w:pPr>
        <w:pStyle w:val="Normal"/>
        <w:jc w:val="center"/>
        <w:rPr>
          <w:b/>
          <w:b/>
        </w:rPr>
      </w:pPr>
      <w:r>
        <w:rPr>
          <w:b/>
        </w:rPr>
        <w:t>IX.</w:t>
      </w:r>
    </w:p>
    <w:p>
      <w:pPr>
        <w:pStyle w:val="Normal"/>
        <w:jc w:val="center"/>
        <w:rPr>
          <w:b/>
          <w:b/>
        </w:rPr>
      </w:pPr>
      <w:r>
        <w:rPr>
          <w:b/>
        </w:rPr>
        <w:t>Závěrečná ujednání</w:t>
      </w:r>
    </w:p>
    <w:p>
      <w:pPr>
        <w:pStyle w:val="Normal"/>
        <w:jc w:val="center"/>
        <w:rPr>
          <w:sz w:val="22"/>
        </w:rPr>
      </w:pPr>
      <w:r>
        <w:rPr>
          <w:sz w:val="22"/>
        </w:rPr>
      </w:r>
    </w:p>
    <w:p>
      <w:pPr>
        <w:pStyle w:val="ListParagraph"/>
        <w:numPr>
          <w:ilvl w:val="0"/>
          <w:numId w:val="7"/>
        </w:numPr>
        <w:ind w:left="284" w:hanging="426"/>
        <w:jc w:val="both"/>
        <w:rPr/>
      </w:pPr>
      <w:r>
        <w:rPr/>
        <w:t>Prodávající není oprávněn bez souhlasu objednatele postoupit třetí osobě jakékoliv své pohledávky      za objednatelem vyplývající z této smlouvy.</w:t>
      </w:r>
    </w:p>
    <w:p>
      <w:pPr>
        <w:pStyle w:val="ListParagraph"/>
        <w:numPr>
          <w:ilvl w:val="0"/>
          <w:numId w:val="7"/>
        </w:numPr>
        <w:ind w:left="284" w:hanging="426"/>
        <w:jc w:val="both"/>
        <w:rPr/>
      </w:pPr>
      <w:r>
        <w:rPr/>
        <w:t xml:space="preserve">Ujednání této smlouvy lze změnit, doplnit nebo vypustit pouze písemným, pořadově očíslovaným dodatkem této smlouvy, uzavřeným oprávněnými zástupci smluvních stran.  </w:t>
      </w:r>
    </w:p>
    <w:p>
      <w:pPr>
        <w:pStyle w:val="ListParagraph"/>
        <w:numPr>
          <w:ilvl w:val="0"/>
          <w:numId w:val="7"/>
        </w:numPr>
        <w:ind w:left="284" w:hanging="426"/>
        <w:jc w:val="both"/>
        <w:rPr/>
      </w:pPr>
      <w:r>
        <w:rPr/>
        <w:t xml:space="preserve">Ostatní vztahy touto smlouvou výslovně neupravené se řídí příslušnými ustanoveními zákona č. 89/2012 Sb., občanského zákoníku. </w:t>
      </w:r>
    </w:p>
    <w:p>
      <w:pPr>
        <w:pStyle w:val="ListParagraph"/>
        <w:numPr>
          <w:ilvl w:val="0"/>
          <w:numId w:val="7"/>
        </w:numPr>
        <w:ind w:left="284" w:hanging="426"/>
        <w:jc w:val="both"/>
        <w:rPr/>
      </w:pPr>
      <w:r>
        <w:rPr/>
        <w:t>Zástupci smluvních stran uzavírající tuto smlouvou prohlašují, že jsou osobami oprávněnými tuto smlouvu uzavřít.</w:t>
      </w:r>
    </w:p>
    <w:p>
      <w:pPr>
        <w:pStyle w:val="ListParagraph"/>
        <w:numPr>
          <w:ilvl w:val="0"/>
          <w:numId w:val="7"/>
        </w:numPr>
        <w:ind w:left="284" w:hanging="426"/>
        <w:jc w:val="both"/>
        <w:rPr/>
      </w:pPr>
      <w:r>
        <w:rPr/>
        <w:t>Tato smlouva nabývá platnosti podpisem a účinnosti dnem jejího zveřejnění v registru smluv. Strany této smlouvy berou na vědomí, že Psychiatrická nemocnice Havlíčkův Brod je státní příspěvkovou organizací.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nebo postupy podle zákona č. 106/1999 Sb., o svobodném přístupu k informacím nebo v rámci projektu státu otevřená data. Strany této smlouvy s tímto zveřejňováním informací souhlasí.</w:t>
      </w:r>
    </w:p>
    <w:p>
      <w:pPr>
        <w:pStyle w:val="Normal"/>
        <w:numPr>
          <w:ilvl w:val="0"/>
          <w:numId w:val="0"/>
        </w:numPr>
        <w:ind w:left="0" w:hanging="0"/>
        <w:outlineLvl w:val="0"/>
        <w:rPr>
          <w:b/>
          <w:b/>
          <w:color w:val="000000"/>
          <w:sz w:val="28"/>
          <w:szCs w:val="28"/>
        </w:rPr>
      </w:pPr>
      <w:r>
        <w:rPr>
          <w:b/>
          <w:color w:val="000000"/>
          <w:sz w:val="28"/>
          <w:szCs w:val="28"/>
        </w:rPr>
      </w:r>
    </w:p>
    <w:p>
      <w:pPr>
        <w:pStyle w:val="Normal"/>
        <w:numPr>
          <w:ilvl w:val="0"/>
          <w:numId w:val="0"/>
        </w:numPr>
        <w:ind w:left="0" w:hanging="0"/>
        <w:outlineLvl w:val="0"/>
        <w:rPr>
          <w:b/>
          <w:b/>
          <w:color w:val="000000"/>
          <w:sz w:val="28"/>
          <w:szCs w:val="28"/>
        </w:rPr>
      </w:pPr>
      <w:r>
        <w:rPr>
          <w:b/>
          <w:color w:val="000000"/>
          <w:sz w:val="28"/>
          <w:szCs w:val="28"/>
        </w:rPr>
      </w:r>
    </w:p>
    <w:p>
      <w:pPr>
        <w:pStyle w:val="Normal"/>
        <w:jc w:val="both"/>
        <w:rPr/>
      </w:pPr>
      <w:r>
        <w:rPr/>
        <w:t>Přílohy: příloha č. 1 - Specifikace Zboží a položkový ceník</w:t>
      </w:r>
    </w:p>
    <w:p>
      <w:pPr>
        <w:pStyle w:val="Normal"/>
        <w:jc w:val="both"/>
        <w:rPr/>
      </w:pPr>
      <w:r>
        <w:rPr/>
      </w:r>
    </w:p>
    <w:p>
      <w:pPr>
        <w:pStyle w:val="Normal"/>
        <w:jc w:val="both"/>
        <w:rPr>
          <w:highlight w:val="none"/>
          <w:shd w:fill="FFFFFF" w:val="clear"/>
        </w:rPr>
      </w:pPr>
      <w:r>
        <w:rPr>
          <w:shd w:fill="FFFFFF" w:val="clear"/>
        </w:rPr>
      </w:r>
    </w:p>
    <w:p>
      <w:pPr>
        <w:pStyle w:val="Normal"/>
        <w:jc w:val="both"/>
        <w:rPr>
          <w:highlight w:val="none"/>
          <w:shd w:fill="FFFFFF" w:val="clear"/>
        </w:rPr>
      </w:pPr>
      <w:r>
        <w:rPr>
          <w:shd w:fill="FFFFFF" w:val="clear"/>
        </w:rPr>
        <w:t xml:space="preserve">V Havlíčkově Brodě dne                     </w:t>
        <w:tab/>
        <w:tab/>
        <w:t xml:space="preserve">        V Českém Dvoře dne  </w:t>
      </w:r>
    </w:p>
    <w:p>
      <w:pPr>
        <w:pStyle w:val="Normal"/>
        <w:jc w:val="both"/>
        <w:rPr>
          <w:highlight w:val="none"/>
          <w:shd w:fill="FFFFFF" w:val="clear"/>
        </w:rPr>
      </w:pPr>
      <w:r>
        <w:rPr>
          <w:shd w:fill="FFFFFF" w:val="clear"/>
        </w:rPr>
      </w:r>
    </w:p>
    <w:p>
      <w:pPr>
        <w:pStyle w:val="Normal"/>
        <w:jc w:val="both"/>
        <w:rPr>
          <w:highlight w:val="none"/>
          <w:shd w:fill="FFFFFF" w:val="clear"/>
        </w:rPr>
      </w:pPr>
      <w:r>
        <w:rPr>
          <w:shd w:fill="FFFFFF" w:val="clear"/>
        </w:rPr>
      </w:r>
    </w:p>
    <w:p>
      <w:pPr>
        <w:pStyle w:val="Normal"/>
        <w:jc w:val="both"/>
        <w:rPr>
          <w:highlight w:val="none"/>
          <w:shd w:fill="FFFFFF" w:val="clear"/>
        </w:rPr>
      </w:pPr>
      <w:r>
        <w:rPr>
          <w:shd w:fill="FFFFFF" w:val="clear"/>
        </w:rPr>
      </w:r>
    </w:p>
    <w:p>
      <w:pPr>
        <w:pStyle w:val="Normal"/>
        <w:jc w:val="both"/>
        <w:rPr>
          <w:highlight w:val="none"/>
          <w:shd w:fill="FFFFFF" w:val="clear"/>
        </w:rPr>
      </w:pPr>
      <w:r>
        <w:rPr>
          <w:shd w:fill="FFFFFF" w:val="clear"/>
        </w:rPr>
        <w:t xml:space="preserve"> ……………………………</w:t>
      </w:r>
      <w:r>
        <w:rPr>
          <w:shd w:fill="FFFFFF" w:val="clear"/>
        </w:rPr>
        <w:t>.</w:t>
        <w:tab/>
        <w:tab/>
        <w:tab/>
        <w:tab/>
        <w:tab/>
        <w:t xml:space="preserve">      ……..…………………….</w:t>
      </w:r>
    </w:p>
    <w:p>
      <w:pPr>
        <w:pStyle w:val="Normal"/>
        <w:jc w:val="both"/>
        <w:rPr>
          <w:highlight w:val="none"/>
          <w:shd w:fill="FFFFFF" w:val="clear"/>
        </w:rPr>
      </w:pPr>
      <w:r>
        <w:rPr>
          <w:shd w:fill="FFFFFF" w:val="clear"/>
        </w:rPr>
        <w:t xml:space="preserve">          </w:t>
      </w:r>
      <w:r>
        <w:rPr>
          <w:shd w:fill="FFFFFF" w:val="clear"/>
        </w:rPr>
        <w:t>Miroslav Duben</w:t>
        <w:tab/>
        <w:tab/>
        <w:t xml:space="preserve">    </w:t>
        <w:tab/>
        <w:t xml:space="preserve">                                      Miroslav Kyncl</w:t>
      </w:r>
    </w:p>
    <w:p>
      <w:pPr>
        <w:pStyle w:val="Normal"/>
        <w:jc w:val="both"/>
        <w:rPr>
          <w:highlight w:val="none"/>
          <w:shd w:fill="FFFFFF" w:val="clear"/>
        </w:rPr>
      </w:pPr>
      <w:r>
        <w:rPr>
          <w:shd w:fill="FFFFFF" w:val="clear"/>
        </w:rPr>
        <w:t xml:space="preserve">      </w:t>
      </w:r>
      <w:r>
        <w:rPr>
          <w:shd w:fill="FFFFFF" w:val="clear"/>
        </w:rPr>
        <w:t>administrátor zakázky</w:t>
        <w:tab/>
        <w:tab/>
        <w:tab/>
        <w:t xml:space="preserve">            </w:t>
        <w:tab/>
        <w:t xml:space="preserve">                     jednatel</w:t>
      </w:r>
    </w:p>
    <w:p>
      <w:pPr>
        <w:pStyle w:val="Tlotextu"/>
        <w:rPr>
          <w:highlight w:val="none"/>
          <w:shd w:fill="FFFFFF" w:val="clear"/>
        </w:rPr>
      </w:pPr>
      <w:r>
        <w:rPr>
          <w:rFonts w:cs="Times New Roman"/>
          <w:sz w:val="24"/>
          <w:szCs w:val="24"/>
          <w:shd w:fill="FFFFFF" w:val="clear"/>
        </w:rPr>
        <w:tab/>
      </w:r>
      <w:r>
        <w:rPr>
          <w:rFonts w:cs="Times New Roman"/>
          <w:sz w:val="24"/>
          <w:szCs w:val="24"/>
          <w:shd w:fill="FFFFFF" w:val="clear"/>
          <w:lang w:val="cs-CZ"/>
        </w:rPr>
        <w:t xml:space="preserve">    kupující</w:t>
        <w:tab/>
        <w:tab/>
        <w:tab/>
        <w:tab/>
        <w:tab/>
        <w:tab/>
        <w:t xml:space="preserve">                  prodávající</w:t>
        <w:tab/>
      </w:r>
    </w:p>
    <w:p>
      <w:pPr>
        <w:pStyle w:val="Tlotextu"/>
        <w:spacing w:before="0" w:after="120"/>
        <w:rPr>
          <w:rFonts w:cs="Times New Roman"/>
          <w:b/>
          <w:b/>
          <w:color w:val="000000"/>
          <w:sz w:val="24"/>
          <w:szCs w:val="24"/>
          <w:lang w:val="cs-CZ"/>
        </w:rPr>
      </w:pPr>
      <w:r>
        <w:rPr>
          <w:rFonts w:cs="Times New Roman"/>
          <w:b/>
          <w:color w:val="000000"/>
          <w:sz w:val="24"/>
          <w:szCs w:val="24"/>
          <w:lang w:val="cs-CZ"/>
        </w:rPr>
      </w:r>
    </w:p>
    <w:p>
      <w:pPr>
        <w:pStyle w:val="Tlotextu"/>
        <w:spacing w:before="0" w:after="120"/>
        <w:rPr>
          <w:rFonts w:cs="Times New Roman"/>
          <w:b/>
          <w:b/>
          <w:color w:val="000000"/>
          <w:sz w:val="24"/>
          <w:szCs w:val="24"/>
          <w:lang w:val="cs-CZ"/>
        </w:rPr>
      </w:pPr>
      <w:r>
        <w:rPr>
          <w:rFonts w:cs="Times New Roman"/>
          <w:b/>
          <w:color w:val="000000"/>
          <w:sz w:val="24"/>
          <w:szCs w:val="24"/>
          <w:lang w:val="cs-CZ"/>
        </w:rPr>
      </w:r>
    </w:p>
    <w:p>
      <w:pPr>
        <w:pStyle w:val="Tlotextu"/>
        <w:spacing w:before="0" w:after="120"/>
        <w:rPr>
          <w:rFonts w:cs="Times New Roman"/>
          <w:b/>
          <w:b/>
          <w:color w:val="000000"/>
          <w:sz w:val="24"/>
          <w:szCs w:val="24"/>
          <w:lang w:val="cs-CZ"/>
        </w:rPr>
      </w:pPr>
      <w:r>
        <w:rPr>
          <w:rFonts w:cs="Times New Roman"/>
          <w:b/>
          <w:color w:val="000000"/>
          <w:sz w:val="24"/>
          <w:szCs w:val="24"/>
          <w:lang w:val="cs-CZ"/>
        </w:rPr>
      </w:r>
    </w:p>
    <w:p>
      <w:pPr>
        <w:pStyle w:val="Normal"/>
        <w:jc w:val="both"/>
        <w:rPr/>
      </w:pPr>
      <w:r>
        <w:rPr/>
        <w:t>Příloha č. 1 - Specifikace zboží a položkový ceník</w:t>
      </w:r>
    </w:p>
    <w:p>
      <w:pPr>
        <w:pStyle w:val="Normal"/>
        <w:jc w:val="both"/>
        <w:rPr/>
      </w:pPr>
      <w:r>
        <w:rPr/>
      </w:r>
    </w:p>
    <w:p>
      <w:pPr>
        <w:pStyle w:val="Tlotextu"/>
        <w:spacing w:before="0" w:after="120"/>
        <w:rPr>
          <w:rFonts w:cs="Times New Roman"/>
          <w:b/>
          <w:b/>
          <w:color w:val="000000"/>
          <w:sz w:val="24"/>
          <w:szCs w:val="24"/>
          <w:lang w:val="cs-CZ"/>
        </w:rPr>
      </w:pPr>
      <w:r>
        <w:rPr/>
        <w:drawing>
          <wp:anchor behindDoc="0" distT="0" distB="0" distL="0" distR="0" simplePos="0" locked="0" layoutInCell="0" allowOverlap="1" relativeHeight="2">
            <wp:simplePos x="0" y="0"/>
            <wp:positionH relativeFrom="column">
              <wp:posOffset>46355</wp:posOffset>
            </wp:positionH>
            <wp:positionV relativeFrom="paragraph">
              <wp:posOffset>87630</wp:posOffset>
            </wp:positionV>
            <wp:extent cx="6172200" cy="388620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4"/>
                    <a:srcRect l="736" t="2137" r="1135" b="3025"/>
                    <a:stretch>
                      <a:fillRect/>
                    </a:stretch>
                  </pic:blipFill>
                  <pic:spPr bwMode="auto">
                    <a:xfrm>
                      <a:off x="0" y="0"/>
                      <a:ext cx="6172200" cy="3886200"/>
                    </a:xfrm>
                    <a:prstGeom prst="rect">
                      <a:avLst/>
                    </a:prstGeom>
                  </pic:spPr>
                </pic:pic>
              </a:graphicData>
            </a:graphic>
          </wp:anchor>
        </w:drawing>
      </w:r>
    </w:p>
    <w:sectPr>
      <w:footerReference w:type="even" r:id="rId5"/>
      <w:footerReference w:type="default" r:id="rId6"/>
      <w:footerReference w:type="first" r:id="rId7"/>
      <w:type w:val="nextPage"/>
      <w:pgSz w:w="12240" w:h="15840"/>
      <w:pgMar w:left="1247" w:right="1134" w:gutter="0" w:header="0" w:top="1191" w:footer="709"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Segoe UI">
    <w:charset w:val="ee"/>
    <w:family w:val="roman"/>
    <w:pitch w:val="variable"/>
  </w:font>
  <w:font w:name="Bookman Old Style">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fldChar w:fldCharType="begin"/>
    </w:r>
    <w:r>
      <w:rPr/>
      <w:instrText> PAGE </w:instrText>
    </w:r>
    <w:r>
      <w:rPr/>
      <w:fldChar w:fldCharType="separate"/>
    </w:r>
    <w:r>
      <w:rPr/>
      <w:t>6</w:t>
    </w:r>
    <w:r>
      <w:rPr/>
      <w:fldChar w:fldCharType="end"/>
    </w:r>
  </w:p>
  <w:p>
    <w:pPr>
      <w:pStyle w:val="Zpa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fldChar w:fldCharType="begin"/>
    </w:r>
    <w:r>
      <w:rPr/>
      <w:instrText> PAGE </w:instrText>
    </w:r>
    <w:r>
      <w:rPr/>
      <w:fldChar w:fldCharType="separate"/>
    </w:r>
    <w:r>
      <w:rPr/>
      <w:t>6</w:t>
    </w:r>
    <w:r>
      <w:rPr/>
      <w:fldChar w:fldCharType="end"/>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decimal"/>
      <w:lvlText w:val="%1. "/>
      <w:lvlJc w:val="left"/>
      <w:pPr>
        <w:tabs>
          <w:tab w:val="num" w:pos="0"/>
        </w:tabs>
        <w:ind w:left="283" w:hanging="283"/>
      </w:pPr>
      <w:rPr>
        <w:dstrike w:val="false"/>
        <w:strike w:val="false"/>
        <w:sz w:val="22"/>
        <w:i w:val="false"/>
        <w:u w:val="none"/>
        <w:b w:val="false"/>
        <w:effect w:val="none"/>
        <w:rFonts w:ascii="Times New Roman" w:hAnsi="Times New Roman" w:cs="Times New Roman"/>
      </w:rPr>
    </w:lvl>
    <w:lvl w:ilvl="1">
      <w:start w:val="1"/>
      <w:pStyle w:val="Nadpis2"/>
      <w:numFmt w:val="decimal"/>
      <w:lvlText w:val="%2."/>
      <w:lvlJc w:val="left"/>
      <w:pPr>
        <w:tabs>
          <w:tab w:val="num" w:pos="1440"/>
        </w:tabs>
        <w:ind w:left="1440" w:hanging="360"/>
      </w:pPr>
      <w:rPr>
        <w:rFonts w:cs="Times New Roman"/>
      </w:rPr>
    </w:lvl>
    <w:lvl w:ilvl="2">
      <w:start w:val="1"/>
      <w:pStyle w:val="Nadpis3"/>
      <w:numFmt w:val="decimal"/>
      <w:lvlText w:val="%3."/>
      <w:lvlJc w:val="left"/>
      <w:pPr>
        <w:tabs>
          <w:tab w:val="num" w:pos="2160"/>
        </w:tabs>
        <w:ind w:left="2160" w:hanging="360"/>
      </w:pPr>
      <w:rPr>
        <w:rFonts w:cs="Times New Roman"/>
      </w:rPr>
    </w:lvl>
    <w:lvl w:ilvl="3">
      <w:start w:val="1"/>
      <w:pStyle w:val="Nadpis4"/>
      <w:numFmt w:val="decimal"/>
      <w:lvlText w:val="%4."/>
      <w:lvlJc w:val="left"/>
      <w:pPr>
        <w:tabs>
          <w:tab w:val="num" w:pos="2880"/>
        </w:tabs>
        <w:ind w:left="2880" w:hanging="360"/>
      </w:pPr>
      <w:rPr>
        <w:rFonts w:cs="Times New Roman"/>
      </w:rPr>
    </w:lvl>
    <w:lvl w:ilvl="4">
      <w:start w:val="1"/>
      <w:pStyle w:val="Nadpis5"/>
      <w:numFmt w:val="decimal"/>
      <w:lvlText w:val="%5."/>
      <w:lvlJc w:val="left"/>
      <w:pPr>
        <w:tabs>
          <w:tab w:val="num" w:pos="3600"/>
        </w:tabs>
        <w:ind w:left="3600" w:hanging="360"/>
      </w:pPr>
      <w:rPr>
        <w:rFonts w:cs="Times New Roman"/>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
      <w:lvlJc w:val="left"/>
      <w:pPr>
        <w:tabs>
          <w:tab w:val="num" w:pos="0"/>
        </w:tabs>
        <w:ind w:left="283" w:hanging="283"/>
      </w:pPr>
      <w:rPr>
        <w:dstrike w:val="false"/>
        <w:strike w:val="false"/>
        <w:sz w:val="22"/>
        <w:i w:val="false"/>
        <w:u w:val="none"/>
        <w:b w:val="false"/>
        <w:effect w:val="none"/>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lvl w:ilvl="0">
      <w:start w:val="1"/>
      <w:numFmt w:val="decimal"/>
      <w:lvlText w:val="%1. "/>
      <w:lvlJc w:val="left"/>
      <w:pPr>
        <w:tabs>
          <w:tab w:val="num" w:pos="0"/>
        </w:tabs>
        <w:ind w:left="283" w:hanging="283"/>
      </w:pPr>
      <w:rPr>
        <w:dstrike w:val="false"/>
        <w:strike w:val="false"/>
        <w:sz w:val="22"/>
        <w:i w:val="false"/>
        <w:u w:val="none"/>
        <w:b w:val="false"/>
        <w:effect w:val="none"/>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
      <w:lvlJc w:val="left"/>
      <w:pPr>
        <w:tabs>
          <w:tab w:val="num" w:pos="0"/>
        </w:tabs>
        <w:ind w:left="283" w:hanging="283"/>
      </w:pPr>
      <w:rPr>
        <w:dstrike w:val="false"/>
        <w:strike w:val="false"/>
        <w:sz w:val="22"/>
        <w:i w:val="false"/>
        <w:u w:val="none"/>
        <w:b w:val="false"/>
        <w:effect w:val="none"/>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lvl w:ilvl="0">
      <w:start w:val="1"/>
      <w:numFmt w:val="decimal"/>
      <w:lvlText w:val="%1. "/>
      <w:lvlJc w:val="left"/>
      <w:pPr>
        <w:tabs>
          <w:tab w:val="num" w:pos="0"/>
        </w:tabs>
        <w:ind w:left="283" w:hanging="283"/>
      </w:pPr>
      <w:rPr>
        <w:dstrike w:val="false"/>
        <w:strike w:val="false"/>
        <w:sz w:val="22"/>
        <w:i w:val="false"/>
        <w:u w:val="none"/>
        <w:b w:val="false"/>
        <w:effect w:val="none"/>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lvl w:ilvl="0">
      <w:start w:val="1"/>
      <w:numFmt w:val="decimal"/>
      <w:lvlText w:val="%1. "/>
      <w:lvlJc w:val="left"/>
      <w:pPr>
        <w:tabs>
          <w:tab w:val="num" w:pos="0"/>
        </w:tabs>
        <w:ind w:left="283" w:hanging="283"/>
      </w:pPr>
      <w:rPr>
        <w:dstrike w:val="false"/>
        <w:strike w:val="false"/>
        <w:sz w:val="22"/>
        <w:i w:val="false"/>
        <w:u w:val="none"/>
        <w:b w:val="false"/>
        <w:effect w:val="none"/>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8"/>
    <w:lvlOverride w:ilvl="0">
      <w:startOverride w:val="1"/>
    </w:lvlOverride>
  </w:num>
  <w:num w:numId="12">
    <w:abstractNumId w:val="8"/>
  </w:num>
  <w:num w:numId="13">
    <w:abstractNumId w:val="8"/>
  </w:num>
</w:numbering>
</file>

<file path=word/settings.xml><?xml version="1.0" encoding="utf-8"?>
<w:settings xmlns:w="http://schemas.openxmlformats.org/wordprocessingml/2006/main">
  <w:zoom w:percent="100"/>
  <w:embedSystemFonts/>
  <w:defaultTabStop w:val="708"/>
  <w:autoHyphenation w:val="true"/>
  <w:compat>
    <w:doNotExpandShiftReturn/>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039d"/>
    <w:pPr>
      <w:widowControl w:val="false"/>
      <w:suppressAutoHyphens w:val="true"/>
      <w:bidi w:val="0"/>
      <w:spacing w:before="0" w:after="0"/>
      <w:jc w:val="left"/>
    </w:pPr>
    <w:rPr>
      <w:rFonts w:ascii="Times New Roman" w:hAnsi="Times New Roman" w:eastAsia="Times New Roman" w:cs="Times New Roman"/>
      <w:color w:val="auto"/>
      <w:kern w:val="0"/>
      <w:sz w:val="24"/>
      <w:szCs w:val="24"/>
      <w:lang w:val="cs-CZ" w:eastAsia="cs-CZ" w:bidi="hi-IN"/>
    </w:rPr>
  </w:style>
  <w:style w:type="paragraph" w:styleId="Nadpis1">
    <w:name w:val="Heading 1"/>
    <w:basedOn w:val="Normal"/>
    <w:next w:val="Normal"/>
    <w:qFormat/>
    <w:locked/>
    <w:rsid w:val="009f5477"/>
    <w:pPr>
      <w:keepNext w:val="true"/>
      <w:widowControl/>
      <w:numPr>
        <w:ilvl w:val="0"/>
        <w:numId w:val="1"/>
      </w:numPr>
      <w:jc w:val="both"/>
      <w:outlineLvl w:val="0"/>
    </w:pPr>
    <w:rPr>
      <w:b/>
      <w:szCs w:val="20"/>
      <w:lang w:eastAsia="ar-SA" w:bidi="ar-SA"/>
    </w:rPr>
  </w:style>
  <w:style w:type="paragraph" w:styleId="Nadpis2">
    <w:name w:val="Heading 2"/>
    <w:basedOn w:val="Normal"/>
    <w:next w:val="Normal"/>
    <w:qFormat/>
    <w:locked/>
    <w:rsid w:val="009f5477"/>
    <w:pPr>
      <w:keepNext w:val="true"/>
      <w:widowControl/>
      <w:numPr>
        <w:ilvl w:val="1"/>
        <w:numId w:val="1"/>
      </w:numPr>
      <w:jc w:val="both"/>
      <w:outlineLvl w:val="1"/>
    </w:pPr>
    <w:rPr>
      <w:b/>
      <w:color w:val="FF0000"/>
      <w:szCs w:val="20"/>
      <w:lang w:eastAsia="ar-SA" w:bidi="ar-SA"/>
    </w:rPr>
  </w:style>
  <w:style w:type="paragraph" w:styleId="Nadpis3">
    <w:name w:val="Heading 3"/>
    <w:basedOn w:val="Normal"/>
    <w:next w:val="Normal"/>
    <w:qFormat/>
    <w:locked/>
    <w:rsid w:val="009f5477"/>
    <w:pPr>
      <w:keepNext w:val="true"/>
      <w:widowControl/>
      <w:numPr>
        <w:ilvl w:val="2"/>
        <w:numId w:val="1"/>
      </w:numPr>
      <w:jc w:val="both"/>
      <w:outlineLvl w:val="2"/>
    </w:pPr>
    <w:rPr>
      <w:i/>
      <w:szCs w:val="20"/>
      <w:lang w:eastAsia="ar-SA" w:bidi="ar-SA"/>
    </w:rPr>
  </w:style>
  <w:style w:type="paragraph" w:styleId="Nadpis4">
    <w:name w:val="Heading 4"/>
    <w:basedOn w:val="Normal"/>
    <w:next w:val="Normal"/>
    <w:qFormat/>
    <w:locked/>
    <w:rsid w:val="009f5477"/>
    <w:pPr>
      <w:keepNext w:val="true"/>
      <w:widowControl/>
      <w:numPr>
        <w:ilvl w:val="3"/>
        <w:numId w:val="1"/>
      </w:numPr>
      <w:tabs>
        <w:tab w:val="clear" w:pos="708"/>
        <w:tab w:val="left" w:pos="1701" w:leader="none"/>
      </w:tabs>
      <w:jc w:val="both"/>
      <w:outlineLvl w:val="3"/>
    </w:pPr>
    <w:rPr>
      <w:color w:val="000000"/>
      <w:szCs w:val="20"/>
      <w:lang w:eastAsia="ar-SA" w:bidi="ar-SA"/>
    </w:rPr>
  </w:style>
  <w:style w:type="paragraph" w:styleId="Nadpis5">
    <w:name w:val="Heading 5"/>
    <w:basedOn w:val="Normal"/>
    <w:next w:val="Normal"/>
    <w:qFormat/>
    <w:locked/>
    <w:rsid w:val="009f5477"/>
    <w:pPr>
      <w:keepNext w:val="true"/>
      <w:widowControl/>
      <w:numPr>
        <w:ilvl w:val="4"/>
        <w:numId w:val="1"/>
      </w:numPr>
      <w:jc w:val="both"/>
      <w:outlineLvl w:val="4"/>
    </w:pPr>
    <w:rPr>
      <w:b/>
      <w:color w:val="000000"/>
      <w:szCs w:val="20"/>
      <w:lang w:eastAsia="ar-SA" w:bidi="ar-SA"/>
    </w:rPr>
  </w:style>
  <w:style w:type="character" w:styleId="DefaultParagraphFont" w:default="1">
    <w:name w:val="Default Paragraph Font"/>
    <w:uiPriority w:val="1"/>
    <w:semiHidden/>
    <w:unhideWhenUsed/>
    <w:qFormat/>
    <w:rPr/>
  </w:style>
  <w:style w:type="character" w:styleId="ZkladntextChar" w:customStyle="1">
    <w:name w:val="Základní text Char"/>
    <w:uiPriority w:val="99"/>
    <w:semiHidden/>
    <w:qFormat/>
    <w:locked/>
    <w:rPr>
      <w:rFonts w:cs="Mangal"/>
      <w:sz w:val="21"/>
      <w:szCs w:val="21"/>
      <w:lang w:bidi="hi-IN"/>
    </w:rPr>
  </w:style>
  <w:style w:type="character" w:styleId="Internetovodkaz">
    <w:name w:val="Internetový odkaz"/>
    <w:uiPriority w:val="99"/>
    <w:rsid w:val="00aa240f"/>
    <w:rPr>
      <w:rFonts w:cs="Times New Roman"/>
      <w:color w:val="0000FF"/>
      <w:u w:val="single"/>
    </w:rPr>
  </w:style>
  <w:style w:type="character" w:styleId="ZhlavChar" w:customStyle="1">
    <w:name w:val="Záhlaví Char"/>
    <w:uiPriority w:val="99"/>
    <w:qFormat/>
    <w:rsid w:val="00745aa5"/>
    <w:rPr>
      <w:rFonts w:cs="Mangal"/>
      <w:sz w:val="24"/>
      <w:szCs w:val="21"/>
      <w:lang w:bidi="hi-IN"/>
    </w:rPr>
  </w:style>
  <w:style w:type="character" w:styleId="ZpatChar" w:customStyle="1">
    <w:name w:val="Zápatí Char"/>
    <w:uiPriority w:val="99"/>
    <w:qFormat/>
    <w:rsid w:val="00745aa5"/>
    <w:rPr>
      <w:rFonts w:cs="Mangal"/>
      <w:sz w:val="24"/>
      <w:szCs w:val="21"/>
      <w:lang w:bidi="hi-IN"/>
    </w:rPr>
  </w:style>
  <w:style w:type="character" w:styleId="Hlavninadpis" w:customStyle="1">
    <w:name w:val="hlavninadpis"/>
    <w:qFormat/>
    <w:rsid w:val="00352b90"/>
    <w:rPr/>
  </w:style>
  <w:style w:type="character" w:styleId="TextbublinyChar" w:customStyle="1">
    <w:name w:val="Text bubliny Char"/>
    <w:basedOn w:val="DefaultParagraphFont"/>
    <w:link w:val="BalloonText"/>
    <w:uiPriority w:val="99"/>
    <w:semiHidden/>
    <w:qFormat/>
    <w:rsid w:val="00d648ef"/>
    <w:rPr>
      <w:rFonts w:ascii="Tahoma" w:hAnsi="Tahoma" w:cs="Mangal"/>
      <w:sz w:val="16"/>
      <w:szCs w:val="14"/>
      <w:lang w:bidi="hi-IN"/>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uiPriority w:val="99"/>
    <w:pPr>
      <w:spacing w:before="0" w:after="120"/>
    </w:pPr>
    <w:rPr>
      <w:rFonts w:cs="Mangal"/>
      <w:sz w:val="21"/>
      <w:szCs w:val="21"/>
      <w:lang w:val="x-none" w:eastAsia="x-none"/>
    </w:rPr>
  </w:style>
  <w:style w:type="paragraph" w:styleId="Seznam">
    <w:name w:val="List"/>
    <w:basedOn w:val="Tlotextu"/>
    <w:uiPriority w:val="99"/>
    <w:pPr/>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Caption1">
    <w:name w:val="caption1"/>
    <w:basedOn w:val="Normal"/>
    <w:qFormat/>
    <w:pPr>
      <w:suppressLineNumbers/>
      <w:spacing w:before="120" w:after="120"/>
    </w:pPr>
    <w:rPr>
      <w:rFonts w:cs="Lucida Sans"/>
      <w:i/>
      <w:iCs/>
      <w:sz w:val="24"/>
      <w:szCs w:val="24"/>
    </w:rPr>
  </w:style>
  <w:style w:type="paragraph" w:styleId="Caption11">
    <w:name w:val="caption11"/>
    <w:basedOn w:val="Normal"/>
    <w:qFormat/>
    <w:pPr>
      <w:suppressLineNumbers/>
      <w:spacing w:before="120" w:after="120"/>
    </w:pPr>
    <w:rPr>
      <w:rFonts w:cs="Lucida Sans"/>
      <w:i/>
      <w:iCs/>
    </w:rPr>
  </w:style>
  <w:style w:type="paragraph" w:styleId="Caption111" w:customStyle="1">
    <w:name w:val="caption111"/>
    <w:basedOn w:val="Normal"/>
    <w:uiPriority w:val="99"/>
    <w:qFormat/>
    <w:pPr>
      <w:spacing w:before="120" w:after="120"/>
    </w:pPr>
    <w:rPr>
      <w:i/>
      <w:iCs/>
    </w:rPr>
  </w:style>
  <w:style w:type="paragraph" w:styleId="Heading1" w:customStyle="1">
    <w:name w:val="Heading1"/>
    <w:basedOn w:val="Normal"/>
    <w:next w:val="Tlotextu"/>
    <w:uiPriority w:val="99"/>
    <w:qFormat/>
    <w:pPr>
      <w:keepNext w:val="true"/>
      <w:spacing w:before="240" w:after="120"/>
    </w:pPr>
    <w:rPr>
      <w:rFonts w:ascii="Arial" w:hAnsi="Arial" w:eastAsia="Arial Unicode MS" w:cs="Arial"/>
      <w:sz w:val="28"/>
      <w:szCs w:val="28"/>
    </w:rPr>
  </w:style>
  <w:style w:type="paragraph" w:styleId="Index1" w:customStyle="1">
    <w:name w:val="Index1"/>
    <w:basedOn w:val="Normal"/>
    <w:uiPriority w:val="99"/>
    <w:qFormat/>
    <w:pPr/>
    <w:rPr/>
  </w:style>
  <w:style w:type="paragraph" w:styleId="WWHeading" w:customStyle="1">
    <w:name w:val="WW-Heading"/>
    <w:basedOn w:val="Normal"/>
    <w:next w:val="Tlotextu"/>
    <w:uiPriority w:val="99"/>
    <w:qFormat/>
    <w:pPr>
      <w:keepNext w:val="true"/>
      <w:spacing w:before="240" w:after="120"/>
    </w:pPr>
    <w:rPr>
      <w:rFonts w:ascii="Arial" w:hAnsi="Arial" w:eastAsia="Arial Unicode MS" w:cs="Arial"/>
      <w:sz w:val="28"/>
      <w:szCs w:val="28"/>
    </w:rPr>
  </w:style>
  <w:style w:type="paragraph" w:styleId="WWcaption" w:customStyle="1">
    <w:name w:val="WW-caption"/>
    <w:basedOn w:val="Normal"/>
    <w:uiPriority w:val="99"/>
    <w:qFormat/>
    <w:pPr>
      <w:spacing w:before="120" w:after="120"/>
    </w:pPr>
    <w:rPr>
      <w:i/>
      <w:iCs/>
    </w:rPr>
  </w:style>
  <w:style w:type="paragraph" w:styleId="WWIndex" w:customStyle="1">
    <w:name w:val="WW-Index"/>
    <w:basedOn w:val="Normal"/>
    <w:uiPriority w:val="99"/>
    <w:qFormat/>
    <w:pPr/>
    <w:rPr/>
  </w:style>
  <w:style w:type="paragraph" w:styleId="WWHeading1" w:customStyle="1">
    <w:name w:val="WW-Heading1"/>
    <w:basedOn w:val="Normal"/>
    <w:next w:val="Tlotextu"/>
    <w:uiPriority w:val="99"/>
    <w:qFormat/>
    <w:pPr>
      <w:keepNext w:val="true"/>
      <w:spacing w:before="240" w:after="120"/>
    </w:pPr>
    <w:rPr>
      <w:rFonts w:ascii="Arial" w:hAnsi="Arial" w:eastAsia="Arial Unicode MS" w:cs="Arial"/>
      <w:sz w:val="28"/>
      <w:szCs w:val="28"/>
    </w:rPr>
  </w:style>
  <w:style w:type="paragraph" w:styleId="WWcaption1" w:customStyle="1">
    <w:name w:val="WW-caption1"/>
    <w:basedOn w:val="Normal"/>
    <w:uiPriority w:val="99"/>
    <w:qFormat/>
    <w:pPr>
      <w:spacing w:before="120" w:after="120"/>
    </w:pPr>
    <w:rPr>
      <w:i/>
      <w:iCs/>
    </w:rPr>
  </w:style>
  <w:style w:type="paragraph" w:styleId="WWIndex1" w:customStyle="1">
    <w:name w:val="WW-Index1"/>
    <w:basedOn w:val="Normal"/>
    <w:uiPriority w:val="99"/>
    <w:qFormat/>
    <w:pPr/>
    <w:rPr/>
  </w:style>
  <w:style w:type="paragraph" w:styleId="NoSpacing">
    <w:name w:val="No Spacing"/>
    <w:uiPriority w:val="99"/>
    <w:qFormat/>
    <w:rsid w:val="00ab02c0"/>
    <w:pPr>
      <w:widowControl w:val="false"/>
      <w:suppressAutoHyphens w:val="true"/>
      <w:bidi w:val="0"/>
      <w:spacing w:before="0" w:after="0"/>
      <w:jc w:val="left"/>
    </w:pPr>
    <w:rPr>
      <w:rFonts w:ascii="Times New Roman" w:hAnsi="Times New Roman" w:eastAsia="Times New Roman" w:cs="Mangal"/>
      <w:color w:val="auto"/>
      <w:kern w:val="0"/>
      <w:sz w:val="24"/>
      <w:szCs w:val="21"/>
      <w:lang w:val="cs-CZ" w:eastAsia="cs-CZ" w:bidi="hi-IN"/>
    </w:rPr>
  </w:style>
  <w:style w:type="paragraph" w:styleId="Zhlavazpat">
    <w:name w:val="Záhlaví a zápatí"/>
    <w:basedOn w:val="Normal"/>
    <w:qFormat/>
    <w:pPr/>
    <w:rPr/>
  </w:style>
  <w:style w:type="paragraph" w:styleId="Zhlav">
    <w:name w:val="Header"/>
    <w:basedOn w:val="Normal"/>
    <w:link w:val="ZhlavChar"/>
    <w:uiPriority w:val="99"/>
    <w:unhideWhenUsed/>
    <w:rsid w:val="00745aa5"/>
    <w:pPr>
      <w:tabs>
        <w:tab w:val="clear" w:pos="708"/>
        <w:tab w:val="center" w:pos="4536" w:leader="none"/>
        <w:tab w:val="right" w:pos="9072" w:leader="none"/>
      </w:tabs>
    </w:pPr>
    <w:rPr>
      <w:rFonts w:cs="Mangal"/>
      <w:szCs w:val="21"/>
    </w:rPr>
  </w:style>
  <w:style w:type="paragraph" w:styleId="Zpat">
    <w:name w:val="Footer"/>
    <w:basedOn w:val="Normal"/>
    <w:link w:val="ZpatChar"/>
    <w:uiPriority w:val="99"/>
    <w:unhideWhenUsed/>
    <w:rsid w:val="00745aa5"/>
    <w:pPr>
      <w:tabs>
        <w:tab w:val="clear" w:pos="708"/>
        <w:tab w:val="center" w:pos="4536" w:leader="none"/>
        <w:tab w:val="right" w:pos="9072" w:leader="none"/>
      </w:tabs>
    </w:pPr>
    <w:rPr>
      <w:rFonts w:cs="Mangal"/>
      <w:szCs w:val="21"/>
    </w:rPr>
  </w:style>
  <w:style w:type="paragraph" w:styleId="ListParagraph">
    <w:name w:val="List Paragraph"/>
    <w:basedOn w:val="Normal"/>
    <w:uiPriority w:val="34"/>
    <w:qFormat/>
    <w:rsid w:val="003d039d"/>
    <w:pPr>
      <w:spacing w:before="0" w:after="0"/>
      <w:ind w:left="720" w:hanging="0"/>
      <w:contextualSpacing/>
    </w:pPr>
    <w:rPr>
      <w:rFonts w:cs="Mangal"/>
      <w:szCs w:val="21"/>
    </w:rPr>
  </w:style>
  <w:style w:type="paragraph" w:styleId="BalloonText">
    <w:name w:val="Balloon Text"/>
    <w:basedOn w:val="Normal"/>
    <w:link w:val="TextbublinyChar"/>
    <w:uiPriority w:val="99"/>
    <w:semiHidden/>
    <w:unhideWhenUsed/>
    <w:qFormat/>
    <w:rsid w:val="00d648ef"/>
    <w:pPr/>
    <w:rPr>
      <w:rFonts w:ascii="Tahoma" w:hAnsi="Tahoma" w:cs="Mangal"/>
      <w:sz w:val="16"/>
      <w:szCs w:val="14"/>
    </w:rPr>
  </w:style>
  <w:style w:type="paragraph" w:styleId="Default" w:customStyle="1">
    <w:name w:val="Default"/>
    <w:qFormat/>
    <w:rsid w:val="00ae3309"/>
    <w:pPr>
      <w:widowControl/>
      <w:suppressAutoHyphens w:val="true"/>
      <w:bidi w:val="0"/>
      <w:spacing w:before="0" w:after="0"/>
      <w:jc w:val="left"/>
    </w:pPr>
    <w:rPr>
      <w:rFonts w:ascii="Segoe UI" w:hAnsi="Segoe UI" w:eastAsia="Times New Roman" w:cs="Segoe UI"/>
      <w:color w:val="000000"/>
      <w:kern w:val="0"/>
      <w:sz w:val="24"/>
      <w:szCs w:val="24"/>
      <w:lang w:val="cs-CZ" w:eastAsia="cs-CZ" w:bidi="ar-SA"/>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ovakrad@plhb.cz" TargetMode="External"/><Relationship Id="rId3" Type="http://schemas.openxmlformats.org/officeDocument/2006/relationships/hyperlink" Target="mailto:maloobchod@masoceskydvur.cz" TargetMode="Externa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519</TotalTime>
  <Application>LibreOffice/7.2.0.4$Windows_X86_64 LibreOffice_project/9a9c6381e3f7a62afc1329bd359cc48accb6435b</Application>
  <AppVersion>15.0000</AppVersion>
  <Pages>6</Pages>
  <Words>1704</Words>
  <Characters>9789</Characters>
  <CharactersWithSpaces>12438</CharactersWithSpaces>
  <Paragraphs>113</Paragraphs>
  <Company>ATC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2025-04-22T08:25:00Z</dcterms:created>
  <dc:creator>Chvalkovská Eva Ing. (MPSV)</dc:creator>
  <dc:description/>
  <dc:language>cs-CZ</dc:language>
  <cp:lastModifiedBy/>
  <cp:lastPrinted>2025-06-12T08:40:31Z</cp:lastPrinted>
  <dcterms:modified xsi:type="dcterms:W3CDTF">2025-06-13T10:30:28Z</dcterms:modified>
  <cp:revision>56</cp:revision>
  <dc:subject/>
  <dc:title>KS 116/2025 - Vepřové maso a droby</dc:title>
</cp:coreProperties>
</file>

<file path=docProps/custom.xml><?xml version="1.0" encoding="utf-8"?>
<Properties xmlns="http://schemas.openxmlformats.org/officeDocument/2006/custom-properties" xmlns:vt="http://schemas.openxmlformats.org/officeDocument/2006/docPropsVTypes"/>
</file>