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A1E" w:rsidRDefault="00E14478">
      <w:pPr>
        <w:tabs>
          <w:tab w:val="right" w:pos="5350"/>
        </w:tabs>
        <w:spacing w:line="256" w:lineRule="auto"/>
        <w:ind w:left="3312"/>
        <w:rPr>
          <w:rFonts w:ascii="Arial" w:hAnsi="Arial"/>
          <w:b/>
          <w:color w:val="000000"/>
          <w:spacing w:val="-10"/>
          <w:sz w:val="18"/>
          <w:lang w:val="cs-CZ"/>
        </w:rPr>
      </w:pPr>
      <w:r>
        <w:rPr>
          <w:rFonts w:ascii="Arial" w:hAnsi="Arial"/>
          <w:b/>
          <w:color w:val="000000"/>
          <w:spacing w:val="-10"/>
          <w:sz w:val="18"/>
          <w:lang w:val="cs-CZ"/>
        </w:rPr>
        <w:t>VII.</w:t>
      </w:r>
      <w:r>
        <w:rPr>
          <w:rFonts w:ascii="Arial" w:hAnsi="Arial"/>
          <w:b/>
          <w:color w:val="000000"/>
          <w:spacing w:val="-10"/>
          <w:sz w:val="18"/>
          <w:lang w:val="cs-CZ"/>
        </w:rPr>
        <w:tab/>
      </w:r>
      <w:r>
        <w:rPr>
          <w:rFonts w:ascii="Arial" w:hAnsi="Arial"/>
          <w:b/>
          <w:color w:val="000000"/>
          <w:sz w:val="18"/>
          <w:lang w:val="cs-CZ"/>
        </w:rPr>
        <w:t>Smluvní pokuty</w:t>
      </w:r>
    </w:p>
    <w:p w:rsidR="003F0A1E" w:rsidRDefault="00E14478">
      <w:pPr>
        <w:numPr>
          <w:ilvl w:val="0"/>
          <w:numId w:val="1"/>
        </w:numPr>
        <w:tabs>
          <w:tab w:val="clear" w:pos="720"/>
          <w:tab w:val="decimal" w:pos="792"/>
        </w:tabs>
        <w:spacing w:before="180" w:line="324" w:lineRule="auto"/>
        <w:ind w:left="792" w:hanging="720"/>
        <w:jc w:val="both"/>
        <w:rPr>
          <w:rFonts w:ascii="Tahoma" w:hAnsi="Tahoma"/>
          <w:color w:val="000000"/>
          <w:spacing w:val="8"/>
          <w:sz w:val="17"/>
          <w:lang w:val="cs-CZ"/>
        </w:rPr>
      </w:pPr>
      <w:r>
        <w:rPr>
          <w:rFonts w:ascii="Tahoma" w:hAnsi="Tahoma"/>
          <w:color w:val="000000"/>
          <w:spacing w:val="8"/>
          <w:sz w:val="17"/>
          <w:lang w:val="cs-CZ"/>
        </w:rPr>
        <w:t xml:space="preserve">Objednatel je oprávněn požadovat po Zhotoviteli smluvní pokutu v případě prodlení s dodáním </w:t>
      </w:r>
      <w:r>
        <w:rPr>
          <w:rFonts w:ascii="Tahoma" w:hAnsi="Tahoma"/>
          <w:color w:val="000000"/>
          <w:spacing w:val="5"/>
          <w:sz w:val="17"/>
          <w:lang w:val="cs-CZ"/>
        </w:rPr>
        <w:t xml:space="preserve">Díla ve sjednané lhůtě dle článku IV. Této Smlouvy. Smluvní pokuta je stanovena ve výši 0,1 % z </w:t>
      </w:r>
      <w:r>
        <w:rPr>
          <w:rFonts w:ascii="Tahoma" w:hAnsi="Tahoma"/>
          <w:color w:val="000000"/>
          <w:spacing w:val="7"/>
          <w:sz w:val="17"/>
          <w:lang w:val="cs-CZ"/>
        </w:rPr>
        <w:t xml:space="preserve">kupní ceny Díla za každý započatý týden prodlení, max. 5 % z kupní ceny Díla za celou dobu </w:t>
      </w:r>
      <w:r>
        <w:rPr>
          <w:rFonts w:ascii="Tahoma" w:hAnsi="Tahoma"/>
          <w:color w:val="000000"/>
          <w:spacing w:val="10"/>
          <w:sz w:val="17"/>
          <w:lang w:val="cs-CZ"/>
        </w:rPr>
        <w:t>prodlení.</w:t>
      </w:r>
    </w:p>
    <w:p w:rsidR="003F0A1E" w:rsidRDefault="00E14478">
      <w:pPr>
        <w:numPr>
          <w:ilvl w:val="0"/>
          <w:numId w:val="1"/>
        </w:numPr>
        <w:tabs>
          <w:tab w:val="clear" w:pos="720"/>
          <w:tab w:val="decimal" w:pos="792"/>
        </w:tabs>
        <w:spacing w:before="144" w:line="328" w:lineRule="auto"/>
        <w:ind w:left="792" w:hanging="720"/>
        <w:rPr>
          <w:rFonts w:ascii="Tahoma" w:hAnsi="Tahoma"/>
          <w:color w:val="000000"/>
          <w:spacing w:val="9"/>
          <w:sz w:val="17"/>
          <w:lang w:val="cs-CZ"/>
        </w:rPr>
      </w:pPr>
      <w:r>
        <w:rPr>
          <w:rFonts w:ascii="Tahoma" w:hAnsi="Tahoma"/>
          <w:color w:val="000000"/>
          <w:spacing w:val="9"/>
          <w:sz w:val="17"/>
          <w:lang w:val="cs-CZ"/>
        </w:rPr>
        <w:t>Zhotovitel je oprávněn po Objednateli požadovat zaplacení smluvní pokuty ve výši 0,1 % za každý započatý týden prodlení platby.</w:t>
      </w:r>
    </w:p>
    <w:p w:rsidR="003F0A1E" w:rsidRDefault="00E14478">
      <w:pPr>
        <w:tabs>
          <w:tab w:val="right" w:pos="5382"/>
        </w:tabs>
        <w:spacing w:before="576" w:line="264" w:lineRule="auto"/>
        <w:ind w:left="3240"/>
        <w:rPr>
          <w:rFonts w:ascii="Arial" w:hAnsi="Arial"/>
          <w:b/>
          <w:color w:val="000000"/>
          <w:spacing w:val="-12"/>
          <w:sz w:val="18"/>
          <w:lang w:val="cs-CZ"/>
        </w:rPr>
      </w:pPr>
      <w:r>
        <w:rPr>
          <w:rFonts w:ascii="Arial" w:hAnsi="Arial"/>
          <w:b/>
          <w:color w:val="000000"/>
          <w:spacing w:val="-12"/>
          <w:sz w:val="18"/>
          <w:lang w:val="cs-CZ"/>
        </w:rPr>
        <w:t>VIII.</w:t>
      </w:r>
      <w:r>
        <w:rPr>
          <w:rFonts w:ascii="Arial" w:hAnsi="Arial"/>
          <w:b/>
          <w:color w:val="000000"/>
          <w:spacing w:val="-12"/>
          <w:sz w:val="18"/>
          <w:lang w:val="cs-CZ"/>
        </w:rPr>
        <w:tab/>
      </w:r>
      <w:r>
        <w:rPr>
          <w:rFonts w:ascii="Arial" w:hAnsi="Arial"/>
          <w:b/>
          <w:color w:val="000000"/>
          <w:sz w:val="18"/>
          <w:lang w:val="cs-CZ"/>
        </w:rPr>
        <w:t>Ostatní ujednání</w:t>
      </w:r>
    </w:p>
    <w:p w:rsidR="003F0A1E" w:rsidRDefault="00E14478">
      <w:pPr>
        <w:numPr>
          <w:ilvl w:val="0"/>
          <w:numId w:val="2"/>
        </w:numPr>
        <w:tabs>
          <w:tab w:val="clear" w:pos="648"/>
          <w:tab w:val="decimal" w:pos="720"/>
        </w:tabs>
        <w:spacing w:before="216" w:line="328" w:lineRule="auto"/>
        <w:ind w:hanging="648"/>
        <w:rPr>
          <w:rFonts w:ascii="Tahoma" w:hAnsi="Tahoma"/>
          <w:color w:val="000000"/>
          <w:spacing w:val="8"/>
          <w:sz w:val="17"/>
          <w:lang w:val="cs-CZ"/>
        </w:rPr>
      </w:pPr>
      <w:r>
        <w:rPr>
          <w:rFonts w:ascii="Tahoma" w:hAnsi="Tahoma"/>
          <w:color w:val="000000"/>
          <w:spacing w:val="8"/>
          <w:sz w:val="17"/>
          <w:lang w:val="cs-CZ"/>
        </w:rPr>
        <w:t>P</w:t>
      </w:r>
      <w:r>
        <w:rPr>
          <w:rFonts w:ascii="Tahoma" w:hAnsi="Tahoma"/>
          <w:color w:val="000000"/>
          <w:spacing w:val="8"/>
          <w:sz w:val="17"/>
          <w:lang w:val="cs-CZ"/>
        </w:rPr>
        <w:t xml:space="preserve">ředání a převzetí Díla se realizuje v sídle Objednatele v prostorách tomu určených. Riziko ztráty </w:t>
      </w:r>
      <w:r>
        <w:rPr>
          <w:rFonts w:ascii="Tahoma" w:hAnsi="Tahoma"/>
          <w:color w:val="000000"/>
          <w:spacing w:val="9"/>
          <w:sz w:val="17"/>
          <w:lang w:val="cs-CZ"/>
        </w:rPr>
        <w:t>a nebezpečí škody na dodané movité věci přechází na Objednatele předáním a převzetím Díla.</w:t>
      </w:r>
    </w:p>
    <w:p w:rsidR="003F0A1E" w:rsidRDefault="00E14478">
      <w:pPr>
        <w:numPr>
          <w:ilvl w:val="0"/>
          <w:numId w:val="2"/>
        </w:numPr>
        <w:tabs>
          <w:tab w:val="clear" w:pos="648"/>
          <w:tab w:val="decimal" w:pos="720"/>
        </w:tabs>
        <w:spacing w:before="144" w:line="324" w:lineRule="auto"/>
        <w:ind w:hanging="648"/>
        <w:jc w:val="both"/>
        <w:rPr>
          <w:rFonts w:ascii="Tahoma" w:hAnsi="Tahoma"/>
          <w:color w:val="000000"/>
          <w:spacing w:val="13"/>
          <w:sz w:val="17"/>
          <w:lang w:val="cs-CZ"/>
        </w:rPr>
      </w:pPr>
      <w:r>
        <w:rPr>
          <w:rFonts w:ascii="Tahoma" w:hAnsi="Tahoma"/>
          <w:color w:val="000000"/>
          <w:spacing w:val="13"/>
          <w:sz w:val="17"/>
          <w:lang w:val="cs-CZ"/>
        </w:rPr>
        <w:t>Dodávka je považována za spl</w:t>
      </w:r>
      <w:r>
        <w:rPr>
          <w:rFonts w:ascii="Tahoma" w:hAnsi="Tahoma"/>
          <w:color w:val="000000"/>
          <w:spacing w:val="13"/>
          <w:sz w:val="17"/>
          <w:lang w:val="cs-CZ"/>
        </w:rPr>
        <w:t xml:space="preserve">něnou po kompletaci zařízení ze strany </w:t>
      </w:r>
      <w:r>
        <w:rPr>
          <w:rFonts w:ascii="Tahoma" w:hAnsi="Tahoma"/>
          <w:color w:val="000000"/>
          <w:spacing w:val="13"/>
          <w:sz w:val="17"/>
          <w:lang w:val="cs-CZ"/>
        </w:rPr>
        <w:t xml:space="preserve">Objednatele, po </w:t>
      </w:r>
      <w:r>
        <w:rPr>
          <w:rFonts w:ascii="Tahoma" w:hAnsi="Tahoma"/>
          <w:color w:val="000000"/>
          <w:spacing w:val="9"/>
          <w:sz w:val="17"/>
          <w:lang w:val="cs-CZ"/>
        </w:rPr>
        <w:t xml:space="preserve">úspěšném oživení a zprovoznění Díla v místě dodání za předpokladu, že Objednatel k tomu poskytne Zhotoviteli nezbytnou a náležitou součinnost, nejpozději však 30 dní od předání a </w:t>
      </w:r>
      <w:r>
        <w:rPr>
          <w:rFonts w:ascii="Tahoma" w:hAnsi="Tahoma"/>
          <w:color w:val="000000"/>
          <w:spacing w:val="10"/>
          <w:sz w:val="17"/>
          <w:lang w:val="cs-CZ"/>
        </w:rPr>
        <w:t>převzetí Díla. Spl</w:t>
      </w:r>
      <w:r>
        <w:rPr>
          <w:rFonts w:ascii="Tahoma" w:hAnsi="Tahoma"/>
          <w:color w:val="000000"/>
          <w:spacing w:val="10"/>
          <w:sz w:val="17"/>
          <w:lang w:val="cs-CZ"/>
        </w:rPr>
        <w:t>nění dodávky bude potvrzeno podepsáním akce</w:t>
      </w:r>
      <w:r>
        <w:rPr>
          <w:rFonts w:ascii="Tahoma" w:hAnsi="Tahoma"/>
          <w:color w:val="000000"/>
          <w:spacing w:val="10"/>
          <w:sz w:val="17"/>
          <w:lang w:val="cs-CZ"/>
        </w:rPr>
        <w:t>ptačního protokolu.</w:t>
      </w:r>
    </w:p>
    <w:p w:rsidR="003F0A1E" w:rsidRDefault="00E14478">
      <w:pPr>
        <w:numPr>
          <w:ilvl w:val="0"/>
          <w:numId w:val="2"/>
        </w:numPr>
        <w:tabs>
          <w:tab w:val="clear" w:pos="648"/>
          <w:tab w:val="decimal" w:pos="720"/>
        </w:tabs>
        <w:spacing w:before="180" w:line="328" w:lineRule="auto"/>
        <w:ind w:hanging="648"/>
        <w:rPr>
          <w:rFonts w:ascii="Tahoma" w:hAnsi="Tahoma"/>
          <w:color w:val="000000"/>
          <w:spacing w:val="14"/>
          <w:sz w:val="17"/>
          <w:lang w:val="cs-CZ"/>
        </w:rPr>
      </w:pPr>
      <w:r>
        <w:rPr>
          <w:rFonts w:ascii="Tahoma" w:hAnsi="Tahoma"/>
          <w:color w:val="000000"/>
          <w:spacing w:val="14"/>
          <w:sz w:val="17"/>
          <w:lang w:val="cs-CZ"/>
        </w:rPr>
        <w:t>Objednatel nabývá vlastnické právo k Dílu po spl</w:t>
      </w:r>
      <w:r>
        <w:rPr>
          <w:rFonts w:ascii="Tahoma" w:hAnsi="Tahoma"/>
          <w:color w:val="000000"/>
          <w:spacing w:val="14"/>
          <w:sz w:val="17"/>
          <w:lang w:val="cs-CZ"/>
        </w:rPr>
        <w:t xml:space="preserve">nění dodávky stvrzeném podepsáním </w:t>
      </w:r>
      <w:r>
        <w:rPr>
          <w:rFonts w:ascii="Tahoma" w:hAnsi="Tahoma"/>
          <w:color w:val="000000"/>
          <w:spacing w:val="10"/>
          <w:sz w:val="17"/>
          <w:lang w:val="cs-CZ"/>
        </w:rPr>
        <w:t>akceptačního protokolu.</w:t>
      </w:r>
    </w:p>
    <w:p w:rsidR="003F0A1E" w:rsidRDefault="00E14478">
      <w:pPr>
        <w:numPr>
          <w:ilvl w:val="0"/>
          <w:numId w:val="2"/>
        </w:numPr>
        <w:tabs>
          <w:tab w:val="clear" w:pos="648"/>
          <w:tab w:val="decimal" w:pos="720"/>
          <w:tab w:val="left" w:pos="714"/>
        </w:tabs>
        <w:spacing w:before="144" w:line="328" w:lineRule="auto"/>
        <w:ind w:hanging="648"/>
        <w:rPr>
          <w:rFonts w:ascii="Tahoma" w:hAnsi="Tahoma"/>
          <w:color w:val="000000"/>
          <w:spacing w:val="11"/>
          <w:sz w:val="17"/>
          <w:lang w:val="cs-CZ"/>
        </w:rPr>
      </w:pPr>
      <w:r>
        <w:rPr>
          <w:rFonts w:ascii="Tahoma" w:hAnsi="Tahoma"/>
          <w:color w:val="000000"/>
          <w:spacing w:val="11"/>
          <w:sz w:val="17"/>
          <w:lang w:val="cs-CZ"/>
        </w:rPr>
        <w:t>Pokud Objednatel vystaví Prohlášení o shod</w:t>
      </w:r>
      <w:r>
        <w:rPr>
          <w:rFonts w:ascii="Tahoma" w:hAnsi="Tahoma"/>
          <w:color w:val="000000"/>
          <w:spacing w:val="11"/>
          <w:sz w:val="17"/>
          <w:lang w:val="cs-CZ"/>
        </w:rPr>
        <w:t xml:space="preserve">ě na některé zařízení bez ohledu na dokumentaci </w:t>
      </w:r>
      <w:r>
        <w:rPr>
          <w:rFonts w:ascii="Tahoma" w:hAnsi="Tahoma"/>
          <w:color w:val="000000"/>
          <w:spacing w:val="11"/>
          <w:sz w:val="17"/>
          <w:lang w:val="cs-CZ"/>
        </w:rPr>
        <w:br/>
      </w:r>
      <w:r>
        <w:rPr>
          <w:rFonts w:ascii="Tahoma" w:hAnsi="Tahoma"/>
          <w:color w:val="000000"/>
          <w:spacing w:val="10"/>
          <w:sz w:val="17"/>
          <w:lang w:val="cs-CZ"/>
        </w:rPr>
        <w:t>Zhotovitele, nenese Zhotovitel za případné následky žádnou odpovědnost.</w:t>
      </w:r>
    </w:p>
    <w:p w:rsidR="003F0A1E" w:rsidRDefault="00E14478">
      <w:pPr>
        <w:numPr>
          <w:ilvl w:val="0"/>
          <w:numId w:val="2"/>
        </w:numPr>
        <w:tabs>
          <w:tab w:val="clear" w:pos="648"/>
          <w:tab w:val="decimal" w:pos="720"/>
          <w:tab w:val="left" w:pos="714"/>
        </w:tabs>
        <w:spacing w:before="144" w:line="328" w:lineRule="auto"/>
        <w:ind w:hanging="648"/>
        <w:rPr>
          <w:rFonts w:ascii="Tahoma" w:hAnsi="Tahoma"/>
          <w:color w:val="000000"/>
          <w:spacing w:val="16"/>
          <w:sz w:val="17"/>
          <w:lang w:val="cs-CZ"/>
        </w:rPr>
      </w:pPr>
      <w:r>
        <w:rPr>
          <w:rFonts w:ascii="Tahoma" w:hAnsi="Tahoma"/>
          <w:color w:val="000000"/>
          <w:spacing w:val="16"/>
          <w:sz w:val="17"/>
          <w:lang w:val="cs-CZ"/>
        </w:rPr>
        <w:t>Modely a výkresy poskytnuté Objednatelem nesm</w:t>
      </w:r>
      <w:r>
        <w:rPr>
          <w:rFonts w:ascii="Tahoma" w:hAnsi="Tahoma"/>
          <w:color w:val="000000"/>
          <w:spacing w:val="16"/>
          <w:sz w:val="17"/>
          <w:lang w:val="cs-CZ"/>
        </w:rPr>
        <w:t xml:space="preserve">ějí být Zhotovitelem kopírovány, dále </w:t>
      </w:r>
      <w:r>
        <w:rPr>
          <w:rFonts w:ascii="Tahoma" w:hAnsi="Tahoma"/>
          <w:color w:val="000000"/>
          <w:spacing w:val="16"/>
          <w:sz w:val="17"/>
          <w:lang w:val="cs-CZ"/>
        </w:rPr>
        <w:br/>
      </w:r>
      <w:r>
        <w:rPr>
          <w:rFonts w:ascii="Tahoma" w:hAnsi="Tahoma"/>
          <w:color w:val="000000"/>
          <w:spacing w:val="11"/>
          <w:sz w:val="17"/>
          <w:lang w:val="cs-CZ"/>
        </w:rPr>
        <w:t xml:space="preserve">nesmějí být postoupeny další osobě, ani použity k jakýmkoliv jiným účelům než k výrobě </w:t>
      </w:r>
      <w:r>
        <w:rPr>
          <w:rFonts w:ascii="Tahoma" w:hAnsi="Tahoma"/>
          <w:color w:val="000000"/>
          <w:spacing w:val="12"/>
          <w:sz w:val="17"/>
          <w:lang w:val="cs-CZ"/>
        </w:rPr>
        <w:t>movitých věc</w:t>
      </w:r>
      <w:r>
        <w:rPr>
          <w:rFonts w:ascii="Tahoma" w:hAnsi="Tahoma"/>
          <w:color w:val="000000"/>
          <w:spacing w:val="12"/>
          <w:sz w:val="17"/>
          <w:lang w:val="cs-CZ"/>
        </w:rPr>
        <w:t xml:space="preserve">í pro Objednatele. Tyto výkresy a modely je Zhotovitel povinen na žádost </w:t>
      </w:r>
      <w:r>
        <w:rPr>
          <w:rFonts w:ascii="Tahoma" w:hAnsi="Tahoma"/>
          <w:color w:val="000000"/>
          <w:spacing w:val="10"/>
          <w:sz w:val="17"/>
          <w:lang w:val="cs-CZ"/>
        </w:rPr>
        <w:t>Objednatele vrátit.</w:t>
      </w:r>
    </w:p>
    <w:p w:rsidR="003F0A1E" w:rsidRDefault="00E14478">
      <w:pPr>
        <w:numPr>
          <w:ilvl w:val="0"/>
          <w:numId w:val="2"/>
        </w:numPr>
        <w:tabs>
          <w:tab w:val="clear" w:pos="648"/>
          <w:tab w:val="decimal" w:pos="720"/>
          <w:tab w:val="left" w:pos="714"/>
        </w:tabs>
        <w:spacing w:before="144" w:line="326" w:lineRule="auto"/>
        <w:ind w:hanging="648"/>
        <w:rPr>
          <w:rFonts w:ascii="Tahoma" w:hAnsi="Tahoma"/>
          <w:color w:val="000000"/>
          <w:spacing w:val="11"/>
          <w:sz w:val="17"/>
          <w:lang w:val="cs-CZ"/>
        </w:rPr>
      </w:pPr>
      <w:r>
        <w:rPr>
          <w:rFonts w:ascii="Tahoma" w:hAnsi="Tahoma"/>
          <w:color w:val="000000"/>
          <w:spacing w:val="11"/>
          <w:sz w:val="17"/>
          <w:lang w:val="cs-CZ"/>
        </w:rPr>
        <w:t>Movité v</w:t>
      </w:r>
      <w:r>
        <w:rPr>
          <w:rFonts w:ascii="Tahoma" w:hAnsi="Tahoma"/>
          <w:color w:val="000000"/>
          <w:spacing w:val="11"/>
          <w:sz w:val="17"/>
          <w:lang w:val="cs-CZ"/>
        </w:rPr>
        <w:t xml:space="preserve">ěci vyrobené Zhotovitelem dle výkresů a modelů postoupených Objednatelem můžou </w:t>
      </w:r>
      <w:r>
        <w:rPr>
          <w:rFonts w:ascii="Tahoma" w:hAnsi="Tahoma"/>
          <w:color w:val="000000"/>
          <w:spacing w:val="11"/>
          <w:sz w:val="17"/>
          <w:lang w:val="cs-CZ"/>
        </w:rPr>
        <w:br/>
      </w:r>
      <w:r>
        <w:rPr>
          <w:rFonts w:ascii="Tahoma" w:hAnsi="Tahoma"/>
          <w:color w:val="000000"/>
          <w:spacing w:val="10"/>
          <w:sz w:val="17"/>
          <w:lang w:val="cs-CZ"/>
        </w:rPr>
        <w:t>být prodány pouze Objednateli nebo třetí osobě určené Objednatelem.</w:t>
      </w:r>
    </w:p>
    <w:p w:rsidR="003F0A1E" w:rsidRDefault="00E14478">
      <w:pPr>
        <w:numPr>
          <w:ilvl w:val="0"/>
          <w:numId w:val="2"/>
        </w:numPr>
        <w:tabs>
          <w:tab w:val="clear" w:pos="648"/>
          <w:tab w:val="decimal" w:pos="720"/>
          <w:tab w:val="left" w:pos="714"/>
        </w:tabs>
        <w:spacing w:before="144" w:line="326" w:lineRule="auto"/>
        <w:ind w:hanging="648"/>
        <w:rPr>
          <w:rFonts w:ascii="Tahoma" w:hAnsi="Tahoma"/>
          <w:color w:val="000000"/>
          <w:spacing w:val="8"/>
          <w:sz w:val="17"/>
          <w:lang w:val="cs-CZ"/>
        </w:rPr>
      </w:pPr>
      <w:r>
        <w:rPr>
          <w:rFonts w:ascii="Tahoma" w:hAnsi="Tahoma"/>
          <w:color w:val="000000"/>
          <w:spacing w:val="8"/>
          <w:sz w:val="17"/>
          <w:lang w:val="cs-CZ"/>
        </w:rPr>
        <w:t>Zhotovitel se zavazuje zni</w:t>
      </w:r>
      <w:r>
        <w:rPr>
          <w:rFonts w:ascii="Tahoma" w:hAnsi="Tahoma"/>
          <w:color w:val="000000"/>
          <w:spacing w:val="8"/>
          <w:sz w:val="17"/>
          <w:lang w:val="cs-CZ"/>
        </w:rPr>
        <w:t xml:space="preserve">čit vrácené movité věci, které </w:t>
      </w:r>
      <w:proofErr w:type="gramStart"/>
      <w:r>
        <w:rPr>
          <w:rFonts w:ascii="Tahoma" w:hAnsi="Tahoma"/>
          <w:color w:val="000000"/>
          <w:spacing w:val="8"/>
          <w:sz w:val="17"/>
          <w:lang w:val="cs-CZ"/>
        </w:rPr>
        <w:t>bylo</w:t>
      </w:r>
      <w:proofErr w:type="gramEnd"/>
      <w:r>
        <w:rPr>
          <w:rFonts w:ascii="Tahoma" w:hAnsi="Tahoma"/>
          <w:color w:val="000000"/>
          <w:spacing w:val="8"/>
          <w:sz w:val="17"/>
          <w:lang w:val="cs-CZ"/>
        </w:rPr>
        <w:t xml:space="preserve"> </w:t>
      </w:r>
      <w:proofErr w:type="gramStart"/>
      <w:r>
        <w:rPr>
          <w:rFonts w:ascii="Tahoma" w:hAnsi="Tahoma"/>
          <w:color w:val="000000"/>
          <w:spacing w:val="8"/>
          <w:sz w:val="17"/>
          <w:lang w:val="cs-CZ"/>
        </w:rPr>
        <w:t>odmítnuty</w:t>
      </w:r>
      <w:proofErr w:type="gramEnd"/>
      <w:r>
        <w:rPr>
          <w:rFonts w:ascii="Tahoma" w:hAnsi="Tahoma"/>
          <w:color w:val="000000"/>
          <w:spacing w:val="8"/>
          <w:sz w:val="17"/>
          <w:lang w:val="cs-CZ"/>
        </w:rPr>
        <w:t xml:space="preserve"> při prověrce kvality, bez </w:t>
      </w:r>
      <w:r>
        <w:rPr>
          <w:rFonts w:ascii="Tahoma" w:hAnsi="Tahoma"/>
          <w:color w:val="000000"/>
          <w:spacing w:val="8"/>
          <w:sz w:val="17"/>
          <w:lang w:val="cs-CZ"/>
        </w:rPr>
        <w:br/>
      </w:r>
      <w:r>
        <w:rPr>
          <w:rFonts w:ascii="Tahoma" w:hAnsi="Tahoma"/>
          <w:color w:val="000000"/>
          <w:spacing w:val="11"/>
          <w:sz w:val="17"/>
          <w:lang w:val="cs-CZ"/>
        </w:rPr>
        <w:t>možnosti opravy a opětovného dodání Objednateli nebo třetím osobám.</w:t>
      </w:r>
    </w:p>
    <w:p w:rsidR="003F0A1E" w:rsidRDefault="00E14478">
      <w:pPr>
        <w:numPr>
          <w:ilvl w:val="0"/>
          <w:numId w:val="2"/>
        </w:numPr>
        <w:tabs>
          <w:tab w:val="clear" w:pos="648"/>
          <w:tab w:val="decimal" w:pos="720"/>
          <w:tab w:val="left" w:pos="714"/>
        </w:tabs>
        <w:spacing w:before="180" w:line="326" w:lineRule="auto"/>
        <w:ind w:hanging="648"/>
        <w:rPr>
          <w:rFonts w:ascii="Tahoma" w:hAnsi="Tahoma"/>
          <w:color w:val="000000"/>
          <w:spacing w:val="11"/>
          <w:sz w:val="17"/>
          <w:lang w:val="cs-CZ"/>
        </w:rPr>
      </w:pPr>
      <w:r>
        <w:rPr>
          <w:rFonts w:ascii="Tahoma" w:hAnsi="Tahoma"/>
          <w:color w:val="000000"/>
          <w:spacing w:val="11"/>
          <w:sz w:val="17"/>
          <w:lang w:val="cs-CZ"/>
        </w:rPr>
        <w:t xml:space="preserve">Dle § 2e zákona </w:t>
      </w:r>
      <w:bookmarkStart w:id="0" w:name="_GoBack"/>
      <w:bookmarkEnd w:id="0"/>
      <w:r>
        <w:rPr>
          <w:rFonts w:ascii="Tahoma" w:hAnsi="Tahoma"/>
          <w:color w:val="000000"/>
          <w:spacing w:val="11"/>
          <w:sz w:val="17"/>
          <w:lang w:val="cs-CZ"/>
        </w:rPr>
        <w:t>č. 320/2001 Sb., o finanční kontrole ve veřejné správě je vybraný dodav</w:t>
      </w:r>
      <w:r>
        <w:rPr>
          <w:rFonts w:ascii="Tahoma" w:hAnsi="Tahoma"/>
          <w:color w:val="000000"/>
          <w:spacing w:val="11"/>
          <w:sz w:val="17"/>
          <w:lang w:val="cs-CZ"/>
        </w:rPr>
        <w:t xml:space="preserve">atel </w:t>
      </w:r>
      <w:r>
        <w:rPr>
          <w:rFonts w:ascii="Tahoma" w:hAnsi="Tahoma"/>
          <w:color w:val="000000"/>
          <w:spacing w:val="11"/>
          <w:sz w:val="17"/>
          <w:lang w:val="cs-CZ"/>
        </w:rPr>
        <w:br/>
      </w:r>
      <w:r>
        <w:rPr>
          <w:rFonts w:ascii="Tahoma" w:hAnsi="Tahoma"/>
          <w:color w:val="000000"/>
          <w:spacing w:val="10"/>
          <w:sz w:val="17"/>
          <w:lang w:val="cs-CZ"/>
        </w:rPr>
        <w:t>osobou povinnou spolupůsobit při výkonu finanční kontroly.</w:t>
      </w:r>
    </w:p>
    <w:p w:rsidR="003F0A1E" w:rsidRDefault="00E14478">
      <w:pPr>
        <w:tabs>
          <w:tab w:val="right" w:pos="5478"/>
        </w:tabs>
        <w:spacing w:before="576" w:line="259" w:lineRule="auto"/>
        <w:ind w:left="3096"/>
        <w:rPr>
          <w:rFonts w:ascii="Arial" w:hAnsi="Arial"/>
          <w:b/>
          <w:color w:val="000000"/>
          <w:spacing w:val="-24"/>
          <w:sz w:val="18"/>
          <w:lang w:val="cs-CZ"/>
        </w:rPr>
      </w:pPr>
      <w:r>
        <w:rPr>
          <w:rFonts w:ascii="Arial" w:hAnsi="Arial"/>
          <w:b/>
          <w:color w:val="000000"/>
          <w:spacing w:val="-24"/>
          <w:sz w:val="18"/>
          <w:lang w:val="cs-CZ"/>
        </w:rPr>
        <w:t>IX.</w:t>
      </w:r>
      <w:r>
        <w:rPr>
          <w:rFonts w:ascii="Arial" w:hAnsi="Arial"/>
          <w:b/>
          <w:color w:val="000000"/>
          <w:spacing w:val="-24"/>
          <w:sz w:val="18"/>
          <w:lang w:val="cs-CZ"/>
        </w:rPr>
        <w:tab/>
      </w:r>
      <w:r>
        <w:rPr>
          <w:rFonts w:ascii="Arial" w:hAnsi="Arial"/>
          <w:b/>
          <w:color w:val="000000"/>
          <w:sz w:val="18"/>
          <w:lang w:val="cs-CZ"/>
        </w:rPr>
        <w:t>Závěrečná ujednání</w:t>
      </w:r>
    </w:p>
    <w:p w:rsidR="003F0A1E" w:rsidRDefault="00E14478">
      <w:pPr>
        <w:numPr>
          <w:ilvl w:val="0"/>
          <w:numId w:val="3"/>
        </w:numPr>
        <w:tabs>
          <w:tab w:val="clear" w:pos="648"/>
          <w:tab w:val="decimal" w:pos="720"/>
          <w:tab w:val="left" w:pos="714"/>
        </w:tabs>
        <w:spacing w:before="216" w:line="331" w:lineRule="auto"/>
        <w:ind w:hanging="648"/>
        <w:rPr>
          <w:rFonts w:ascii="Tahoma" w:hAnsi="Tahoma"/>
          <w:color w:val="000000"/>
          <w:spacing w:val="14"/>
          <w:sz w:val="17"/>
          <w:lang w:val="cs-CZ"/>
        </w:rPr>
      </w:pPr>
      <w:r>
        <w:rPr>
          <w:rFonts w:ascii="Tahoma" w:hAnsi="Tahoma"/>
          <w:color w:val="000000"/>
          <w:spacing w:val="14"/>
          <w:sz w:val="17"/>
          <w:lang w:val="cs-CZ"/>
        </w:rPr>
        <w:t>Tuto Smlouvu lze zm</w:t>
      </w:r>
      <w:r>
        <w:rPr>
          <w:rFonts w:ascii="Tahoma" w:hAnsi="Tahoma"/>
          <w:color w:val="000000"/>
          <w:spacing w:val="14"/>
          <w:sz w:val="17"/>
          <w:lang w:val="cs-CZ"/>
        </w:rPr>
        <w:t xml:space="preserve">ěnit nebo zrušit pouze písemným smluvním ujednáním, podepsaným </w:t>
      </w:r>
      <w:r>
        <w:rPr>
          <w:rFonts w:ascii="Tahoma" w:hAnsi="Tahoma"/>
          <w:color w:val="000000"/>
          <w:spacing w:val="14"/>
          <w:sz w:val="17"/>
          <w:lang w:val="cs-CZ"/>
        </w:rPr>
        <w:br/>
      </w:r>
      <w:r>
        <w:rPr>
          <w:rFonts w:ascii="Tahoma" w:hAnsi="Tahoma"/>
          <w:color w:val="000000"/>
          <w:spacing w:val="10"/>
          <w:sz w:val="17"/>
          <w:lang w:val="cs-CZ"/>
        </w:rPr>
        <w:t>oprávněnými zástupci obou Smluvních stran.</w:t>
      </w:r>
    </w:p>
    <w:p w:rsidR="003F0A1E" w:rsidRDefault="00E14478">
      <w:pPr>
        <w:numPr>
          <w:ilvl w:val="0"/>
          <w:numId w:val="3"/>
        </w:numPr>
        <w:tabs>
          <w:tab w:val="clear" w:pos="648"/>
          <w:tab w:val="decimal" w:pos="720"/>
          <w:tab w:val="left" w:pos="714"/>
        </w:tabs>
        <w:spacing w:before="144" w:line="328" w:lineRule="auto"/>
        <w:ind w:hanging="648"/>
        <w:rPr>
          <w:rFonts w:ascii="Tahoma" w:hAnsi="Tahoma"/>
          <w:color w:val="000000"/>
          <w:spacing w:val="8"/>
          <w:sz w:val="17"/>
          <w:lang w:val="cs-CZ"/>
        </w:rPr>
      </w:pPr>
      <w:r>
        <w:rPr>
          <w:rFonts w:ascii="Tahoma" w:hAnsi="Tahoma"/>
          <w:color w:val="000000"/>
          <w:spacing w:val="8"/>
          <w:sz w:val="17"/>
          <w:lang w:val="cs-CZ"/>
        </w:rPr>
        <w:t>Tato Smlouva je vyhotovena ve dvou stejnopisech, z nichž každý z ú</w:t>
      </w:r>
      <w:r>
        <w:rPr>
          <w:rFonts w:ascii="Tahoma" w:hAnsi="Tahoma"/>
          <w:color w:val="000000"/>
          <w:spacing w:val="8"/>
          <w:sz w:val="17"/>
          <w:lang w:val="cs-CZ"/>
        </w:rPr>
        <w:t xml:space="preserve">častníků obdrží jeden výtisk </w:t>
      </w:r>
      <w:r>
        <w:rPr>
          <w:rFonts w:ascii="Tahoma" w:hAnsi="Tahoma"/>
          <w:color w:val="000000"/>
          <w:spacing w:val="8"/>
          <w:sz w:val="17"/>
          <w:lang w:val="cs-CZ"/>
        </w:rPr>
        <w:br/>
      </w:r>
      <w:r>
        <w:rPr>
          <w:rFonts w:ascii="Tahoma" w:hAnsi="Tahoma"/>
          <w:color w:val="000000"/>
          <w:spacing w:val="10"/>
          <w:sz w:val="17"/>
          <w:lang w:val="cs-CZ"/>
        </w:rPr>
        <w:t>této Smlouvy.</w:t>
      </w:r>
    </w:p>
    <w:p w:rsidR="003F0A1E" w:rsidRDefault="00E14478">
      <w:pPr>
        <w:numPr>
          <w:ilvl w:val="0"/>
          <w:numId w:val="3"/>
        </w:numPr>
        <w:tabs>
          <w:tab w:val="clear" w:pos="648"/>
          <w:tab w:val="decimal" w:pos="720"/>
          <w:tab w:val="left" w:pos="714"/>
        </w:tabs>
        <w:spacing w:before="144" w:line="261" w:lineRule="auto"/>
        <w:ind w:hanging="648"/>
        <w:rPr>
          <w:rFonts w:ascii="Tahoma" w:hAnsi="Tahoma"/>
          <w:color w:val="000000"/>
          <w:spacing w:val="20"/>
          <w:sz w:val="17"/>
          <w:lang w:val="cs-CZ"/>
        </w:rPr>
      </w:pPr>
      <w:r>
        <w:rPr>
          <w:rFonts w:ascii="Tahoma" w:hAnsi="Tahoma"/>
          <w:color w:val="000000"/>
          <w:spacing w:val="20"/>
          <w:sz w:val="17"/>
          <w:lang w:val="cs-CZ"/>
        </w:rPr>
        <w:t>Tato Smlouva nabývá účinnosti podpisem obou Smluvních stran.</w:t>
      </w:r>
    </w:p>
    <w:p w:rsidR="003F0A1E" w:rsidRDefault="00E14478">
      <w:pPr>
        <w:numPr>
          <w:ilvl w:val="0"/>
          <w:numId w:val="3"/>
        </w:numPr>
        <w:tabs>
          <w:tab w:val="clear" w:pos="648"/>
          <w:tab w:val="decimal" w:pos="720"/>
          <w:tab w:val="left" w:pos="714"/>
        </w:tabs>
        <w:spacing w:before="144" w:line="333" w:lineRule="auto"/>
        <w:ind w:hanging="648"/>
        <w:rPr>
          <w:rFonts w:ascii="Tahoma" w:hAnsi="Tahoma"/>
          <w:color w:val="000000"/>
          <w:spacing w:val="11"/>
          <w:sz w:val="17"/>
          <w:lang w:val="cs-CZ"/>
        </w:rPr>
      </w:pPr>
      <w:r>
        <w:rPr>
          <w:rFonts w:ascii="Tahoma" w:hAnsi="Tahoma"/>
          <w:color w:val="000000"/>
          <w:spacing w:val="11"/>
          <w:sz w:val="17"/>
          <w:lang w:val="cs-CZ"/>
        </w:rPr>
        <w:t>Pokud v této Smlouv</w:t>
      </w:r>
      <w:r>
        <w:rPr>
          <w:rFonts w:ascii="Tahoma" w:hAnsi="Tahoma"/>
          <w:color w:val="000000"/>
          <w:spacing w:val="11"/>
          <w:sz w:val="17"/>
          <w:lang w:val="cs-CZ"/>
        </w:rPr>
        <w:t>ě není stanoveno jinak, řídí se právní vztahy z ní vyplývající p</w:t>
      </w:r>
      <w:r>
        <w:rPr>
          <w:rFonts w:ascii="Tahoma" w:hAnsi="Tahoma"/>
          <w:color w:val="000000"/>
          <w:spacing w:val="11"/>
          <w:sz w:val="17"/>
          <w:lang w:val="cs-CZ"/>
        </w:rPr>
        <w:t xml:space="preserve">říslušnými </w:t>
      </w:r>
      <w:r>
        <w:rPr>
          <w:rFonts w:ascii="Tahoma" w:hAnsi="Tahoma"/>
          <w:color w:val="000000"/>
          <w:spacing w:val="11"/>
          <w:sz w:val="17"/>
          <w:lang w:val="cs-CZ"/>
        </w:rPr>
        <w:br/>
      </w:r>
      <w:r>
        <w:rPr>
          <w:rFonts w:ascii="Tahoma" w:hAnsi="Tahoma"/>
          <w:color w:val="000000"/>
          <w:spacing w:val="10"/>
          <w:sz w:val="17"/>
          <w:lang w:val="cs-CZ"/>
        </w:rPr>
        <w:t>ustanoveními občanského zákoníku.</w:t>
      </w:r>
    </w:p>
    <w:sectPr w:rsidR="003F0A1E">
      <w:pgSz w:w="11918" w:h="16854"/>
      <w:pgMar w:top="1480" w:right="1562" w:bottom="1784" w:left="163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43376"/>
    <w:multiLevelType w:val="multilevel"/>
    <w:tmpl w:val="EBB042F8"/>
    <w:lvl w:ilvl="0">
      <w:start w:val="1"/>
      <w:numFmt w:val="decimal"/>
      <w:lvlText w:val="%1."/>
      <w:lvlJc w:val="left"/>
      <w:pPr>
        <w:tabs>
          <w:tab w:val="decimal" w:pos="648"/>
        </w:tabs>
        <w:ind w:left="720"/>
      </w:pPr>
      <w:rPr>
        <w:rFonts w:ascii="Tahoma" w:hAnsi="Tahoma"/>
        <w:strike w:val="0"/>
        <w:color w:val="000000"/>
        <w:spacing w:val="14"/>
        <w:w w:val="100"/>
        <w:sz w:val="1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A52961"/>
    <w:multiLevelType w:val="multilevel"/>
    <w:tmpl w:val="3208C482"/>
    <w:lvl w:ilvl="0">
      <w:start w:val="1"/>
      <w:numFmt w:val="decimal"/>
      <w:lvlText w:val="%1."/>
      <w:lvlJc w:val="left"/>
      <w:pPr>
        <w:tabs>
          <w:tab w:val="decimal" w:pos="648"/>
        </w:tabs>
        <w:ind w:left="720"/>
      </w:pPr>
      <w:rPr>
        <w:rFonts w:ascii="Tahoma" w:hAnsi="Tahoma"/>
        <w:strike w:val="0"/>
        <w:color w:val="000000"/>
        <w:spacing w:val="8"/>
        <w:w w:val="100"/>
        <w:sz w:val="1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1F3DF8"/>
    <w:multiLevelType w:val="multilevel"/>
    <w:tmpl w:val="12B2BC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Tahoma" w:hAnsi="Tahoma"/>
        <w:strike w:val="0"/>
        <w:color w:val="000000"/>
        <w:spacing w:val="8"/>
        <w:w w:val="100"/>
        <w:sz w:val="1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0A1E"/>
    <w:rsid w:val="003F0A1E"/>
    <w:rsid w:val="00E1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E40E"/>
  <w15:docId w15:val="{4AC9A997-5983-45B9-8F28-D9538770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Stepan</cp:lastModifiedBy>
  <cp:revision>2</cp:revision>
  <dcterms:created xsi:type="dcterms:W3CDTF">2025-06-13T08:20:00Z</dcterms:created>
  <dcterms:modified xsi:type="dcterms:W3CDTF">2025-06-13T08:21:00Z</dcterms:modified>
</cp:coreProperties>
</file>