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6006"/>
      </w:tblGrid>
      <w:tr w:rsidR="000718FB">
        <w:trPr>
          <w:jc w:val="center"/>
        </w:trPr>
        <w:tc>
          <w:tcPr>
            <w:tcW w:w="0" w:type="auto"/>
            <w:vAlign w:val="center"/>
          </w:tcPr>
          <w:p w:rsidR="000718FB" w:rsidRDefault="001B35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718FB" w:rsidRDefault="000718F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8"/>
              </w:rPr>
              <w:t>MĚST</w:t>
            </w:r>
            <w:r w:rsidR="00C863F2">
              <w:rPr>
                <w:b/>
                <w:bCs/>
                <w:sz w:val="28"/>
              </w:rPr>
              <w:t>O</w:t>
            </w:r>
            <w:r>
              <w:rPr>
                <w:b/>
                <w:bCs/>
                <w:sz w:val="28"/>
              </w:rPr>
              <w:t xml:space="preserve"> KUTNÁ HORA 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</w:t>
            </w:r>
            <w:r w:rsidR="00EB4DA1">
              <w:rPr>
                <w:sz w:val="22"/>
              </w:rPr>
              <w:t>ěstí</w:t>
            </w:r>
            <w:r>
              <w:rPr>
                <w:sz w:val="22"/>
              </w:rPr>
              <w:t> 552</w:t>
            </w:r>
            <w:r w:rsidR="00EB4DA1">
              <w:rPr>
                <w:sz w:val="22"/>
              </w:rPr>
              <w:t>/1</w:t>
            </w:r>
            <w:r>
              <w:rPr>
                <w:sz w:val="22"/>
              </w:rPr>
              <w:t xml:space="preserve">, 284 01 Kutná Hora, </w:t>
            </w:r>
            <w:r w:rsidR="00C863F2">
              <w:rPr>
                <w:sz w:val="22"/>
              </w:rPr>
              <w:br/>
            </w:r>
            <w:r>
              <w:rPr>
                <w:sz w:val="22"/>
              </w:rPr>
              <w:t>IČ: </w:t>
            </w:r>
            <w:proofErr w:type="gramStart"/>
            <w:r>
              <w:rPr>
                <w:sz w:val="22"/>
              </w:rPr>
              <w:t>00236195</w:t>
            </w:r>
            <w:r w:rsidR="00C863F2">
              <w:rPr>
                <w:sz w:val="22"/>
              </w:rPr>
              <w:t xml:space="preserve"> , DIČ</w:t>
            </w:r>
            <w:proofErr w:type="gramEnd"/>
            <w:r w:rsidR="00C863F2">
              <w:rPr>
                <w:sz w:val="22"/>
              </w:rPr>
              <w:t>: CZ00236195</w:t>
            </w:r>
            <w:r>
              <w:rPr>
                <w:sz w:val="22"/>
              </w:rPr>
              <w:br/>
            </w:r>
            <w:r w:rsidR="00D03A98">
              <w:rPr>
                <w:bCs/>
                <w:sz w:val="22"/>
              </w:rPr>
              <w:t>Městská policie Kutná Hora</w:t>
            </w:r>
            <w:r>
              <w:rPr>
                <w:b/>
                <w:bCs/>
                <w:sz w:val="22"/>
              </w:rPr>
              <w:br/>
            </w:r>
            <w:proofErr w:type="gramStart"/>
            <w:r>
              <w:rPr>
                <w:sz w:val="22"/>
              </w:rPr>
              <w:t xml:space="preserve">sídlo : </w:t>
            </w:r>
            <w:r w:rsidR="00D03A98">
              <w:rPr>
                <w:bCs/>
                <w:sz w:val="22"/>
              </w:rPr>
              <w:t>Havlíčkovo</w:t>
            </w:r>
            <w:proofErr w:type="gramEnd"/>
            <w:r w:rsidR="00D03A98">
              <w:rPr>
                <w:bCs/>
                <w:sz w:val="22"/>
              </w:rPr>
              <w:t xml:space="preserve"> náměstí 87/12, 284 01 Kutná Hora</w:t>
            </w:r>
            <w:r>
              <w:rPr>
                <w:sz w:val="22"/>
              </w:rPr>
              <w:t>, Kutná Hora</w:t>
            </w:r>
            <w:r>
              <w:rPr>
                <w:sz w:val="22"/>
              </w:rPr>
              <w:br/>
            </w:r>
            <w:r>
              <w:rPr>
                <w:bCs/>
                <w:sz w:val="22"/>
              </w:rPr>
              <w:t xml:space="preserve">tel.:  </w:t>
            </w:r>
            <w:r w:rsidR="00A36A15">
              <w:rPr>
                <w:bCs/>
                <w:sz w:val="22"/>
              </w:rPr>
              <w:t>xxxxxx</w:t>
            </w:r>
            <w:bookmarkStart w:id="0" w:name="_GoBack"/>
            <w:bookmarkEnd w:id="0"/>
            <w:r>
              <w:rPr>
                <w:bCs/>
                <w:sz w:val="22"/>
              </w:rPr>
              <w:t xml:space="preserve"> </w:t>
            </w:r>
            <w:r w:rsidR="00DA2DBA">
              <w:rPr>
                <w:sz w:val="22"/>
              </w:rPr>
              <w:t>, ID</w:t>
            </w:r>
            <w:r w:rsidR="00E7246E" w:rsidRPr="00E7246E">
              <w:rPr>
                <w:sz w:val="22"/>
              </w:rPr>
              <w:t xml:space="preserve"> DS: b65bfx3</w:t>
            </w:r>
            <w:r w:rsidR="00DA2DBA">
              <w:rPr>
                <w:sz w:val="22"/>
              </w:rPr>
              <w:t xml:space="preserve">, </w:t>
            </w:r>
            <w:hyperlink r:id="rId9" w:history="1">
              <w:r w:rsidR="00C863F2" w:rsidRPr="00C863F2">
                <w:rPr>
                  <w:rStyle w:val="Hypertextovodkaz"/>
                  <w:sz w:val="22"/>
                </w:rPr>
                <w:t>https://www</w:t>
              </w:r>
              <w:r w:rsidRPr="00C863F2">
                <w:rPr>
                  <w:rStyle w:val="Hypertextovodkaz"/>
                  <w:sz w:val="22"/>
                </w:rPr>
                <w:t>.kutnahora.cz</w:t>
              </w:r>
            </w:hyperlink>
          </w:p>
          <w:p w:rsidR="000718FB" w:rsidRDefault="000718FB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718FB" w:rsidRDefault="000718FB"/>
    <w:tbl>
      <w:tblPr>
        <w:tblW w:w="9828" w:type="dxa"/>
        <w:tblLook w:val="01E0" w:firstRow="1" w:lastRow="1" w:firstColumn="1" w:lastColumn="1" w:noHBand="0" w:noVBand="0"/>
      </w:tblPr>
      <w:tblGrid>
        <w:gridCol w:w="1548"/>
        <w:gridCol w:w="3060"/>
        <w:gridCol w:w="5220"/>
      </w:tblGrid>
      <w:tr w:rsidR="000718FB">
        <w:trPr>
          <w:cantSplit/>
          <w:trHeight w:val="225"/>
        </w:trPr>
        <w:tc>
          <w:tcPr>
            <w:tcW w:w="1548" w:type="dxa"/>
          </w:tcPr>
          <w:p w:rsidR="000718FB" w:rsidRDefault="000718FB" w:rsidP="001B35F7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  <w:tr w:rsidR="000718FB">
        <w:trPr>
          <w:cantSplit/>
          <w:trHeight w:val="225"/>
        </w:trPr>
        <w:tc>
          <w:tcPr>
            <w:tcW w:w="1548" w:type="dxa"/>
          </w:tcPr>
          <w:p w:rsidR="00267BE7" w:rsidRDefault="000718FB" w:rsidP="00183E38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Naše  </w:t>
            </w:r>
            <w:proofErr w:type="gramStart"/>
            <w:r w:rsidR="00267BE7">
              <w:rPr>
                <w:sz w:val="20"/>
                <w:szCs w:val="20"/>
              </w:rPr>
              <w:t>Č.j.</w:t>
            </w:r>
            <w:proofErr w:type="gramEnd"/>
            <w:r w:rsidR="004D4FD2">
              <w:rPr>
                <w:sz w:val="20"/>
                <w:szCs w:val="20"/>
              </w:rPr>
              <w:t xml:space="preserve"> :</w:t>
            </w:r>
          </w:p>
          <w:p w:rsidR="000718FB" w:rsidRDefault="000718FB" w:rsidP="00183E38">
            <w:pPr>
              <w:ind w:left="-111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72862" w:rsidRPr="00183E38" w:rsidRDefault="00D03A98" w:rsidP="00183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MKH/056016/2025</w:t>
            </w:r>
            <w:r w:rsidR="00C72862" w:rsidRPr="00183E38">
              <w:rPr>
                <w:sz w:val="20"/>
                <w:szCs w:val="20"/>
              </w:rPr>
              <w:t xml:space="preserve"> </w:t>
            </w:r>
          </w:p>
          <w:p w:rsidR="000718FB" w:rsidRDefault="00071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18FB" w:rsidRDefault="000718FB">
            <w:pPr>
              <w:rPr>
                <w:sz w:val="20"/>
                <w:szCs w:val="20"/>
              </w:rPr>
            </w:pPr>
          </w:p>
        </w:tc>
      </w:tr>
    </w:tbl>
    <w:p w:rsidR="00183E38" w:rsidRDefault="00183E38" w:rsidP="004D4FD2">
      <w:pPr>
        <w:ind w:left="-113"/>
      </w:pPr>
    </w:p>
    <w:p w:rsidR="00DC5CDC" w:rsidRPr="008A537F" w:rsidRDefault="00DC5CDC" w:rsidP="00DC5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jc w:val="center"/>
        <w:rPr>
          <w:rFonts w:ascii="Arial" w:hAnsi="Arial" w:cs="Arial"/>
          <w:sz w:val="36"/>
          <w:szCs w:val="36"/>
        </w:rPr>
      </w:pPr>
      <w:r w:rsidRPr="008A537F">
        <w:rPr>
          <w:rFonts w:ascii="Arial" w:hAnsi="Arial" w:cs="Arial"/>
          <w:b/>
          <w:bCs/>
          <w:sz w:val="36"/>
          <w:szCs w:val="36"/>
        </w:rPr>
        <w:t xml:space="preserve">Objednávka </w:t>
      </w:r>
      <w:proofErr w:type="gramStart"/>
      <w:r w:rsidRPr="008A537F">
        <w:rPr>
          <w:rFonts w:ascii="Arial" w:hAnsi="Arial" w:cs="Arial"/>
          <w:b/>
          <w:bCs/>
          <w:sz w:val="36"/>
          <w:szCs w:val="36"/>
        </w:rPr>
        <w:t>č.</w:t>
      </w:r>
      <w:r w:rsidRPr="008A537F">
        <w:rPr>
          <w:rFonts w:ascii="Arial" w:hAnsi="Arial" w:cs="Arial"/>
          <w:sz w:val="36"/>
          <w:szCs w:val="36"/>
        </w:rPr>
        <w:t xml:space="preserve"> </w:t>
      </w:r>
      <w:r w:rsidRPr="008A537F">
        <w:rPr>
          <w:rFonts w:ascii="Arial" w:hAnsi="Arial" w:cs="Arial"/>
          <w:b/>
          <w:bCs/>
          <w:sz w:val="36"/>
          <w:szCs w:val="36"/>
        </w:rPr>
        <w:t xml:space="preserve">: </w:t>
      </w:r>
      <w:r>
        <w:rPr>
          <w:rFonts w:ascii="Arial" w:hAnsi="Arial" w:cs="Arial"/>
          <w:b/>
          <w:bCs/>
          <w:noProof/>
          <w:sz w:val="36"/>
          <w:szCs w:val="36"/>
        </w:rPr>
        <w:t>918</w:t>
      </w:r>
      <w:r w:rsidRPr="000229A7">
        <w:rPr>
          <w:rFonts w:ascii="Arial" w:hAnsi="Arial" w:cs="Arial"/>
          <w:b/>
          <w:bCs/>
          <w:noProof/>
          <w:sz w:val="36"/>
          <w:szCs w:val="36"/>
        </w:rPr>
        <w:t>/25/2100</w:t>
      </w:r>
      <w:proofErr w:type="gramEnd"/>
    </w:p>
    <w:p w:rsidR="004D4FD2" w:rsidRDefault="004D4FD2" w:rsidP="00DC5CDC">
      <w:pPr>
        <w:ind w:left="-113"/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343"/>
        <w:gridCol w:w="1885"/>
        <w:gridCol w:w="3343"/>
      </w:tblGrid>
      <w:tr w:rsidR="00DC5CDC" w:rsidRPr="008A537F" w:rsidTr="00FE3B93">
        <w:trPr>
          <w:trHeight w:val="38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Objednavatel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Město Kutná Hora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Dodavatel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Metalex Car s.r.o.</w:t>
            </w:r>
          </w:p>
        </w:tc>
      </w:tr>
      <w:tr w:rsidR="00DC5CDC" w:rsidRPr="008A537F" w:rsidTr="00FE3B93">
        <w:trPr>
          <w:trHeight w:val="37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 00236195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Havlíčkovo náměstí</w:t>
            </w:r>
            <w:r w:rsidRPr="008A537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552/1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Strážnická 3657</w:t>
            </w:r>
          </w:p>
        </w:tc>
      </w:tr>
      <w:tr w:rsidR="00DC5CDC" w:rsidRPr="008A537F" w:rsidTr="00FE3B93">
        <w:trPr>
          <w:trHeight w:val="37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 CZ00236195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284 01</w:t>
            </w:r>
            <w:r w:rsidRPr="008A537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, </w:t>
            </w:r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Kutná Hora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276 01</w:t>
            </w:r>
            <w:r w:rsidRPr="008A537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Mělník</w:t>
            </w:r>
            <w:proofErr w:type="gramEnd"/>
          </w:p>
        </w:tc>
      </w:tr>
      <w:tr w:rsidR="00DC5CDC" w:rsidRPr="008A537F" w:rsidTr="00FE3B93">
        <w:trPr>
          <w:trHeight w:val="37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Plátce DPH: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Plátce DPH: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CDC" w:rsidRPr="008A537F" w:rsidTr="00FE3B93">
        <w:trPr>
          <w:trHeight w:val="37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Převezme: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CDC" w:rsidRPr="008A537F" w:rsidRDefault="000258DF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xxxxxxx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57E7">
              <w:rPr>
                <w:rFonts w:ascii="Arial" w:hAnsi="Arial" w:cs="Arial"/>
                <w:noProof/>
                <w:sz w:val="20"/>
                <w:szCs w:val="20"/>
              </w:rPr>
              <w:t>18038107</w:t>
            </w:r>
          </w:p>
        </w:tc>
      </w:tr>
      <w:tr w:rsidR="00DC5CDC" w:rsidRPr="008A537F" w:rsidTr="00FE3B93">
        <w:trPr>
          <w:trHeight w:val="37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CDC" w:rsidRPr="008A537F" w:rsidRDefault="000258DF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xxxxxx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57E7">
              <w:rPr>
                <w:rFonts w:ascii="Arial" w:hAnsi="Arial" w:cs="Arial"/>
                <w:noProof/>
                <w:sz w:val="20"/>
                <w:szCs w:val="20"/>
              </w:rPr>
              <w:t>CZ18038107</w:t>
            </w:r>
          </w:p>
        </w:tc>
      </w:tr>
      <w:tr w:rsidR="00DC5CDC" w:rsidRPr="008A537F" w:rsidTr="00FE3B93">
        <w:trPr>
          <w:trHeight w:val="38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CDC" w:rsidRPr="008A537F" w:rsidRDefault="000258DF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xxxxxxx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A537F"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CDC" w:rsidRPr="008A537F" w:rsidTr="00FE3B93">
        <w:trPr>
          <w:trHeight w:val="38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57E7">
              <w:rPr>
                <w:rFonts w:ascii="Arial" w:hAnsi="Arial" w:cs="Arial"/>
                <w:bCs/>
                <w:noProof/>
                <w:sz w:val="20"/>
                <w:szCs w:val="20"/>
              </w:rPr>
              <w:t>11.06.2025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A537F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CDC" w:rsidRPr="008A537F" w:rsidTr="00FE3B93">
        <w:trPr>
          <w:trHeight w:val="380"/>
        </w:trPr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537F">
              <w:rPr>
                <w:rFonts w:ascii="Arial" w:hAnsi="Arial" w:cs="Arial"/>
                <w:sz w:val="20"/>
                <w:szCs w:val="20"/>
              </w:rPr>
              <w:t>Vystavil: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CDC" w:rsidRPr="008A537F" w:rsidRDefault="000258DF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xxxxxxx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CDC" w:rsidRPr="008A537F" w:rsidRDefault="00DC5CDC" w:rsidP="00FE3B9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5CDC" w:rsidRDefault="00DC5CDC" w:rsidP="00DC5CDC">
      <w:pPr>
        <w:ind w:left="-113"/>
      </w:pPr>
    </w:p>
    <w:p w:rsidR="00DC5CDC" w:rsidRPr="00DC5CDC" w:rsidRDefault="00DC5CDC" w:rsidP="00DC5CDC">
      <w:pPr>
        <w:ind w:left="-113"/>
        <w:rPr>
          <w:rFonts w:ascii="Arial" w:hAnsi="Arial" w:cs="Arial"/>
          <w:sz w:val="20"/>
          <w:szCs w:val="20"/>
        </w:rPr>
      </w:pPr>
      <w:r w:rsidRPr="00DC5CDC">
        <w:rPr>
          <w:rFonts w:ascii="Arial" w:hAnsi="Arial" w:cs="Arial"/>
          <w:sz w:val="20"/>
          <w:szCs w:val="20"/>
        </w:rPr>
        <w:t>Předmět objednávky:</w:t>
      </w:r>
    </w:p>
    <w:p w:rsidR="00DC5CDC" w:rsidRPr="00DC5CDC" w:rsidRDefault="00DC5CDC" w:rsidP="00DC5CDC">
      <w:pPr>
        <w:ind w:left="-113"/>
        <w:rPr>
          <w:rFonts w:ascii="Arial" w:hAnsi="Arial" w:cs="Arial"/>
          <w:sz w:val="20"/>
          <w:szCs w:val="20"/>
        </w:rPr>
      </w:pPr>
    </w:p>
    <w:p w:rsidR="00DC5CDC" w:rsidRPr="00DC5CDC" w:rsidRDefault="00DC5CDC" w:rsidP="00DC5CDC">
      <w:pPr>
        <w:rPr>
          <w:rFonts w:ascii="Arial" w:hAnsi="Arial" w:cs="Arial"/>
          <w:sz w:val="20"/>
          <w:szCs w:val="20"/>
        </w:rPr>
      </w:pPr>
      <w:r w:rsidRPr="00DC5CDC">
        <w:rPr>
          <w:rFonts w:ascii="Arial" w:hAnsi="Arial" w:cs="Arial"/>
          <w:sz w:val="20"/>
          <w:szCs w:val="20"/>
        </w:rPr>
        <w:t xml:space="preserve">Montáž níže uvedených komponentů do vozu Škoda </w:t>
      </w:r>
      <w:proofErr w:type="spellStart"/>
      <w:r w:rsidRPr="00DC5CDC">
        <w:rPr>
          <w:rFonts w:ascii="Arial" w:hAnsi="Arial" w:cs="Arial"/>
          <w:sz w:val="20"/>
          <w:szCs w:val="20"/>
        </w:rPr>
        <w:t>Karoq</w:t>
      </w:r>
      <w:proofErr w:type="spellEnd"/>
      <w:r w:rsidRPr="00DC5CDC">
        <w:rPr>
          <w:rFonts w:ascii="Arial" w:hAnsi="Arial" w:cs="Arial"/>
          <w:sz w:val="20"/>
          <w:szCs w:val="20"/>
        </w:rPr>
        <w:t xml:space="preserve"> 130 let, 1,5 TSI 110 KW 7- stupňový automat:</w:t>
      </w:r>
    </w:p>
    <w:p w:rsidR="00DC5CDC" w:rsidRPr="00DC5CDC" w:rsidRDefault="00DC5CDC" w:rsidP="00DC5CDC">
      <w:pPr>
        <w:rPr>
          <w:rFonts w:ascii="Arial" w:hAnsi="Arial" w:cs="Arial"/>
          <w:sz w:val="20"/>
          <w:szCs w:val="20"/>
        </w:rPr>
      </w:pPr>
    </w:p>
    <w:p w:rsidR="00DC5CDC" w:rsidRPr="00DC5CDC" w:rsidRDefault="00DC5CDC" w:rsidP="00DC5CDC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C5CDC">
        <w:rPr>
          <w:rFonts w:ascii="Arial" w:hAnsi="Arial" w:cs="Arial"/>
          <w:sz w:val="20"/>
          <w:szCs w:val="20"/>
        </w:rPr>
        <w:t xml:space="preserve">Montáž světelné a zvukové soupravy </w:t>
      </w:r>
      <w:r w:rsidRPr="00DC5CDC">
        <w:rPr>
          <w:rFonts w:ascii="Arial" w:hAnsi="Arial" w:cs="Arial"/>
          <w:b/>
          <w:sz w:val="20"/>
          <w:szCs w:val="20"/>
        </w:rPr>
        <w:t>VSL 012LU BbSbB-2S-AL-1092</w:t>
      </w:r>
      <w:r w:rsidRPr="00DC5CDC">
        <w:rPr>
          <w:rFonts w:ascii="Arial" w:hAnsi="Arial" w:cs="Arial"/>
          <w:sz w:val="20"/>
          <w:szCs w:val="20"/>
        </w:rPr>
        <w:t xml:space="preserve">  - PŮVODNÍ,</w:t>
      </w:r>
    </w:p>
    <w:p w:rsidR="00DC5CDC" w:rsidRPr="00DC5CDC" w:rsidRDefault="00DC5CDC" w:rsidP="00DC5CDC">
      <w:pPr>
        <w:rPr>
          <w:rFonts w:ascii="Arial" w:hAnsi="Arial" w:cs="Arial"/>
          <w:sz w:val="20"/>
          <w:szCs w:val="20"/>
        </w:rPr>
      </w:pPr>
    </w:p>
    <w:p w:rsidR="00DC5CDC" w:rsidRPr="00DC5CDC" w:rsidRDefault="00DC5CDC" w:rsidP="00DC5CDC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C5CDC">
        <w:rPr>
          <w:rFonts w:ascii="Arial" w:hAnsi="Arial" w:cs="Arial"/>
          <w:sz w:val="20"/>
          <w:szCs w:val="20"/>
        </w:rPr>
        <w:t>Výměna krytů světelné rampy - kryt modrý LBA430 (4005328642) - dva kusy, kryt C600 čirý střední (4005328400) – jeden kus, spona černá (2000013877) - tři kusy – NOVÉ,</w:t>
      </w:r>
    </w:p>
    <w:p w:rsidR="00DC5CDC" w:rsidRPr="00DC5CDC" w:rsidRDefault="00DC5CDC" w:rsidP="00DC5CDC">
      <w:pPr>
        <w:rPr>
          <w:rFonts w:ascii="Arial" w:hAnsi="Arial" w:cs="Arial"/>
          <w:sz w:val="20"/>
          <w:szCs w:val="20"/>
        </w:rPr>
      </w:pPr>
    </w:p>
    <w:p w:rsidR="00DC5CDC" w:rsidRPr="00DC5CDC" w:rsidRDefault="00DC5CDC" w:rsidP="00DC5CDC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C5CDC">
        <w:rPr>
          <w:rFonts w:ascii="Arial" w:hAnsi="Arial" w:cs="Arial"/>
          <w:sz w:val="20"/>
          <w:szCs w:val="20"/>
        </w:rPr>
        <w:t xml:space="preserve">Montáž LED B 53 </w:t>
      </w:r>
      <w:proofErr w:type="spellStart"/>
      <w:r w:rsidRPr="00DC5CDC">
        <w:rPr>
          <w:rFonts w:ascii="Arial" w:hAnsi="Arial" w:cs="Arial"/>
          <w:sz w:val="20"/>
          <w:szCs w:val="20"/>
        </w:rPr>
        <w:t>mpower</w:t>
      </w:r>
      <w:proofErr w:type="spellEnd"/>
      <w:r w:rsidRPr="00DC5CDC">
        <w:rPr>
          <w:rFonts w:ascii="Arial" w:hAnsi="Arial" w:cs="Arial"/>
          <w:sz w:val="20"/>
          <w:szCs w:val="20"/>
        </w:rPr>
        <w:t xml:space="preserve"> 4“-8 </w:t>
      </w:r>
      <w:proofErr w:type="gramStart"/>
      <w:r w:rsidRPr="00DC5CDC">
        <w:rPr>
          <w:rFonts w:ascii="Arial" w:hAnsi="Arial" w:cs="Arial"/>
          <w:sz w:val="20"/>
          <w:szCs w:val="20"/>
        </w:rPr>
        <w:t>LED(2107001262</w:t>
      </w:r>
      <w:proofErr w:type="gramEnd"/>
      <w:r w:rsidRPr="00DC5CDC">
        <w:rPr>
          <w:rFonts w:ascii="Arial" w:hAnsi="Arial" w:cs="Arial"/>
          <w:sz w:val="20"/>
          <w:szCs w:val="20"/>
        </w:rPr>
        <w:t>) – 7 kusů, držák svítidla LED 53-mpower 4"-za sklo (2007001238) – tři kusy, držák ovládací jednotky AZJ 400 B-M-16, magnetický (2005020354) – jeden kus – NOVÉ,</w:t>
      </w:r>
    </w:p>
    <w:p w:rsidR="00DC5CDC" w:rsidRPr="00DC5CDC" w:rsidRDefault="00DC5CDC" w:rsidP="00DC5CDC">
      <w:pPr>
        <w:rPr>
          <w:rFonts w:ascii="Arial" w:hAnsi="Arial" w:cs="Arial"/>
          <w:sz w:val="20"/>
          <w:szCs w:val="20"/>
        </w:rPr>
      </w:pPr>
    </w:p>
    <w:p w:rsidR="00DC5CDC" w:rsidRPr="00DC5CDC" w:rsidRDefault="00DC5CDC" w:rsidP="00DC5CDC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C5CDC">
        <w:rPr>
          <w:rFonts w:ascii="Arial" w:hAnsi="Arial" w:cs="Arial"/>
          <w:sz w:val="20"/>
          <w:szCs w:val="20"/>
        </w:rPr>
        <w:t xml:space="preserve">Montáž vozidlové radiostanice Motorola DM 4601e/VHF, model MDM28JNN9RA2ANB + komplet příslušenství a set dálkového ovládání PMLN7131B – PŮVODNÍ, (nyní spolupracujeme s f. </w:t>
      </w:r>
      <w:proofErr w:type="gramStart"/>
      <w:r w:rsidRPr="00DC5CDC">
        <w:rPr>
          <w:rFonts w:ascii="Arial" w:hAnsi="Arial" w:cs="Arial"/>
          <w:sz w:val="20"/>
          <w:szCs w:val="20"/>
        </w:rPr>
        <w:t>KOMS</w:t>
      </w:r>
      <w:proofErr w:type="gramEnd"/>
      <w:r w:rsidRPr="00DC5CDC">
        <w:rPr>
          <w:rFonts w:ascii="Arial" w:hAnsi="Arial" w:cs="Arial"/>
          <w:sz w:val="20"/>
          <w:szCs w:val="20"/>
        </w:rPr>
        <w:t xml:space="preserve"> Mělník),</w:t>
      </w:r>
    </w:p>
    <w:p w:rsidR="00DC5CDC" w:rsidRPr="00DC5CDC" w:rsidRDefault="00DC5CDC" w:rsidP="00DC5CDC">
      <w:pPr>
        <w:rPr>
          <w:rFonts w:ascii="Arial" w:hAnsi="Arial" w:cs="Arial"/>
          <w:sz w:val="20"/>
          <w:szCs w:val="20"/>
        </w:rPr>
      </w:pPr>
    </w:p>
    <w:p w:rsidR="00DC5CDC" w:rsidRPr="00DC5CDC" w:rsidRDefault="00DC5CDC" w:rsidP="00DC5CDC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DC5CDC">
        <w:rPr>
          <w:rFonts w:ascii="Arial" w:hAnsi="Arial" w:cs="Arial"/>
          <w:sz w:val="20"/>
          <w:szCs w:val="20"/>
        </w:rPr>
        <w:t xml:space="preserve">Montáž mobilního DVR – kamerový systém DS – MP5604N, DS – 2CD 6445GO-30 + komplet příslušenství (dodávka f. </w:t>
      </w:r>
      <w:proofErr w:type="spellStart"/>
      <w:r w:rsidRPr="00DC5CDC">
        <w:rPr>
          <w:rFonts w:ascii="Arial" w:hAnsi="Arial" w:cs="Arial"/>
          <w:sz w:val="20"/>
          <w:szCs w:val="20"/>
        </w:rPr>
        <w:t>Euroalarm</w:t>
      </w:r>
      <w:proofErr w:type="spellEnd"/>
      <w:r w:rsidRPr="00DC5CDC">
        <w:rPr>
          <w:rFonts w:ascii="Arial" w:hAnsi="Arial" w:cs="Arial"/>
          <w:sz w:val="20"/>
          <w:szCs w:val="20"/>
        </w:rPr>
        <w:t xml:space="preserve"> s.r.o) – NOVÉ.</w:t>
      </w:r>
    </w:p>
    <w:p w:rsidR="00DC5CDC" w:rsidRDefault="00DC5CDC" w:rsidP="00DC5CDC">
      <w:pPr>
        <w:ind w:left="-113"/>
        <w:rPr>
          <w:rFonts w:ascii="Arial" w:hAnsi="Arial" w:cs="Arial"/>
          <w:sz w:val="20"/>
          <w:szCs w:val="20"/>
        </w:rPr>
      </w:pPr>
    </w:p>
    <w:p w:rsidR="00DC5CDC" w:rsidRDefault="00DC5CDC" w:rsidP="00DC5CDC">
      <w:pPr>
        <w:ind w:left="-113"/>
        <w:rPr>
          <w:rFonts w:ascii="Arial" w:hAnsi="Arial" w:cs="Arial"/>
          <w:sz w:val="20"/>
          <w:szCs w:val="20"/>
        </w:rPr>
      </w:pPr>
    </w:p>
    <w:p w:rsidR="00DC5CDC" w:rsidRPr="00DC5CDC" w:rsidRDefault="00DC5CDC" w:rsidP="00DC5CDC">
      <w:pPr>
        <w:rPr>
          <w:rFonts w:ascii="Arial" w:hAnsi="Arial" w:cs="Arial"/>
          <w:bCs/>
          <w:sz w:val="20"/>
          <w:szCs w:val="20"/>
        </w:rPr>
      </w:pPr>
      <w:r w:rsidRPr="00DC5CDC">
        <w:rPr>
          <w:rFonts w:ascii="Arial" w:hAnsi="Arial" w:cs="Arial"/>
          <w:bCs/>
          <w:sz w:val="20"/>
          <w:szCs w:val="20"/>
        </w:rPr>
        <w:t xml:space="preserve">za cenu: </w:t>
      </w:r>
      <w:r>
        <w:rPr>
          <w:rFonts w:ascii="Arial" w:hAnsi="Arial" w:cs="Arial"/>
          <w:b/>
          <w:bCs/>
          <w:sz w:val="20"/>
          <w:szCs w:val="20"/>
        </w:rPr>
        <w:t>49 800</w:t>
      </w:r>
      <w:r w:rsidRPr="00DC5CDC">
        <w:rPr>
          <w:rFonts w:ascii="Arial" w:hAnsi="Arial" w:cs="Arial"/>
          <w:b/>
          <w:bCs/>
          <w:sz w:val="20"/>
          <w:szCs w:val="20"/>
        </w:rPr>
        <w:t xml:space="preserve">,- </w:t>
      </w:r>
      <w:proofErr w:type="gramStart"/>
      <w:r w:rsidRPr="00DC5CDC">
        <w:rPr>
          <w:rFonts w:ascii="Arial" w:hAnsi="Arial" w:cs="Arial"/>
          <w:b/>
          <w:bCs/>
          <w:sz w:val="20"/>
          <w:szCs w:val="20"/>
        </w:rPr>
        <w:t>Kč  bez</w:t>
      </w:r>
      <w:proofErr w:type="gramEnd"/>
      <w:r w:rsidRPr="00DC5CDC">
        <w:rPr>
          <w:rFonts w:ascii="Arial" w:hAnsi="Arial" w:cs="Arial"/>
          <w:b/>
          <w:bCs/>
          <w:sz w:val="20"/>
          <w:szCs w:val="20"/>
        </w:rPr>
        <w:t xml:space="preserve">  DP</w:t>
      </w:r>
      <w:r>
        <w:rPr>
          <w:rFonts w:ascii="Arial" w:hAnsi="Arial" w:cs="Arial"/>
          <w:b/>
          <w:bCs/>
          <w:sz w:val="20"/>
          <w:szCs w:val="20"/>
        </w:rPr>
        <w:t>H</w:t>
      </w:r>
    </w:p>
    <w:p w:rsidR="00DC5CDC" w:rsidRPr="00993680" w:rsidRDefault="00DC5CDC" w:rsidP="00DC5CDC">
      <w:pPr>
        <w:rPr>
          <w:rFonts w:ascii="Arial" w:hAnsi="Arial" w:cs="Arial"/>
          <w:bCs/>
          <w:sz w:val="22"/>
          <w:szCs w:val="22"/>
        </w:rPr>
      </w:pPr>
    </w:p>
    <w:p w:rsidR="00DC5CDC" w:rsidRPr="00DC5CDC" w:rsidRDefault="00DC5CDC" w:rsidP="00DC5CDC">
      <w:pPr>
        <w:ind w:left="-113"/>
        <w:rPr>
          <w:rFonts w:ascii="Arial" w:hAnsi="Arial" w:cs="Arial"/>
          <w:sz w:val="20"/>
          <w:szCs w:val="20"/>
        </w:rPr>
      </w:pPr>
    </w:p>
    <w:p w:rsidR="00DC5CDC" w:rsidRPr="00DC5CDC" w:rsidRDefault="00DC5CDC" w:rsidP="00DC5CDC">
      <w:pPr>
        <w:ind w:left="-113"/>
        <w:rPr>
          <w:rFonts w:ascii="Arial" w:hAnsi="Arial" w:cs="Arial"/>
          <w:sz w:val="20"/>
          <w:szCs w:val="2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257"/>
        <w:gridCol w:w="2199"/>
      </w:tblGrid>
      <w:tr w:rsidR="00DC5CDC" w:rsidRPr="00DC5CDC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DC5CDC" w:rsidRDefault="00DC5CDC" w:rsidP="00FE3B93">
            <w:pPr>
              <w:spacing w:before="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C5CD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DC5CDC">
              <w:rPr>
                <w:rFonts w:ascii="Arial" w:hAnsi="Arial" w:cs="Arial"/>
                <w:bCs/>
                <w:noProof/>
                <w:sz w:val="20"/>
                <w:szCs w:val="20"/>
              </w:rPr>
              <w:t>…………………………………</w:t>
            </w:r>
          </w:p>
          <w:p w:rsidR="00DC5CDC" w:rsidRPr="00DC5CDC" w:rsidRDefault="00DC5CDC" w:rsidP="00FE3B93">
            <w:pPr>
              <w:spacing w:before="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C5CD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0258DF">
              <w:rPr>
                <w:rFonts w:ascii="Arial" w:hAnsi="Arial" w:cs="Arial"/>
                <w:bCs/>
                <w:noProof/>
                <w:sz w:val="20"/>
                <w:szCs w:val="20"/>
              </w:rPr>
              <w:t>xxxxxxxx</w:t>
            </w:r>
          </w:p>
          <w:p w:rsidR="00DC5CDC" w:rsidRPr="00DC5CDC" w:rsidRDefault="00DC5CDC" w:rsidP="00FE3B93">
            <w:pPr>
              <w:spacing w:before="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C5CDC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Pr="00DC5CDC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Pr="00DC5CDC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Pr="00DC5CDC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Pr="00DC5CDC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Pr="00DC5CDC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  <w:t xml:space="preserve">           ředitel městské policie</w:t>
            </w:r>
          </w:p>
          <w:p w:rsidR="00DC5CDC" w:rsidRPr="00DC5CD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C5CDC" w:rsidRPr="00F526B8" w:rsidTr="00DC5CDC">
        <w:trPr>
          <w:gridAfter w:val="1"/>
          <w:wAfter w:w="2199" w:type="dxa"/>
          <w:trHeight w:val="391"/>
        </w:trPr>
        <w:tc>
          <w:tcPr>
            <w:tcW w:w="8257" w:type="dxa"/>
            <w:shd w:val="clear" w:color="auto" w:fill="auto"/>
          </w:tcPr>
          <w:p w:rsidR="00DC5CDC" w:rsidRPr="00F526B8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DC5CDC" w:rsidRPr="005D502C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5CD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5CD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Fak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10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B924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</w:p>
          <w:p w:rsidR="00DC5CD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92418">
              <w:rPr>
                <w:sz w:val="22"/>
                <w:szCs w:val="22"/>
              </w:rPr>
              <w:t>(</w:t>
            </w:r>
            <w:r w:rsidRPr="00BE1881">
              <w:rPr>
                <w:rFonts w:ascii="Arial" w:hAnsi="Arial" w:cs="Arial"/>
                <w:i/>
                <w:sz w:val="20"/>
                <w:szCs w:val="20"/>
              </w:rPr>
              <w:t>pokud to bude možné v kopii na e-mail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hyperlink r:id="rId11" w:history="1">
              <w:proofErr w:type="spellStart"/>
              <w:r w:rsidR="000258DF">
                <w:rPr>
                  <w:rFonts w:ascii="Arial" w:hAnsi="Arial" w:cs="Arial"/>
                  <w:b/>
                  <w:i/>
                  <w:color w:val="000000"/>
                  <w:sz w:val="20"/>
                  <w:szCs w:val="20"/>
                </w:rPr>
                <w:t>xxxxxxxxx</w:t>
              </w:r>
              <w:proofErr w:type="spellEnd"/>
            </w:hyperlink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DC5CDC" w:rsidRPr="005D502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C5CDC" w:rsidRPr="005D502C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5D502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DC5CDC" w:rsidRPr="005D502C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5D502C" w:rsidRDefault="00DC5CDC" w:rsidP="00FE3B9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DC5CDC" w:rsidRPr="005D502C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5D502C" w:rsidRDefault="00DC5CDC" w:rsidP="00FE3B9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Format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Long-term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Archiving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DC5CDC" w:rsidRPr="005D502C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5D502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5CDC" w:rsidRPr="005D502C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5D502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DC5CDC" w:rsidRPr="00F526B8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F526B8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DC5CDC" w:rsidRPr="005D502C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5D502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DC5CDC" w:rsidRPr="00726B9A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726B9A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DC5CDC" w:rsidRPr="00726B9A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  <w:p w:rsidR="000258DF" w:rsidRDefault="000258DF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  <w:p w:rsidR="000258DF" w:rsidRPr="00483FC0" w:rsidRDefault="000258DF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DC5CDC" w:rsidRPr="00556408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556408" w:rsidRDefault="00DC5CDC" w:rsidP="00FE3B9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Courier New" w:hAnsi="Courier New" w:cs="Courier New"/>
                <w:bCs/>
                <w:noProof/>
                <w:sz w:val="18"/>
                <w:szCs w:val="18"/>
              </w:rPr>
            </w:pPr>
            <w:r w:rsidRPr="00556408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DC5CDC" w:rsidRPr="00556408" w:rsidTr="00DC5CDC">
        <w:trPr>
          <w:trHeight w:val="391"/>
        </w:trPr>
        <w:tc>
          <w:tcPr>
            <w:tcW w:w="10456" w:type="dxa"/>
            <w:gridSpan w:val="2"/>
            <w:shd w:val="clear" w:color="auto" w:fill="auto"/>
          </w:tcPr>
          <w:p w:rsidR="00DC5CDC" w:rsidRPr="00556408" w:rsidRDefault="00DC5CDC" w:rsidP="000258D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Courier New" w:hAnsi="Courier New" w:cs="Courier New"/>
                <w:bCs/>
                <w:noProof/>
                <w:sz w:val="18"/>
                <w:szCs w:val="18"/>
              </w:rPr>
            </w:pPr>
            <w:r w:rsidRPr="00556408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0   0  53 11 61 23 2100 0         0   0     0    0  0  0     0   0        0</w:t>
            </w:r>
            <w:r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 xml:space="preserve">     </w:t>
            </w:r>
          </w:p>
        </w:tc>
      </w:tr>
    </w:tbl>
    <w:p w:rsidR="00DC5CDC" w:rsidRDefault="00DC5CDC" w:rsidP="00DC5CDC">
      <w:pPr>
        <w:ind w:left="-113"/>
      </w:pPr>
    </w:p>
    <w:sectPr w:rsidR="00DC5CDC" w:rsidSect="007710D6">
      <w:headerReference w:type="default" r:id="rId12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6A" w:rsidRDefault="00EB1E6A" w:rsidP="007710D6">
      <w:r>
        <w:separator/>
      </w:r>
    </w:p>
  </w:endnote>
  <w:endnote w:type="continuationSeparator" w:id="0">
    <w:p w:rsidR="00EB1E6A" w:rsidRDefault="00EB1E6A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6A" w:rsidRDefault="00EB1E6A" w:rsidP="007710D6">
      <w:r>
        <w:separator/>
      </w:r>
    </w:p>
  </w:footnote>
  <w:footnote w:type="continuationSeparator" w:id="0">
    <w:p w:rsidR="00EB1E6A" w:rsidRDefault="00EB1E6A" w:rsidP="0077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D6" w:rsidRPr="007710D6" w:rsidRDefault="007710D6" w:rsidP="007710D6">
    <w:pPr>
      <w:pStyle w:val="Zhlav"/>
      <w:jc w:val="right"/>
      <w:rPr>
        <w:rFonts w:ascii="Bar-Code 39 lesbar" w:hAnsi="Bar-Code 39 lesbar"/>
        <w:sz w:val="32"/>
        <w:szCs w:val="32"/>
      </w:rPr>
    </w:pPr>
    <w:r w:rsidRPr="007710D6">
      <w:rPr>
        <w:rFonts w:ascii="Bar-Code 39 lesbar" w:hAnsi="Bar-Code 39 lesbar"/>
        <w:sz w:val="32"/>
        <w:szCs w:val="32"/>
      </w:rPr>
      <w:t>*</w:t>
    </w:r>
    <w:r w:rsidR="00D03A98">
      <w:rPr>
        <w:rFonts w:ascii="Bar-Code 39 lesbar" w:hAnsi="Bar-Code 39 lesbar"/>
        <w:sz w:val="32"/>
        <w:szCs w:val="32"/>
      </w:rPr>
      <w:t>MUKHSP10301147</w:t>
    </w:r>
    <w:r w:rsidRPr="007710D6">
      <w:rPr>
        <w:rFonts w:ascii="Bar-Code 39 lesbar" w:hAnsi="Bar-Code 39 lesbar"/>
        <w:sz w:val="32"/>
        <w:szCs w:val="32"/>
      </w:rPr>
      <w:t xml:space="preserve"> 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2A80"/>
    <w:multiLevelType w:val="hybridMultilevel"/>
    <w:tmpl w:val="5168905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A"/>
    <w:rsid w:val="000258DF"/>
    <w:rsid w:val="000718FB"/>
    <w:rsid w:val="00094DFA"/>
    <w:rsid w:val="00183E38"/>
    <w:rsid w:val="001B35F7"/>
    <w:rsid w:val="001D03C2"/>
    <w:rsid w:val="00267BE7"/>
    <w:rsid w:val="0028076B"/>
    <w:rsid w:val="00361CFF"/>
    <w:rsid w:val="004A2DB5"/>
    <w:rsid w:val="004D4FD2"/>
    <w:rsid w:val="006A7E41"/>
    <w:rsid w:val="007121D5"/>
    <w:rsid w:val="007710D6"/>
    <w:rsid w:val="007C17E7"/>
    <w:rsid w:val="00826F6D"/>
    <w:rsid w:val="008B54A2"/>
    <w:rsid w:val="009B73A9"/>
    <w:rsid w:val="00A36A15"/>
    <w:rsid w:val="00B00F7C"/>
    <w:rsid w:val="00C72862"/>
    <w:rsid w:val="00C863F2"/>
    <w:rsid w:val="00C95067"/>
    <w:rsid w:val="00D03A98"/>
    <w:rsid w:val="00DA2DBA"/>
    <w:rsid w:val="00DB3965"/>
    <w:rsid w:val="00DC5CDC"/>
    <w:rsid w:val="00E119DC"/>
    <w:rsid w:val="00E3329B"/>
    <w:rsid w:val="00E7246E"/>
    <w:rsid w:val="00EB1E6A"/>
    <w:rsid w:val="00EB4DA1"/>
    <w:rsid w:val="00F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DC5C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C5C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5C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DC5C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C5C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5C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gnerova@mu.kutnahor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ktury@kutnaho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tnaho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3721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https://www.kutnahora.cz/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Kutná Hora</dc:creator>
  <cp:lastModifiedBy>Městský úřad Kutná Hora</cp:lastModifiedBy>
  <cp:revision>4</cp:revision>
  <cp:lastPrinted>1900-12-31T22:00:00Z</cp:lastPrinted>
  <dcterms:created xsi:type="dcterms:W3CDTF">2025-06-11T13:09:00Z</dcterms:created>
  <dcterms:modified xsi:type="dcterms:W3CDTF">2025-06-12T06:16:00Z</dcterms:modified>
</cp:coreProperties>
</file>