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680" w:h="576" w:wrap="none" w:hAnchor="page" w:x="3551" w:y="212"/>
        <w:widowControl w:val="0"/>
        <w:shd w:val="clear" w:color="auto" w:fill="auto"/>
        <w:bidi w:val="0"/>
        <w:spacing w:before="0" w:after="0" w:line="434" w:lineRule="auto"/>
        <w:ind w:left="0" w:right="0" w:firstLine="0"/>
        <w:jc w:val="left"/>
      </w:pPr>
      <w:r>
        <w:rPr>
          <w:rStyle w:val="CharStyle3"/>
        </w:rPr>
        <w:t>Číslo návrhu pojistné smlouvy</w:t>
      </w:r>
    </w:p>
    <w:p>
      <w:pPr>
        <w:pStyle w:val="Style4"/>
        <w:keepNext w:val="0"/>
        <w:keepLines w:val="0"/>
        <w:framePr w:w="1680" w:h="576" w:wrap="none" w:hAnchor="page" w:x="3551" w:y="212"/>
        <w:widowControl w:val="0"/>
        <w:shd w:val="clear" w:color="auto" w:fill="auto"/>
        <w:bidi w:val="0"/>
        <w:spacing w:before="0" w:after="0" w:line="434" w:lineRule="auto"/>
        <w:ind w:left="0" w:right="0" w:firstLine="0"/>
        <w:jc w:val="left"/>
      </w:pPr>
      <w:r>
        <w:rPr>
          <w:rStyle w:val="CharStyle5"/>
          <w:b/>
          <w:bCs/>
        </w:rPr>
        <w:t>8603656798</w:t>
      </w:r>
    </w:p>
    <w:p>
      <w:pPr>
        <w:pStyle w:val="Style6"/>
        <w:keepNext w:val="0"/>
        <w:keepLines w:val="0"/>
        <w:framePr w:w="1766" w:h="595" w:wrap="none" w:hAnchor="page" w:x="8730" w:y="1"/>
        <w:widowControl w:val="0"/>
        <w:shd w:val="clear" w:color="auto" w:fill="auto"/>
        <w:bidi w:val="0"/>
        <w:spacing w:before="0" w:after="0" w:line="240" w:lineRule="auto"/>
        <w:ind w:left="0" w:right="0" w:firstLine="0"/>
        <w:jc w:val="left"/>
      </w:pPr>
      <w:r>
        <w:rPr>
          <w:rStyle w:val="CharStyle7"/>
        </w:rPr>
        <w:t>lllllll■ll■</w:t>
      </w:r>
    </w:p>
    <w:p>
      <w:pPr>
        <w:pStyle w:val="Style6"/>
        <w:keepNext w:val="0"/>
        <w:keepLines w:val="0"/>
        <w:framePr w:w="1766" w:h="595" w:wrap="none" w:hAnchor="page" w:x="8730" w:y="1"/>
        <w:widowControl w:val="0"/>
        <w:shd w:val="clear" w:color="auto" w:fill="auto"/>
        <w:bidi w:val="0"/>
        <w:spacing w:before="0" w:after="0" w:line="240" w:lineRule="auto"/>
        <w:ind w:left="0" w:right="0" w:firstLine="0"/>
        <w:jc w:val="right"/>
      </w:pPr>
      <w:r>
        <w:rPr>
          <w:rStyle w:val="CharStyle7"/>
        </w:rPr>
        <w:t>*8603656798*</w:t>
      </w:r>
    </w:p>
    <w:p>
      <w:pPr>
        <w:pStyle w:val="Style8"/>
        <w:keepNext/>
        <w:keepLines/>
        <w:framePr w:w="1834" w:h="600" w:wrap="none" w:hAnchor="page" w:x="1151" w:y="793"/>
        <w:widowControl w:val="0"/>
        <w:shd w:val="clear" w:color="auto" w:fill="auto"/>
        <w:bidi w:val="0"/>
        <w:spacing w:before="0" w:line="240" w:lineRule="auto"/>
        <w:ind w:left="0" w:right="0" w:firstLine="0"/>
        <w:jc w:val="both"/>
      </w:pPr>
      <w:bookmarkStart w:id="0" w:name="bookmark0"/>
      <w:r>
        <w:rPr>
          <w:rStyle w:val="CharStyle9"/>
          <w:b/>
          <w:bCs/>
        </w:rPr>
        <w:t>Kooperativa</w:t>
      </w:r>
      <w:bookmarkEnd w:id="0"/>
    </w:p>
    <w:p>
      <w:pPr>
        <w:pStyle w:val="Style2"/>
        <w:keepNext w:val="0"/>
        <w:keepLines w:val="0"/>
        <w:framePr w:w="1834" w:h="600" w:wrap="none" w:hAnchor="page" w:x="1151" w:y="793"/>
        <w:widowControl w:val="0"/>
        <w:shd w:val="clear" w:color="auto" w:fill="auto"/>
        <w:bidi w:val="0"/>
        <w:spacing w:before="0" w:after="0" w:line="240" w:lineRule="auto"/>
        <w:ind w:left="0" w:right="0" w:firstLine="0"/>
        <w:jc w:val="left"/>
      </w:pPr>
      <w:r>
        <w:rPr>
          <w:rStyle w:val="CharStyle3"/>
        </w:rPr>
        <w:t>VIENNA INSURANCE GROUP</w:t>
      </w:r>
    </w:p>
    <w:p>
      <w:pPr>
        <w:pStyle w:val="Style4"/>
        <w:keepNext w:val="0"/>
        <w:keepLines w:val="0"/>
        <w:framePr w:w="8242" w:h="595" w:wrap="none" w:hAnchor="page" w:x="3397" w:y="1115"/>
        <w:widowControl w:val="0"/>
        <w:pBdr>
          <w:top w:val="single" w:sz="0" w:space="0" w:color="7F7F7F"/>
          <w:left w:val="single" w:sz="0" w:space="0" w:color="7F7F7F"/>
          <w:bottom w:val="single" w:sz="0" w:space="0" w:color="7F7F7F"/>
          <w:right w:val="single" w:sz="0" w:space="0" w:color="7F7F7F"/>
        </w:pBdr>
        <w:shd w:val="clear" w:color="auto" w:fill="7F7F7F"/>
        <w:bidi w:val="0"/>
        <w:spacing w:before="180" w:after="0" w:line="240" w:lineRule="auto"/>
        <w:ind w:left="0" w:right="0" w:firstLine="160"/>
        <w:jc w:val="left"/>
      </w:pPr>
      <w:r>
        <w:rPr>
          <w:rStyle w:val="CharStyle5"/>
          <w:b/>
          <w:bCs/>
          <w:color w:val="FFFFFF"/>
        </w:rPr>
        <w:t>Návrh pojistné smlouvy - pojištění podnikatelů TREND</w:t>
      </w:r>
    </w:p>
    <w:p>
      <w:pPr>
        <w:widowControl w:val="0"/>
        <w:spacing w:line="360" w:lineRule="exact"/>
      </w:pPr>
      <w:r>
        <w:drawing>
          <wp:anchor distT="0" distB="0" distL="0" distR="0" simplePos="0" relativeHeight="62914690" behindDoc="1" locked="0" layoutInCell="1" allowOverlap="1">
            <wp:simplePos x="0" y="0"/>
            <wp:positionH relativeFrom="page">
              <wp:posOffset>108585</wp:posOffset>
            </wp:positionH>
            <wp:positionV relativeFrom="margin">
              <wp:posOffset>18415</wp:posOffset>
            </wp:positionV>
            <wp:extent cx="372110" cy="109728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72110" cy="1097280"/>
                    </a:xfrm>
                    <a:prstGeom prst="rect"/>
                  </pic:spPr>
                </pic:pic>
              </a:graphicData>
            </a:graphic>
          </wp:anchor>
        </w:drawing>
      </w:r>
      <w:r>
        <w:drawing>
          <wp:anchor distT="0" distB="0" distL="0" distR="0" simplePos="0" relativeHeight="62914691" behindDoc="1" locked="0" layoutInCell="1" allowOverlap="1">
            <wp:simplePos x="0" y="0"/>
            <wp:positionH relativeFrom="page">
              <wp:posOffset>1144905</wp:posOffset>
            </wp:positionH>
            <wp:positionV relativeFrom="margin">
              <wp:posOffset>247015</wp:posOffset>
            </wp:positionV>
            <wp:extent cx="323215" cy="28638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323215" cy="286385"/>
                    </a:xfrm>
                    <a:prstGeom prst="rect"/>
                  </pic:spPr>
                </pic:pic>
              </a:graphicData>
            </a:graphic>
          </wp:anchor>
        </w:drawing>
      </w:r>
    </w:p>
    <w:p>
      <w:pPr>
        <w:widowControl w:val="0"/>
        <w:spacing w:line="360" w:lineRule="exact"/>
      </w:pPr>
    </w:p>
    <w:p>
      <w:pPr>
        <w:widowControl w:val="0"/>
        <w:spacing w:line="360" w:lineRule="exact"/>
      </w:pPr>
    </w:p>
    <w:p>
      <w:pPr>
        <w:widowControl w:val="0"/>
        <w:spacing w:after="671" w:line="1" w:lineRule="exact"/>
      </w:pPr>
    </w:p>
    <w:p>
      <w:pPr>
        <w:widowControl w:val="0"/>
        <w:spacing w:line="1" w:lineRule="exact"/>
        <w:sectPr>
          <w:footerReference w:type="default" r:id="rId9"/>
          <w:footnotePr>
            <w:pos w:val="pageBottom"/>
            <w:numFmt w:val="decimal"/>
            <w:numRestart w:val="continuous"/>
          </w:footnotePr>
          <w:pgSz w:w="11900" w:h="16840"/>
          <w:pgMar w:top="593" w:right="262" w:bottom="970" w:left="171" w:header="0" w:footer="3" w:gutter="0"/>
          <w:pgNumType w:start="1"/>
          <w:cols w:space="720"/>
          <w:noEndnote/>
          <w:rtlGutter w:val="0"/>
          <w:docGrid w:linePitch="360"/>
        </w:sectPr>
      </w:pP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393" w:right="0" w:bottom="1147" w:left="0"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left"/>
      </w:pPr>
      <w:r>
        <w:rPr>
          <w:rStyle w:val="CharStyle5"/>
          <w:b/>
          <w:bCs/>
        </w:rPr>
        <w:t>Kooperativa pojišťovna, a.s., Vienna Insurance Group</w:t>
      </w:r>
    </w:p>
    <w:p>
      <w:pPr>
        <w:pStyle w:val="Style16"/>
        <w:keepNext w:val="0"/>
        <w:keepLines w:val="0"/>
        <w:widowControl w:val="0"/>
        <w:shd w:val="clear" w:color="auto" w:fill="auto"/>
        <w:bidi w:val="0"/>
        <w:spacing w:before="0" w:after="0" w:line="240" w:lineRule="auto"/>
        <w:ind w:left="0" w:right="0" w:firstLine="0"/>
        <w:jc w:val="left"/>
      </w:pPr>
      <w:r>
        <w:rPr>
          <w:rStyle w:val="CharStyle17"/>
        </w:rPr>
        <w:t>se sídlem Pobřežní 665/21,186 00 Praha 8, Česká republika</w:t>
      </w:r>
    </w:p>
    <w:p>
      <w:pPr>
        <w:pStyle w:val="Style16"/>
        <w:keepNext w:val="0"/>
        <w:keepLines w:val="0"/>
        <w:widowControl w:val="0"/>
        <w:shd w:val="clear" w:color="auto" w:fill="auto"/>
        <w:bidi w:val="0"/>
        <w:spacing w:before="0" w:after="0" w:line="240" w:lineRule="auto"/>
        <w:ind w:left="0" w:right="0" w:firstLine="0"/>
        <w:jc w:val="left"/>
      </w:pPr>
      <w:r>
        <w:rPr>
          <w:rStyle w:val="CharStyle17"/>
        </w:rPr>
        <w:t>IČO: 47116617</w:t>
      </w:r>
    </w:p>
    <w:p>
      <w:pPr>
        <w:pStyle w:val="Style16"/>
        <w:keepNext w:val="0"/>
        <w:keepLines w:val="0"/>
        <w:widowControl w:val="0"/>
        <w:shd w:val="clear" w:color="auto" w:fill="auto"/>
        <w:bidi w:val="0"/>
        <w:spacing w:before="0" w:after="0" w:line="240" w:lineRule="auto"/>
        <w:ind w:left="0" w:right="0" w:firstLine="0"/>
        <w:jc w:val="left"/>
      </w:pPr>
      <w:r>
        <w:rPr>
          <w:rStyle w:val="CharStyle17"/>
        </w:rPr>
        <w:t>zapsaná v obchodním rejstříku vedeném Městským soudem v Praze, sp. zn. B 1897</w:t>
      </w:r>
    </w:p>
    <w:p>
      <w:pPr>
        <w:pStyle w:val="Style16"/>
        <w:keepNext w:val="0"/>
        <w:keepLines w:val="0"/>
        <w:widowControl w:val="0"/>
        <w:shd w:val="clear" w:color="auto" w:fill="auto"/>
        <w:bidi w:val="0"/>
        <w:spacing w:before="0" w:after="0" w:line="511" w:lineRule="auto"/>
        <w:ind w:left="0" w:right="0" w:firstLine="0"/>
        <w:jc w:val="left"/>
      </w:pPr>
      <w:r>
        <w:rPr>
          <w:rStyle w:val="CharStyle17"/>
        </w:rPr>
        <w:t xml:space="preserve">(dále jen </w:t>
      </w:r>
      <w:r>
        <w:rPr>
          <w:rStyle w:val="CharStyle17"/>
          <w:b/>
          <w:bCs/>
        </w:rPr>
        <w:t xml:space="preserve">„pojistitel") </w:t>
      </w:r>
      <w:r>
        <w:rPr>
          <w:rStyle w:val="CharStyle17"/>
        </w:rPr>
        <w:t>a</w:t>
      </w:r>
    </w:p>
    <w:p>
      <w:pPr>
        <w:pStyle w:val="Style4"/>
        <w:keepNext w:val="0"/>
        <w:keepLines w:val="0"/>
        <w:widowControl w:val="0"/>
        <w:shd w:val="clear" w:color="auto" w:fill="auto"/>
        <w:bidi w:val="0"/>
        <w:spacing w:before="0" w:after="0" w:line="240" w:lineRule="auto"/>
        <w:ind w:left="0" w:right="0" w:firstLine="0"/>
        <w:jc w:val="left"/>
      </w:pPr>
      <w:r>
        <w:rPr>
          <w:rStyle w:val="CharStyle5"/>
          <w:b/>
          <w:bCs/>
        </w:rPr>
        <w:t>Dětský domov se školou, středisko výchovné péče a základní škola, Praha 2,Jana Masaryka 16</w:t>
      </w:r>
    </w:p>
    <w:p>
      <w:pPr>
        <w:pStyle w:val="Style16"/>
        <w:keepNext w:val="0"/>
        <w:keepLines w:val="0"/>
        <w:widowControl w:val="0"/>
        <w:shd w:val="clear" w:color="auto" w:fill="auto"/>
        <w:bidi w:val="0"/>
        <w:spacing w:before="0" w:after="0" w:line="240" w:lineRule="auto"/>
        <w:ind w:left="0" w:right="0" w:firstLine="0"/>
        <w:jc w:val="left"/>
      </w:pPr>
      <w:r>
        <w:rPr>
          <w:rStyle w:val="CharStyle17"/>
        </w:rPr>
        <w:t>IČO: 65993381</w:t>
      </w:r>
    </w:p>
    <w:p>
      <w:pPr>
        <w:pStyle w:val="Style16"/>
        <w:keepNext w:val="0"/>
        <w:keepLines w:val="0"/>
        <w:widowControl w:val="0"/>
        <w:shd w:val="clear" w:color="auto" w:fill="auto"/>
        <w:bidi w:val="0"/>
        <w:spacing w:before="0" w:after="0" w:line="240" w:lineRule="auto"/>
        <w:ind w:left="0" w:right="0" w:firstLine="0"/>
        <w:jc w:val="left"/>
      </w:pPr>
      <w:r>
        <w:rPr>
          <w:rStyle w:val="CharStyle17"/>
        </w:rPr>
        <w:t>se sídlem: jana Masaryka 64/16,12000 Praha</w:t>
      </w:r>
    </w:p>
    <w:p>
      <w:pPr>
        <w:pStyle w:val="Style16"/>
        <w:keepNext w:val="0"/>
        <w:keepLines w:val="0"/>
        <w:widowControl w:val="0"/>
        <w:shd w:val="clear" w:color="auto" w:fill="auto"/>
        <w:bidi w:val="0"/>
        <w:spacing w:before="0" w:after="0" w:line="240" w:lineRule="auto"/>
        <w:ind w:left="0" w:right="0" w:firstLine="0"/>
        <w:jc w:val="left"/>
      </w:pPr>
      <w:r>
        <w:rPr>
          <w:rStyle w:val="CharStyle17"/>
        </w:rPr>
        <w:t xml:space="preserve">(dále jen </w:t>
      </w:r>
      <w:r>
        <w:rPr>
          <w:rStyle w:val="CharStyle17"/>
          <w:b/>
          <w:bCs/>
        </w:rPr>
        <w:t>„pojistnik“)</w:t>
      </w:r>
    </w:p>
    <w:p>
      <w:pPr>
        <w:pStyle w:val="Style16"/>
        <w:keepNext w:val="0"/>
        <w:keepLines w:val="0"/>
        <w:widowControl w:val="0"/>
        <w:shd w:val="clear" w:color="auto" w:fill="auto"/>
        <w:bidi w:val="0"/>
        <w:spacing w:before="0" w:after="260" w:line="240" w:lineRule="auto"/>
        <w:ind w:left="0" w:right="0" w:firstLine="0"/>
        <w:jc w:val="left"/>
      </w:pPr>
      <w:r>
        <w:rPr>
          <w:rStyle w:val="CharStyle17"/>
        </w:rPr>
        <w:t>zastupuje: PhDr. jan Šmolka, ředitel</w:t>
      </w:r>
    </w:p>
    <w:p>
      <w:pPr>
        <w:pStyle w:val="Style16"/>
        <w:keepNext w:val="0"/>
        <w:keepLines w:val="0"/>
        <w:widowControl w:val="0"/>
        <w:shd w:val="clear" w:color="auto" w:fill="auto"/>
        <w:bidi w:val="0"/>
        <w:spacing w:before="0" w:after="100" w:line="382" w:lineRule="auto"/>
        <w:ind w:left="0" w:right="0" w:firstLine="0"/>
        <w:jc w:val="left"/>
      </w:pPr>
      <w:r>
        <w:rPr>
          <w:rStyle w:val="CharStyle17"/>
        </w:rPr>
        <w:t>Korespondenční adresa je shodná s adresou sídla pojistníka.</w:t>
      </w:r>
    </w:p>
    <w:p>
      <w:pPr>
        <w:pStyle w:val="Style19"/>
        <w:keepNext/>
        <w:keepLines/>
        <w:widowControl w:val="0"/>
        <w:shd w:val="clear" w:color="auto" w:fill="auto"/>
        <w:bidi w:val="0"/>
        <w:spacing w:before="0" w:after="0" w:line="240" w:lineRule="auto"/>
        <w:ind w:left="0" w:right="0" w:firstLine="0"/>
        <w:jc w:val="left"/>
        <w:rPr>
          <w:sz w:val="18"/>
          <w:szCs w:val="18"/>
        </w:rPr>
      </w:pPr>
      <w:bookmarkStart w:id="2" w:name="bookmark2"/>
      <w:r>
        <w:rPr>
          <w:rStyle w:val="CharStyle20"/>
          <w:rFonts w:ascii="Calibri" w:eastAsia="Calibri" w:hAnsi="Calibri" w:cs="Calibri"/>
          <w:b/>
          <w:bCs/>
          <w:sz w:val="18"/>
          <w:szCs w:val="18"/>
        </w:rPr>
        <w:t>Kontaktní údaje:</w:t>
      </w:r>
      <w:bookmarkEnd w:id="2"/>
    </w:p>
    <w:p>
      <w:pPr>
        <w:pStyle w:val="Style16"/>
        <w:keepNext w:val="0"/>
        <w:keepLines w:val="0"/>
        <w:widowControl w:val="0"/>
        <w:numPr>
          <w:ilvl w:val="0"/>
          <w:numId w:val="1"/>
        </w:numPr>
        <w:shd w:val="clear" w:color="auto" w:fill="auto"/>
        <w:tabs>
          <w:tab w:pos="696" w:val="left"/>
        </w:tabs>
        <w:bidi w:val="0"/>
        <w:spacing w:before="0" w:after="0" w:line="240" w:lineRule="auto"/>
        <w:ind w:left="0" w:right="0" w:firstLine="360"/>
        <w:jc w:val="left"/>
      </w:pPr>
      <w:r>
        <w:rPr>
          <w:rStyle w:val="CharStyle17"/>
        </w:rPr>
        <w:t>mobilní telefon: XXXXX</w:t>
      </w:r>
    </w:p>
    <w:p>
      <w:pPr>
        <w:pStyle w:val="Style16"/>
        <w:keepNext w:val="0"/>
        <w:keepLines w:val="0"/>
        <w:widowControl w:val="0"/>
        <w:numPr>
          <w:ilvl w:val="0"/>
          <w:numId w:val="1"/>
        </w:numPr>
        <w:shd w:val="clear" w:color="auto" w:fill="auto"/>
        <w:tabs>
          <w:tab w:pos="696" w:val="left"/>
        </w:tabs>
        <w:bidi w:val="0"/>
        <w:spacing w:before="0" w:after="0" w:line="240" w:lineRule="auto"/>
        <w:ind w:left="0" w:right="0" w:firstLine="360"/>
        <w:jc w:val="left"/>
      </w:pPr>
      <w:r>
        <w:rPr>
          <w:rStyle w:val="CharStyle17"/>
        </w:rPr>
        <w:t>e-mail: XXXXX</w:t>
      </w:r>
    </w:p>
    <w:p>
      <w:pPr>
        <w:pStyle w:val="Style16"/>
        <w:keepNext w:val="0"/>
        <w:keepLines w:val="0"/>
        <w:widowControl w:val="0"/>
        <w:numPr>
          <w:ilvl w:val="0"/>
          <w:numId w:val="1"/>
        </w:numPr>
        <w:shd w:val="clear" w:color="auto" w:fill="auto"/>
        <w:tabs>
          <w:tab w:pos="696" w:val="left"/>
        </w:tabs>
        <w:bidi w:val="0"/>
        <w:spacing w:before="0" w:after="260" w:line="240" w:lineRule="auto"/>
        <w:ind w:left="0" w:right="0" w:firstLine="360"/>
        <w:jc w:val="left"/>
      </w:pPr>
      <w:r>
        <w:rPr>
          <w:rStyle w:val="CharStyle17"/>
        </w:rPr>
        <w:t>telefon: XXXXX</w:t>
      </w:r>
    </w:p>
    <w:p>
      <w:pPr>
        <w:pStyle w:val="Style19"/>
        <w:keepNext/>
        <w:keepLines/>
        <w:widowControl w:val="0"/>
        <w:shd w:val="clear" w:color="auto" w:fill="auto"/>
        <w:bidi w:val="0"/>
        <w:spacing w:before="0" w:after="100" w:line="437" w:lineRule="auto"/>
        <w:ind w:left="0" w:right="0" w:firstLine="0"/>
        <w:jc w:val="left"/>
      </w:pPr>
      <w:bookmarkStart w:id="4" w:name="bookmark4"/>
      <w:r>
        <w:rPr>
          <w:rStyle w:val="CharStyle20"/>
          <w:b/>
          <w:bCs/>
        </w:rPr>
        <w:t>uzavírají</w:t>
      </w:r>
      <w:bookmarkEnd w:id="4"/>
    </w:p>
    <w:p>
      <w:pPr>
        <w:pStyle w:val="Style16"/>
        <w:keepNext w:val="0"/>
        <w:keepLines w:val="0"/>
        <w:widowControl w:val="0"/>
        <w:shd w:val="clear" w:color="auto" w:fill="auto"/>
        <w:bidi w:val="0"/>
        <w:spacing w:before="0" w:after="6340" w:line="254" w:lineRule="auto"/>
        <w:ind w:left="0" w:right="0" w:firstLine="0"/>
        <w:jc w:val="left"/>
      </w:pPr>
      <w:r>
        <w:rPr>
          <w:rStyle w:val="CharStyle17"/>
        </w:rPr>
        <w:t>podle zákona č. 89/2012 Sb., občanský zákoník, v platném znění, tuto pojistnou smlouvu (dále jen "smlouva”), která spolu s pojistnými podmínkami nebo smluvními ujednáními pojistitele uvedenými v článku 1. této smlouvy a přílohami této smlouvy tvoří nedílný celek.</w:t>
      </w:r>
    </w:p>
    <w:p>
      <w:pPr>
        <w:pStyle w:val="Style2"/>
        <w:keepNext w:val="0"/>
        <w:keepLines w:val="0"/>
        <w:widowControl w:val="0"/>
        <w:shd w:val="clear" w:color="auto" w:fill="auto"/>
        <w:bidi w:val="0"/>
        <w:spacing w:before="0" w:after="0" w:line="240" w:lineRule="auto"/>
        <w:ind w:left="0" w:right="0" w:firstLine="0"/>
        <w:jc w:val="left"/>
      </w:pPr>
      <w:r>
        <w:rPr>
          <w:rStyle w:val="CharStyle3"/>
          <w:b/>
          <w:bCs/>
          <w:sz w:val="10"/>
          <w:szCs w:val="10"/>
        </w:rPr>
        <w:t xml:space="preserve">T20 </w:t>
      </w:r>
      <w:r>
        <w:rPr>
          <w:rStyle w:val="CharStyle3"/>
        </w:rPr>
        <w:t>PnD Z27677 P100 AG000 108362 rA MKN</w:t>
      </w:r>
    </w:p>
    <w:p>
      <w:pPr>
        <w:pStyle w:val="Style14"/>
        <w:keepNext w:val="0"/>
        <w:keepLines w:val="0"/>
        <w:widowControl w:val="0"/>
        <w:shd w:val="clear" w:color="auto" w:fill="auto"/>
        <w:bidi w:val="0"/>
        <w:spacing w:before="0" w:after="0" w:line="300" w:lineRule="auto"/>
        <w:ind w:left="0" w:right="0" w:firstLine="0"/>
        <w:jc w:val="center"/>
      </w:pPr>
      <w:r>
        <w:rPr>
          <w:rStyle w:val="CharStyle15"/>
          <w:b/>
          <w:bCs/>
        </w:rPr>
        <w:t>ČLÁNEK 1.</w:t>
      </w:r>
    </w:p>
    <w:p>
      <w:pPr>
        <w:pStyle w:val="Style14"/>
        <w:keepNext w:val="0"/>
        <w:keepLines w:val="0"/>
        <w:widowControl w:val="0"/>
        <w:shd w:val="clear" w:color="auto" w:fill="auto"/>
        <w:bidi w:val="0"/>
        <w:spacing w:before="0" w:after="340" w:line="300" w:lineRule="auto"/>
        <w:ind w:left="0" w:right="0" w:firstLine="0"/>
        <w:jc w:val="center"/>
      </w:pPr>
      <w:r>
        <w:rPr>
          <w:rStyle w:val="CharStyle15"/>
          <w:b/>
          <w:bCs/>
        </w:rPr>
        <w:t>ÚVODNÍ USTANOVENÍ</w:t>
      </w:r>
    </w:p>
    <w:p>
      <w:pPr>
        <w:pStyle w:val="Style19"/>
        <w:keepNext/>
        <w:keepLines/>
        <w:widowControl w:val="0"/>
        <w:numPr>
          <w:ilvl w:val="0"/>
          <w:numId w:val="3"/>
        </w:numPr>
        <w:shd w:val="clear" w:color="auto" w:fill="auto"/>
        <w:tabs>
          <w:tab w:pos="338" w:val="left"/>
        </w:tabs>
        <w:bidi w:val="0"/>
        <w:spacing w:before="0" w:after="0" w:line="300" w:lineRule="auto"/>
        <w:ind w:left="0" w:right="0" w:firstLine="0"/>
        <w:jc w:val="left"/>
      </w:pPr>
      <w:bookmarkStart w:id="6" w:name="bookmark6"/>
      <w:r>
        <w:rPr>
          <w:rStyle w:val="CharStyle20"/>
          <w:b/>
          <w:bCs/>
        </w:rPr>
        <w:t>POJIŠTĚNÝ</w:t>
      </w:r>
      <w:bookmarkEnd w:id="6"/>
    </w:p>
    <w:p>
      <w:pPr>
        <w:pStyle w:val="Style16"/>
        <w:keepNext w:val="0"/>
        <w:keepLines w:val="0"/>
        <w:widowControl w:val="0"/>
        <w:shd w:val="clear" w:color="auto" w:fill="auto"/>
        <w:bidi w:val="0"/>
        <w:spacing w:before="0" w:after="340" w:line="264" w:lineRule="auto"/>
        <w:ind w:left="0" w:right="0" w:firstLine="0"/>
        <w:jc w:val="left"/>
      </w:pPr>
      <w:r>
        <w:rPr>
          <w:rStyle w:val="CharStyle17"/>
        </w:rPr>
        <w:t>Pojištěným je pojístník.</w:t>
      </w:r>
    </w:p>
    <w:p>
      <w:pPr>
        <w:pStyle w:val="Style19"/>
        <w:keepNext/>
        <w:keepLines/>
        <w:widowControl w:val="0"/>
        <w:numPr>
          <w:ilvl w:val="0"/>
          <w:numId w:val="3"/>
        </w:numPr>
        <w:shd w:val="clear" w:color="auto" w:fill="auto"/>
        <w:tabs>
          <w:tab w:pos="338" w:val="left"/>
        </w:tabs>
        <w:bidi w:val="0"/>
        <w:spacing w:before="0" w:after="0" w:line="300" w:lineRule="auto"/>
        <w:ind w:left="0" w:right="0" w:firstLine="0"/>
        <w:jc w:val="left"/>
      </w:pPr>
      <w:bookmarkStart w:id="8" w:name="bookmark8"/>
      <w:r>
        <w:rPr>
          <w:rStyle w:val="CharStyle20"/>
          <w:b/>
          <w:bCs/>
        </w:rPr>
        <w:t>PŘEDMĚT ČINNOSTI POJIŠTĚNÉHO</w:t>
      </w:r>
      <w:bookmarkEnd w:id="8"/>
    </w:p>
    <w:p>
      <w:pPr>
        <w:pStyle w:val="Style16"/>
        <w:keepNext w:val="0"/>
        <w:keepLines w:val="0"/>
        <w:widowControl w:val="0"/>
        <w:shd w:val="clear" w:color="auto" w:fill="auto"/>
        <w:bidi w:val="0"/>
        <w:spacing w:before="0" w:after="0" w:line="264" w:lineRule="auto"/>
        <w:ind w:left="0" w:right="0" w:firstLine="0"/>
        <w:jc w:val="left"/>
      </w:pPr>
      <w:r>
        <w:rPr>
          <w:rStyle w:val="CharStyle17"/>
        </w:rPr>
        <w:t>Předmět činnosti pojištěného je ke dni uzavření této smlouvy vymezen v následujících dokumentech:</w:t>
      </w:r>
    </w:p>
    <w:p>
      <w:pPr>
        <w:pStyle w:val="Style16"/>
        <w:keepNext w:val="0"/>
        <w:keepLines w:val="0"/>
        <w:widowControl w:val="0"/>
        <w:shd w:val="clear" w:color="auto" w:fill="auto"/>
        <w:bidi w:val="0"/>
        <w:spacing w:before="0" w:after="340" w:line="264" w:lineRule="auto"/>
        <w:ind w:left="0" w:right="0" w:firstLine="340"/>
        <w:jc w:val="left"/>
      </w:pPr>
      <w:r>
        <w:rPr>
          <w:rStyle w:val="CharStyle17"/>
        </w:rPr>
        <w:t>• rejstřík škol ze dne 9. 4. 2025</w:t>
      </w:r>
    </w:p>
    <w:p>
      <w:pPr>
        <w:pStyle w:val="Style19"/>
        <w:keepNext/>
        <w:keepLines/>
        <w:widowControl w:val="0"/>
        <w:numPr>
          <w:ilvl w:val="0"/>
          <w:numId w:val="3"/>
        </w:numPr>
        <w:shd w:val="clear" w:color="auto" w:fill="auto"/>
        <w:tabs>
          <w:tab w:pos="338" w:val="left"/>
        </w:tabs>
        <w:bidi w:val="0"/>
        <w:spacing w:before="0" w:after="0" w:line="264" w:lineRule="auto"/>
        <w:ind w:left="0" w:right="0" w:firstLine="0"/>
        <w:jc w:val="left"/>
      </w:pPr>
      <w:bookmarkStart w:id="10" w:name="bookmark10"/>
      <w:r>
        <w:rPr>
          <w:rStyle w:val="CharStyle20"/>
          <w:b/>
          <w:bCs/>
        </w:rPr>
        <w:t>DOKUMENTY K POJISTNÉ SMLOUVĚ</w:t>
      </w:r>
      <w:bookmarkEnd w:id="10"/>
    </w:p>
    <w:p>
      <w:pPr>
        <w:pStyle w:val="Style16"/>
        <w:keepNext w:val="0"/>
        <w:keepLines w:val="0"/>
        <w:widowControl w:val="0"/>
        <w:shd w:val="clear" w:color="auto" w:fill="auto"/>
        <w:bidi w:val="0"/>
        <w:spacing w:before="0" w:after="220" w:line="264" w:lineRule="auto"/>
        <w:ind w:left="0" w:right="0" w:firstLine="0"/>
        <w:jc w:val="left"/>
      </w:pPr>
      <w:r>
        <w:rPr>
          <w:rStyle w:val="CharStyle17"/>
        </w:rPr>
        <w:t>Pro pojištění sjednané touto smlouvou platí občanský zákoník a ostatní obecně závazné právní předpisy v platném znění, ustanovení pojistné smlouvy a následující pojistné podmínky / smluvní ujednání:</w:t>
      </w:r>
    </w:p>
    <w:p>
      <w:pPr>
        <w:pStyle w:val="Style16"/>
        <w:keepNext w:val="0"/>
        <w:keepLines w:val="0"/>
        <w:widowControl w:val="0"/>
        <w:shd w:val="clear" w:color="auto" w:fill="auto"/>
        <w:bidi w:val="0"/>
        <w:spacing w:before="0" w:after="0" w:line="264" w:lineRule="auto"/>
        <w:ind w:left="0" w:right="0" w:firstLine="0"/>
        <w:jc w:val="left"/>
      </w:pPr>
      <w:r>
        <w:rPr>
          <w:rStyle w:val="CharStyle17"/>
          <w:b/>
          <w:bCs/>
        </w:rPr>
        <w:t xml:space="preserve">VPP P-100/14 - </w:t>
      </w:r>
      <w:r>
        <w:rPr>
          <w:rStyle w:val="CharStyle17"/>
        </w:rPr>
        <w:t>Všeobecné pojistné podmínky pro pojištění majetku a odpovědnosti a dále:</w:t>
      </w:r>
    </w:p>
    <w:p>
      <w:pPr>
        <w:pStyle w:val="Style16"/>
        <w:keepNext w:val="0"/>
        <w:keepLines w:val="0"/>
        <w:widowControl w:val="0"/>
        <w:shd w:val="clear" w:color="auto" w:fill="auto"/>
        <w:bidi w:val="0"/>
        <w:spacing w:before="0" w:after="0" w:line="264" w:lineRule="auto"/>
        <w:ind w:left="0" w:right="0" w:firstLine="0"/>
        <w:jc w:val="left"/>
      </w:pPr>
      <w:r>
        <w:rPr>
          <w:rStyle w:val="CharStyle17"/>
          <w:b/>
          <w:bCs/>
        </w:rPr>
        <w:t>Zvláštní pojistné podmínky</w:t>
      </w:r>
    </w:p>
    <w:p>
      <w:pPr>
        <w:pStyle w:val="Style16"/>
        <w:keepNext w:val="0"/>
        <w:keepLines w:val="0"/>
        <w:widowControl w:val="0"/>
        <w:numPr>
          <w:ilvl w:val="0"/>
          <w:numId w:val="5"/>
        </w:numPr>
        <w:shd w:val="clear" w:color="auto" w:fill="auto"/>
        <w:tabs>
          <w:tab w:pos="672" w:val="left"/>
        </w:tabs>
        <w:bidi w:val="0"/>
        <w:spacing w:before="0" w:after="0" w:line="264" w:lineRule="auto"/>
        <w:ind w:left="0" w:right="0" w:firstLine="340"/>
        <w:jc w:val="both"/>
      </w:pPr>
      <w:r>
        <w:rPr>
          <w:rStyle w:val="CharStyle17"/>
        </w:rPr>
        <w:t>ZPP P-150/14 - pro živelní pojištění</w:t>
      </w:r>
    </w:p>
    <w:p>
      <w:pPr>
        <w:pStyle w:val="Style16"/>
        <w:keepNext w:val="0"/>
        <w:keepLines w:val="0"/>
        <w:widowControl w:val="0"/>
        <w:numPr>
          <w:ilvl w:val="0"/>
          <w:numId w:val="5"/>
        </w:numPr>
        <w:shd w:val="clear" w:color="auto" w:fill="auto"/>
        <w:tabs>
          <w:tab w:pos="672" w:val="left"/>
        </w:tabs>
        <w:bidi w:val="0"/>
        <w:spacing w:before="0" w:after="0" w:line="264" w:lineRule="auto"/>
        <w:ind w:left="0" w:right="0" w:firstLine="340"/>
        <w:jc w:val="both"/>
      </w:pPr>
      <w:r>
        <w:rPr>
          <w:rStyle w:val="CharStyle17"/>
        </w:rPr>
        <w:t>ZPP P-200/14 - pro pojištění pro případ odcizení</w:t>
      </w:r>
    </w:p>
    <w:p>
      <w:pPr>
        <w:pStyle w:val="Style16"/>
        <w:keepNext w:val="0"/>
        <w:keepLines w:val="0"/>
        <w:widowControl w:val="0"/>
        <w:numPr>
          <w:ilvl w:val="0"/>
          <w:numId w:val="5"/>
        </w:numPr>
        <w:shd w:val="clear" w:color="auto" w:fill="auto"/>
        <w:tabs>
          <w:tab w:pos="672" w:val="left"/>
        </w:tabs>
        <w:bidi w:val="0"/>
        <w:spacing w:before="0" w:after="220" w:line="264" w:lineRule="auto"/>
        <w:ind w:left="0" w:right="0" w:firstLine="340"/>
        <w:jc w:val="both"/>
      </w:pPr>
      <w:r>
        <w:rPr>
          <w:rStyle w:val="CharStyle17"/>
        </w:rPr>
        <w:t>ZPP P-600/14 - pro pojištění odpovědnosti za újmu</w:t>
      </w:r>
    </w:p>
    <w:p>
      <w:pPr>
        <w:pStyle w:val="Style19"/>
        <w:keepNext/>
        <w:keepLines/>
        <w:widowControl w:val="0"/>
        <w:shd w:val="clear" w:color="auto" w:fill="auto"/>
        <w:bidi w:val="0"/>
        <w:spacing w:before="0" w:after="0" w:line="264" w:lineRule="auto"/>
        <w:ind w:left="0" w:right="0" w:firstLine="0"/>
        <w:jc w:val="left"/>
        <w:rPr>
          <w:sz w:val="18"/>
          <w:szCs w:val="18"/>
        </w:rPr>
      </w:pPr>
      <w:bookmarkStart w:id="12" w:name="bookmark12"/>
      <w:r>
        <w:rPr>
          <w:rStyle w:val="CharStyle20"/>
          <w:rFonts w:ascii="Calibri" w:eastAsia="Calibri" w:hAnsi="Calibri" w:cs="Calibri"/>
          <w:b/>
          <w:bCs/>
          <w:sz w:val="18"/>
          <w:szCs w:val="18"/>
        </w:rPr>
        <w:t>Dodatkové pojistné podmínky</w:t>
      </w:r>
      <w:bookmarkEnd w:id="12"/>
    </w:p>
    <w:p>
      <w:pPr>
        <w:pStyle w:val="Style16"/>
        <w:keepNext w:val="0"/>
        <w:keepLines w:val="0"/>
        <w:widowControl w:val="0"/>
        <w:numPr>
          <w:ilvl w:val="0"/>
          <w:numId w:val="5"/>
        </w:numPr>
        <w:shd w:val="clear" w:color="auto" w:fill="auto"/>
        <w:tabs>
          <w:tab w:pos="672" w:val="left"/>
        </w:tabs>
        <w:bidi w:val="0"/>
        <w:spacing w:before="0" w:after="220" w:line="264" w:lineRule="auto"/>
        <w:ind w:left="0" w:right="0" w:firstLine="340"/>
        <w:jc w:val="both"/>
      </w:pPr>
      <w:r>
        <w:rPr>
          <w:rStyle w:val="CharStyle17"/>
        </w:rPr>
        <w:t>DPP P-205/14 - upravující způsoby zabezpečení</w:t>
      </w:r>
    </w:p>
    <w:p>
      <w:pPr>
        <w:pStyle w:val="Style19"/>
        <w:keepNext/>
        <w:keepLines/>
        <w:widowControl w:val="0"/>
        <w:shd w:val="clear" w:color="auto" w:fill="auto"/>
        <w:bidi w:val="0"/>
        <w:spacing w:before="0" w:after="0" w:line="264" w:lineRule="auto"/>
        <w:ind w:left="0" w:right="0" w:firstLine="0"/>
        <w:jc w:val="left"/>
        <w:rPr>
          <w:sz w:val="18"/>
          <w:szCs w:val="18"/>
        </w:rPr>
      </w:pPr>
      <w:bookmarkStart w:id="14" w:name="bookmark14"/>
      <w:r>
        <w:rPr>
          <w:rStyle w:val="CharStyle20"/>
          <w:rFonts w:ascii="Calibri" w:eastAsia="Calibri" w:hAnsi="Calibri" w:cs="Calibri"/>
          <w:b/>
          <w:bCs/>
          <w:sz w:val="18"/>
          <w:szCs w:val="18"/>
        </w:rPr>
        <w:t xml:space="preserve">Smluvní ujednání uvedená v příloze </w:t>
      </w:r>
      <w:r>
        <w:rPr>
          <w:rStyle w:val="CharStyle20"/>
          <w:rFonts w:ascii="Calibri" w:eastAsia="Calibri" w:hAnsi="Calibri" w:cs="Calibri"/>
          <w:sz w:val="18"/>
          <w:szCs w:val="18"/>
        </w:rPr>
        <w:t>této smlouvy</w:t>
      </w:r>
      <w:bookmarkEnd w:id="14"/>
    </w:p>
    <w:p>
      <w:pPr>
        <w:pStyle w:val="Style16"/>
        <w:keepNext w:val="0"/>
        <w:keepLines w:val="0"/>
        <w:widowControl w:val="0"/>
        <w:numPr>
          <w:ilvl w:val="0"/>
          <w:numId w:val="5"/>
        </w:numPr>
        <w:shd w:val="clear" w:color="auto" w:fill="auto"/>
        <w:tabs>
          <w:tab w:pos="672" w:val="left"/>
        </w:tabs>
        <w:bidi w:val="0"/>
        <w:spacing w:before="0" w:after="340" w:line="264" w:lineRule="auto"/>
        <w:ind w:left="0" w:right="0" w:firstLine="340"/>
        <w:jc w:val="both"/>
      </w:pPr>
      <w:r>
        <w:rPr>
          <w:rStyle w:val="CharStyle17"/>
        </w:rPr>
        <w:t>ZSU-500/24 - Zvláštní smluvní ujednání k pojištění odpovědnosti za újmu</w:t>
      </w:r>
    </w:p>
    <w:p>
      <w:pPr>
        <w:pStyle w:val="Style14"/>
        <w:keepNext w:val="0"/>
        <w:keepLines w:val="0"/>
        <w:widowControl w:val="0"/>
        <w:numPr>
          <w:ilvl w:val="0"/>
          <w:numId w:val="3"/>
        </w:numPr>
        <w:shd w:val="clear" w:color="auto" w:fill="auto"/>
        <w:tabs>
          <w:tab w:pos="338" w:val="left"/>
        </w:tabs>
        <w:bidi w:val="0"/>
        <w:spacing w:before="0" w:after="0"/>
        <w:ind w:left="0" w:right="0" w:firstLine="0"/>
        <w:jc w:val="left"/>
      </w:pPr>
      <w:r>
        <w:rPr>
          <w:rStyle w:val="CharStyle15"/>
          <w:b/>
          <w:bCs/>
        </w:rPr>
        <w:t>DOBA TRVÁNÍ POJIŠTĚNÍ</w:t>
      </w:r>
    </w:p>
    <w:p>
      <w:pPr>
        <w:pStyle w:val="Style16"/>
        <w:keepNext w:val="0"/>
        <w:keepLines w:val="0"/>
        <w:widowControl w:val="0"/>
        <w:numPr>
          <w:ilvl w:val="0"/>
          <w:numId w:val="7"/>
        </w:numPr>
        <w:shd w:val="clear" w:color="auto" w:fill="auto"/>
        <w:tabs>
          <w:tab w:pos="672" w:val="left"/>
        </w:tabs>
        <w:bidi w:val="0"/>
        <w:spacing w:before="0" w:after="0"/>
        <w:ind w:left="0" w:right="0" w:firstLine="340"/>
        <w:jc w:val="both"/>
      </w:pPr>
      <w:r>
        <w:rPr>
          <w:rStyle w:val="CharStyle17"/>
          <w:b/>
          <w:bCs/>
        </w:rPr>
        <w:t>Počátek pojištění: 12. 6.2025</w:t>
      </w:r>
    </w:p>
    <w:p>
      <w:pPr>
        <w:pStyle w:val="Style16"/>
        <w:keepNext w:val="0"/>
        <w:keepLines w:val="0"/>
        <w:widowControl w:val="0"/>
        <w:shd w:val="clear" w:color="auto" w:fill="auto"/>
        <w:bidi w:val="0"/>
        <w:spacing w:before="0" w:after="0"/>
        <w:ind w:left="660" w:right="0" w:firstLine="20"/>
        <w:jc w:val="left"/>
      </w:pPr>
      <w:r>
        <w:rPr>
          <w:rStyle w:val="CharStyle17"/>
        </w:rPr>
        <w:t xml:space="preserve">Pojištění se sjednává </w:t>
      </w:r>
      <w:r>
        <w:rPr>
          <w:rStyle w:val="CharStyle17"/>
          <w:b/>
          <w:bCs/>
        </w:rPr>
        <w:t xml:space="preserve">na dobu jednoho pojistného roku. </w:t>
      </w:r>
      <w:r>
        <w:rPr>
          <w:rStyle w:val="CharStyle17"/>
        </w:rP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pPr>
        <w:pStyle w:val="Style16"/>
        <w:keepNext w:val="0"/>
        <w:keepLines w:val="0"/>
        <w:widowControl w:val="0"/>
        <w:numPr>
          <w:ilvl w:val="0"/>
          <w:numId w:val="7"/>
        </w:numPr>
        <w:shd w:val="clear" w:color="auto" w:fill="auto"/>
        <w:tabs>
          <w:tab w:pos="672" w:val="left"/>
        </w:tabs>
        <w:bidi w:val="0"/>
        <w:spacing w:before="0" w:after="220"/>
        <w:ind w:left="0" w:right="0" w:firstLine="340"/>
        <w:jc w:val="both"/>
      </w:pPr>
      <w:r>
        <w:rPr>
          <w:rStyle w:val="CharStyle17"/>
          <w:b/>
          <w:bCs/>
        </w:rPr>
        <w:t xml:space="preserve">Pojištění však zanikne nejpozději k 11. 6.2028 </w:t>
      </w:r>
      <w:r>
        <w:rPr>
          <w:rStyle w:val="CharStyle17"/>
        </w:rPr>
        <w:t>po tomto dni již k prodloužení pojištění nedochází.</w:t>
      </w:r>
    </w:p>
    <w:p>
      <w:pPr>
        <w:pStyle w:val="Style14"/>
        <w:keepNext w:val="0"/>
        <w:keepLines w:val="0"/>
        <w:widowControl w:val="0"/>
        <w:shd w:val="clear" w:color="auto" w:fill="auto"/>
        <w:bidi w:val="0"/>
        <w:spacing w:before="0" w:after="0" w:line="300" w:lineRule="auto"/>
        <w:ind w:left="0" w:right="0" w:firstLine="0"/>
        <w:jc w:val="center"/>
      </w:pPr>
      <w:r>
        <w:rPr>
          <w:rStyle w:val="CharStyle15"/>
          <w:b/>
          <w:bCs/>
        </w:rPr>
        <w:t>ČLÁNEK 2.</w:t>
      </w:r>
    </w:p>
    <w:p>
      <w:pPr>
        <w:pStyle w:val="Style14"/>
        <w:keepNext w:val="0"/>
        <w:keepLines w:val="0"/>
        <w:widowControl w:val="0"/>
        <w:shd w:val="clear" w:color="auto" w:fill="auto"/>
        <w:bidi w:val="0"/>
        <w:spacing w:before="0" w:after="220" w:line="300" w:lineRule="auto"/>
        <w:ind w:left="0" w:right="0" w:firstLine="0"/>
        <w:jc w:val="center"/>
      </w:pPr>
      <w:r>
        <w:rPr>
          <w:rStyle w:val="CharStyle15"/>
          <w:b/>
          <w:bCs/>
        </w:rPr>
        <w:t>MÍSTA, ZPŮSOBY, PŘEDMĚTY A DRUHY POJIŠTĚNÍ</w:t>
      </w:r>
    </w:p>
    <w:p>
      <w:pPr>
        <w:pStyle w:val="Style19"/>
        <w:keepNext/>
        <w:keepLines/>
        <w:widowControl w:val="0"/>
        <w:numPr>
          <w:ilvl w:val="0"/>
          <w:numId w:val="9"/>
        </w:numPr>
        <w:shd w:val="clear" w:color="auto" w:fill="auto"/>
        <w:tabs>
          <w:tab w:pos="338" w:val="left"/>
        </w:tabs>
        <w:bidi w:val="0"/>
        <w:spacing w:before="0" w:after="0" w:line="300" w:lineRule="auto"/>
        <w:ind w:left="0" w:right="0" w:firstLine="0"/>
        <w:jc w:val="left"/>
      </w:pPr>
      <w:bookmarkStart w:id="16" w:name="bookmark16"/>
      <w:r>
        <w:rPr>
          <w:rStyle w:val="CharStyle20"/>
          <w:b/>
          <w:bCs/>
        </w:rPr>
        <w:t>OBECNÁ UJEDNÁNÍ PRO POJIŠTĚNÍ MAJETKU</w:t>
      </w:r>
      <w:bookmarkEnd w:id="16"/>
    </w:p>
    <w:p>
      <w:pPr>
        <w:pStyle w:val="Style16"/>
        <w:keepNext w:val="0"/>
        <w:keepLines w:val="0"/>
        <w:widowControl w:val="0"/>
        <w:shd w:val="clear" w:color="auto" w:fill="auto"/>
        <w:bidi w:val="0"/>
        <w:spacing w:before="0" w:after="220" w:line="264" w:lineRule="auto"/>
        <w:ind w:left="0" w:right="0" w:firstLine="0"/>
        <w:jc w:val="left"/>
      </w:pPr>
      <w:r>
        <w:rPr>
          <w:rStyle w:val="CharStyle17"/>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pPr>
        <w:pStyle w:val="Style16"/>
        <w:keepNext w:val="0"/>
        <w:keepLines w:val="0"/>
        <w:widowControl w:val="0"/>
        <w:shd w:val="clear" w:color="auto" w:fill="auto"/>
        <w:bidi w:val="0"/>
        <w:spacing w:before="0" w:after="0" w:line="264" w:lineRule="auto"/>
        <w:ind w:left="0" w:right="0" w:firstLine="0"/>
        <w:jc w:val="left"/>
      </w:pPr>
      <w:r>
        <w:rPr>
          <w:rStyle w:val="CharStyle17"/>
          <w:b/>
          <w:bCs/>
        </w:rPr>
        <w:t>MÍSTA POJIŠTĚNÍ PRO POJIŠTĚNÍ MAJETKU:</w:t>
      </w:r>
    </w:p>
    <w:p>
      <w:pPr>
        <w:pStyle w:val="Style16"/>
        <w:keepNext w:val="0"/>
        <w:keepLines w:val="0"/>
        <w:widowControl w:val="0"/>
        <w:shd w:val="clear" w:color="auto" w:fill="auto"/>
        <w:bidi w:val="0"/>
        <w:spacing w:before="0" w:after="0" w:line="264" w:lineRule="auto"/>
        <w:ind w:left="0" w:right="0" w:firstLine="340"/>
        <w:jc w:val="left"/>
      </w:pPr>
      <w:r>
        <w:rPr>
          <w:rStyle w:val="CharStyle17"/>
          <w:b/>
          <w:bCs/>
        </w:rPr>
        <w:t>• Místem pojištění jsou níže uvedené adresy:</w:t>
      </w:r>
    </w:p>
    <w:p>
      <w:pPr>
        <w:pStyle w:val="Style16"/>
        <w:keepNext w:val="0"/>
        <w:keepLines w:val="0"/>
        <w:widowControl w:val="0"/>
        <w:shd w:val="clear" w:color="auto" w:fill="auto"/>
        <w:tabs>
          <w:tab w:pos="948" w:val="left"/>
        </w:tabs>
        <w:bidi w:val="0"/>
        <w:spacing w:before="0" w:after="0" w:line="264" w:lineRule="auto"/>
        <w:ind w:left="0" w:right="0" w:firstLine="660"/>
        <w:jc w:val="both"/>
      </w:pPr>
      <w:r>
        <w:rPr>
          <w:rStyle w:val="CharStyle17"/>
        </w:rPr>
        <w:t>o</w:t>
        <w:tab/>
        <w:t>]ana Masaryka 64/16, Praha, 12000; popis adresy: Dětský domov a ZŠ Jana Masaryka</w:t>
      </w:r>
    </w:p>
    <w:p>
      <w:pPr>
        <w:pStyle w:val="Style16"/>
        <w:keepNext w:val="0"/>
        <w:keepLines w:val="0"/>
        <w:widowControl w:val="0"/>
        <w:shd w:val="clear" w:color="auto" w:fill="auto"/>
        <w:tabs>
          <w:tab w:pos="948" w:val="left"/>
        </w:tabs>
        <w:bidi w:val="0"/>
        <w:spacing w:before="0" w:after="0" w:line="264" w:lineRule="auto"/>
        <w:ind w:left="0" w:right="0" w:firstLine="660"/>
        <w:jc w:val="both"/>
      </w:pPr>
      <w:r>
        <w:rPr>
          <w:rStyle w:val="CharStyle17"/>
        </w:rPr>
        <w:t>o</w:t>
        <w:tab/>
        <w:t>Ječná 1434/11, Praha, 12000; popis adresy: vlastní věci a vybavení v pronajatých prostorách na adrese Ječná</w:t>
      </w:r>
    </w:p>
    <w:p>
      <w:pPr>
        <w:pStyle w:val="Style16"/>
        <w:keepNext w:val="0"/>
        <w:keepLines w:val="0"/>
        <w:widowControl w:val="0"/>
        <w:shd w:val="clear" w:color="auto" w:fill="auto"/>
        <w:bidi w:val="0"/>
        <w:spacing w:before="0" w:after="0" w:line="264" w:lineRule="auto"/>
        <w:ind w:left="0" w:right="0" w:firstLine="660"/>
        <w:jc w:val="both"/>
      </w:pPr>
      <w:r>
        <w:rPr>
          <w:rStyle w:val="CharStyle17"/>
        </w:rPr>
        <w:t xml:space="preserve">Souhrnně dále v pojistné smlouvě uváděné jako </w:t>
      </w:r>
      <w:r>
        <w:rPr>
          <w:rStyle w:val="CharStyle17"/>
          <w:b/>
          <w:bCs/>
        </w:rPr>
        <w:t>místo pojištění MV</w:t>
      </w:r>
    </w:p>
    <w:p>
      <w:pPr>
        <w:pStyle w:val="Style16"/>
        <w:keepNext w:val="0"/>
        <w:keepLines w:val="0"/>
        <w:widowControl w:val="0"/>
        <w:shd w:val="clear" w:color="auto" w:fill="auto"/>
        <w:bidi w:val="0"/>
        <w:spacing w:before="0" w:after="220" w:line="264" w:lineRule="auto"/>
        <w:ind w:left="0" w:right="0" w:firstLine="660"/>
        <w:jc w:val="both"/>
      </w:pPr>
      <w:r>
        <w:rPr>
          <w:rStyle w:val="CharStyle17"/>
        </w:rPr>
        <w:t>Popis místa pojištění: Dětský domov se školou, středisko výchovné péče a základní škola</w:t>
      </w:r>
    </w:p>
    <w:p>
      <w:pPr>
        <w:pStyle w:val="Style16"/>
        <w:keepNext w:val="0"/>
        <w:keepLines w:val="0"/>
        <w:widowControl w:val="0"/>
        <w:shd w:val="clear" w:color="auto" w:fill="auto"/>
        <w:bidi w:val="0"/>
        <w:spacing w:before="0" w:after="220" w:line="264" w:lineRule="auto"/>
        <w:ind w:left="0" w:right="0" w:firstLine="0"/>
        <w:jc w:val="both"/>
      </w:pPr>
      <w:r>
        <w:rPr>
          <w:rStyle w:val="CharStyle17"/>
        </w:rPr>
        <w:t>není-li dále uvedeno jinak.</w:t>
      </w:r>
    </w:p>
    <w:p>
      <w:pPr>
        <w:pStyle w:val="Style14"/>
        <w:keepNext w:val="0"/>
        <w:keepLines w:val="0"/>
        <w:widowControl w:val="0"/>
        <w:numPr>
          <w:ilvl w:val="0"/>
          <w:numId w:val="9"/>
        </w:numPr>
        <w:shd w:val="clear" w:color="auto" w:fill="auto"/>
        <w:tabs>
          <w:tab w:pos="338" w:val="left"/>
        </w:tabs>
        <w:bidi w:val="0"/>
        <w:spacing w:before="0" w:after="220" w:line="300" w:lineRule="auto"/>
        <w:ind w:left="0" w:right="0" w:firstLine="0"/>
        <w:jc w:val="both"/>
      </w:pPr>
      <w:r>
        <w:rPr>
          <w:rStyle w:val="CharStyle15"/>
          <w:b/>
          <w:bCs/>
        </w:rPr>
        <w:t>POJIŠTĚNÍ MAJETKU NA MÍSTĚ POJIŠTĚNÍ</w:t>
      </w:r>
    </w:p>
    <w:p>
      <w:pPr>
        <w:pStyle w:val="Style14"/>
        <w:keepNext w:val="0"/>
        <w:keepLines w:val="0"/>
        <w:widowControl w:val="0"/>
        <w:numPr>
          <w:ilvl w:val="0"/>
          <w:numId w:val="11"/>
        </w:numPr>
        <w:shd w:val="clear" w:color="auto" w:fill="auto"/>
        <w:tabs>
          <w:tab w:pos="282" w:val="left"/>
        </w:tabs>
        <w:bidi w:val="0"/>
        <w:spacing w:before="0" w:after="140" w:line="264" w:lineRule="auto"/>
        <w:ind w:left="0" w:right="0" w:firstLine="0"/>
        <w:jc w:val="both"/>
      </w:pPr>
      <w:r>
        <w:rPr>
          <w:rStyle w:val="CharStyle15"/>
          <w:rFonts w:ascii="Calibri" w:eastAsia="Calibri" w:hAnsi="Calibri" w:cs="Calibri"/>
          <w:b/>
          <w:bCs/>
          <w:sz w:val="18"/>
          <w:szCs w:val="18"/>
        </w:rPr>
        <w:t xml:space="preserve">.1 </w:t>
      </w:r>
      <w:r>
        <w:rPr>
          <w:rStyle w:val="CharStyle15"/>
          <w:b/>
          <w:bCs/>
        </w:rPr>
        <w:t>MÍSTO POJIŠTĚNÍ MV</w:t>
      </w:r>
    </w:p>
    <w:p>
      <w:pPr>
        <w:pStyle w:val="Style16"/>
        <w:keepNext w:val="0"/>
        <w:keepLines w:val="0"/>
        <w:widowControl w:val="0"/>
        <w:numPr>
          <w:ilvl w:val="2"/>
          <w:numId w:val="13"/>
        </w:numPr>
        <w:shd w:val="clear" w:color="auto" w:fill="auto"/>
        <w:tabs>
          <w:tab w:pos="682" w:val="left"/>
        </w:tabs>
        <w:bidi w:val="0"/>
        <w:spacing w:before="0" w:after="140" w:line="264" w:lineRule="auto"/>
        <w:ind w:left="0" w:right="0" w:firstLine="0"/>
        <w:jc w:val="both"/>
      </w:pPr>
      <w:r>
        <w:rPr>
          <w:rStyle w:val="CharStyle17"/>
          <w:b/>
          <w:bCs/>
        </w:rPr>
        <w:t>ŽIVELNÍ POJIŠTĚNÍ</w:t>
      </w:r>
    </w:p>
    <w:p>
      <w:pPr>
        <w:pStyle w:val="Style16"/>
        <w:keepNext w:val="0"/>
        <w:keepLines w:val="0"/>
        <w:widowControl w:val="0"/>
        <w:numPr>
          <w:ilvl w:val="3"/>
          <w:numId w:val="13"/>
        </w:numPr>
        <w:shd w:val="clear" w:color="auto" w:fill="auto"/>
        <w:tabs>
          <w:tab w:pos="682" w:val="left"/>
        </w:tabs>
        <w:bidi w:val="0"/>
        <w:spacing w:before="0" w:after="220" w:line="264" w:lineRule="auto"/>
        <w:ind w:left="0" w:right="0" w:firstLine="0"/>
        <w:jc w:val="left"/>
      </w:pPr>
      <w:r>
        <w:rPr>
          <w:rStyle w:val="CharStyle17"/>
          <w:b/>
          <w:bCs/>
        </w:rPr>
        <w:t>Základní živelní pojištění</w:t>
      </w:r>
      <w:r>
        <w:br w:type="page"/>
      </w:r>
    </w:p>
    <w:p>
      <w:pPr>
        <w:pStyle w:val="Style25"/>
        <w:keepNext w:val="0"/>
        <w:keepLines w:val="0"/>
        <w:widowControl w:val="0"/>
        <w:shd w:val="clear" w:color="auto" w:fill="auto"/>
        <w:bidi w:val="0"/>
        <w:spacing w:before="0" w:after="0" w:line="240" w:lineRule="auto"/>
        <w:ind w:left="0" w:right="0" w:firstLine="0"/>
        <w:jc w:val="left"/>
      </w:pPr>
      <w:r>
        <w:rPr>
          <w:rStyle w:val="CharStyle26"/>
        </w:rPr>
        <w:t xml:space="preserve">Pojištění se sjednává proti pojistným nebezpečím: </w:t>
      </w:r>
      <w:r>
        <w:rPr>
          <w:rStyle w:val="CharStyle26"/>
          <w:b/>
          <w:bCs/>
        </w:rPr>
        <w:t xml:space="preserve">POŽÁRNÍ NEBEZPEČÍ, NÁRAZ NEBO PÁD A KOUŘ, </w:t>
      </w:r>
      <w:r>
        <w:rPr>
          <w:rStyle w:val="CharStyle26"/>
        </w:rPr>
        <w:t xml:space="preserve">(DÁLE JEN </w:t>
      </w:r>
      <w:r>
        <w:rPr>
          <w:rStyle w:val="CharStyle26"/>
          <w:b/>
          <w:bCs/>
        </w:rPr>
        <w:t>„ZÁKLADNÍ ŽIVELNÍ</w:t>
      </w:r>
    </w:p>
    <w:p>
      <w:pPr>
        <w:pStyle w:val="Style25"/>
        <w:keepNext w:val="0"/>
        <w:keepLines w:val="0"/>
        <w:widowControl w:val="0"/>
        <w:shd w:val="clear" w:color="auto" w:fill="auto"/>
        <w:bidi w:val="0"/>
        <w:spacing w:before="0" w:after="0" w:line="240" w:lineRule="auto"/>
        <w:ind w:left="0" w:right="0" w:firstLine="0"/>
        <w:jc w:val="left"/>
      </w:pPr>
      <w:r>
        <w:rPr>
          <w:rStyle w:val="CharStyle26"/>
          <w:b/>
          <w:bCs/>
        </w:rPr>
        <w:t>POJIŠTĚNÍ").</w:t>
      </w:r>
    </w:p>
    <w:p>
      <w:pPr>
        <w:pStyle w:val="Style25"/>
        <w:keepNext w:val="0"/>
        <w:keepLines w:val="0"/>
        <w:widowControl w:val="0"/>
        <w:shd w:val="clear" w:color="auto" w:fill="auto"/>
        <w:bidi w:val="0"/>
        <w:spacing w:before="0" w:after="0" w:line="240" w:lineRule="auto"/>
        <w:ind w:left="0" w:right="0" w:firstLine="0"/>
        <w:jc w:val="left"/>
      </w:pPr>
      <w:r>
        <w:rPr>
          <w:rStyle w:val="CharStyle26"/>
        </w:rPr>
        <w:t>Pojištění se sjednává pro předměty pojištění v rozsahu a na místě pojištění uvedeném v následující tabulce:</w:t>
      </w:r>
    </w:p>
    <w:tbl>
      <w:tblPr>
        <w:tblOverlap w:val="never"/>
        <w:jc w:val="center"/>
        <w:tblLayout w:type="fixed"/>
      </w:tblPr>
      <w:tblGrid>
        <w:gridCol w:w="552"/>
        <w:gridCol w:w="2323"/>
        <w:gridCol w:w="1910"/>
        <w:gridCol w:w="1502"/>
        <w:gridCol w:w="1224"/>
        <w:gridCol w:w="1502"/>
        <w:gridCol w:w="1378"/>
      </w:tblGrid>
      <w:tr>
        <w:trPr>
          <w:trHeight w:val="360" w:hRule="exact"/>
        </w:trPr>
        <w:tc>
          <w:tcPr>
            <w:gridSpan w:val="2"/>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Místo pojištěni:</w:t>
            </w:r>
          </w:p>
        </w:tc>
        <w:tc>
          <w:tcPr>
            <w:gridSpan w:val="5"/>
            <w:tcBorders>
              <w:top w:val="single" w:sz="4"/>
              <w:left w:val="single" w:sz="4"/>
              <w:righ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více specifikovaných adres rozepsaných v článku 2, odst. 1 pod místem pojištění MV</w:t>
            </w:r>
          </w:p>
        </w:tc>
      </w:tr>
      <w:tr>
        <w:trPr>
          <w:trHeight w:val="346" w:hRule="exact"/>
        </w:trPr>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Kód</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Předmět pojištění</w:t>
            </w:r>
          </w:p>
        </w:tc>
        <w:tc>
          <w:tcPr>
            <w:gridSpan w:val="2"/>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Horní hranice plnění</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Spoluúčast</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Pojistné plnění</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Roční pojistné</w:t>
            </w:r>
          </w:p>
        </w:tc>
      </w:tr>
      <w:tr>
        <w:trPr>
          <w:trHeight w:val="725" w:hRule="exact"/>
        </w:trPr>
        <w:tc>
          <w:tcPr>
            <w:vMerge w:val="restart"/>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220"/>
              <w:jc w:val="left"/>
            </w:pPr>
            <w:r>
              <w:rPr>
                <w:rStyle w:val="CharStyle29"/>
              </w:rPr>
              <w:t>1</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ind w:left="0" w:right="0" w:firstLine="0"/>
              <w:jc w:val="left"/>
            </w:pPr>
            <w:r>
              <w:rPr>
                <w:rStyle w:val="CharStyle29"/>
              </w:rPr>
              <w:t>Soubor vlastních budov a ostatních staveb</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pojistná částka:</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right"/>
            </w:pPr>
            <w:r>
              <w:rPr>
                <w:rStyle w:val="CharStyle29"/>
              </w:rPr>
              <w:t>10 000 000 Kč</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57" w:lineRule="auto"/>
              <w:ind w:left="0" w:right="0" w:firstLine="0"/>
              <w:jc w:val="left"/>
            </w:pPr>
            <w:r>
              <w:rPr>
                <w:rStyle w:val="CharStyle29"/>
              </w:rPr>
              <w:t>společná spoluúčast uvedená níže</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v nové ceně</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right"/>
              <w:rPr>
                <w:sz w:val="20"/>
                <w:szCs w:val="20"/>
              </w:rPr>
            </w:pPr>
            <w:r>
              <w:rPr>
                <w:rStyle w:val="CharStyle29"/>
                <w:rFonts w:ascii="Arial" w:eastAsia="Arial" w:hAnsi="Arial" w:cs="Arial"/>
                <w:sz w:val="20"/>
                <w:szCs w:val="20"/>
              </w:rPr>
              <w:t>xxxxx</w:t>
            </w:r>
          </w:p>
        </w:tc>
      </w:tr>
      <w:tr>
        <w:trPr>
          <w:trHeight w:val="350" w:hRule="exact"/>
        </w:trPr>
        <w:tc>
          <w:tcPr>
            <w:vMerge/>
            <w:tcBorders>
              <w:left w:val="single" w:sz="4"/>
            </w:tcBorders>
            <w:shd w:val="clear" w:color="auto" w:fill="auto"/>
            <w:vAlign w:val="top"/>
          </w:tcPr>
          <w:p>
            <w:pPr/>
          </w:p>
        </w:tc>
        <w:tc>
          <w:tcPr>
            <w:gridSpan w:val="6"/>
            <w:tcBorders>
              <w:top w:val="single" w:sz="4"/>
              <w:left w:val="single" w:sz="4"/>
              <w:righ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Popis výše uvedeného předmětu: Dětský domov, středisko výchovní péče a ZŠ včetně ostat, staveb</w:t>
            </w:r>
          </w:p>
        </w:tc>
      </w:tr>
      <w:tr>
        <w:trPr>
          <w:trHeight w:val="720" w:hRule="exact"/>
        </w:trPr>
        <w:tc>
          <w:tcPr>
            <w:vMerge w:val="restart"/>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center"/>
            </w:pPr>
            <w:r>
              <w:rPr>
                <w:rStyle w:val="CharStyle29"/>
              </w:rPr>
              <w:t>2</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ind w:left="0" w:right="0" w:firstLine="0"/>
              <w:jc w:val="left"/>
            </w:pPr>
            <w:r>
              <w:rPr>
                <w:rStyle w:val="CharStyle29"/>
              </w:rPr>
              <w:t>Soubor vlastního movitého zařízení nebo vybavení</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pojistná částka:</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right"/>
            </w:pPr>
            <w:r>
              <w:rPr>
                <w:rStyle w:val="CharStyle29"/>
              </w:rPr>
              <w:t>4 000 000 Kč</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ind w:left="0" w:right="0" w:firstLine="0"/>
              <w:jc w:val="left"/>
            </w:pPr>
            <w:r>
              <w:rPr>
                <w:rStyle w:val="CharStyle29"/>
              </w:rPr>
              <w:t>společná spoluúčast uvedená níže</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v nové ceně</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680"/>
              <w:jc w:val="left"/>
              <w:rPr>
                <w:sz w:val="20"/>
                <w:szCs w:val="20"/>
              </w:rPr>
            </w:pPr>
            <w:r>
              <w:rPr>
                <w:rStyle w:val="CharStyle29"/>
                <w:rFonts w:ascii="Arial" w:eastAsia="Arial" w:hAnsi="Arial" w:cs="Arial"/>
                <w:sz w:val="20"/>
                <w:szCs w:val="20"/>
              </w:rPr>
              <w:t>xxxxx</w:t>
            </w:r>
          </w:p>
        </w:tc>
      </w:tr>
      <w:tr>
        <w:trPr>
          <w:trHeight w:val="365" w:hRule="exact"/>
        </w:trPr>
        <w:tc>
          <w:tcPr>
            <w:vMerge/>
            <w:tcBorders>
              <w:left w:val="single" w:sz="4"/>
              <w:bottom w:val="single" w:sz="4"/>
            </w:tcBorders>
            <w:shd w:val="clear" w:color="auto" w:fill="auto"/>
            <w:vAlign w:val="top"/>
          </w:tcPr>
          <w:p>
            <w:pPr/>
          </w:p>
        </w:tc>
        <w:tc>
          <w:tcPr>
            <w:gridSpan w:val="6"/>
            <w:tcBorders>
              <w:top w:val="single" w:sz="4"/>
              <w:left w:val="single" w:sz="4"/>
              <w:bottom w:val="single" w:sz="4"/>
              <w:righ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Popis výše uvedeného předmětu: dle účetní evidence</w:t>
            </w:r>
          </w:p>
        </w:tc>
      </w:tr>
    </w:tbl>
    <w:p>
      <w:pPr>
        <w:pStyle w:val="Style25"/>
        <w:keepNext w:val="0"/>
        <w:keepLines w:val="0"/>
        <w:widowControl w:val="0"/>
        <w:shd w:val="clear" w:color="auto" w:fill="auto"/>
        <w:bidi w:val="0"/>
        <w:spacing w:before="0" w:after="0" w:line="240" w:lineRule="auto"/>
        <w:ind w:left="0" w:right="0" w:firstLine="0"/>
        <w:jc w:val="left"/>
      </w:pPr>
      <w:r>
        <w:rPr>
          <w:rStyle w:val="CharStyle26"/>
          <w:b/>
          <w:bCs/>
        </w:rPr>
        <w:t>SPOLUÚČAST</w:t>
      </w:r>
    </w:p>
    <w:p>
      <w:pPr>
        <w:pStyle w:val="Style25"/>
        <w:keepNext w:val="0"/>
        <w:keepLines w:val="0"/>
        <w:widowControl w:val="0"/>
        <w:shd w:val="clear" w:color="auto" w:fill="auto"/>
        <w:bidi w:val="0"/>
        <w:spacing w:before="0" w:after="0" w:line="240" w:lineRule="auto"/>
        <w:ind w:left="0" w:right="0" w:firstLine="0"/>
        <w:jc w:val="left"/>
      </w:pPr>
      <w:r>
        <w:rPr>
          <w:rStyle w:val="CharStyle26"/>
        </w:rPr>
        <w:t xml:space="preserve">Pojištění </w:t>
      </w:r>
      <w:r>
        <w:rPr>
          <w:rStyle w:val="CharStyle26"/>
          <w:b/>
          <w:bCs/>
        </w:rPr>
        <w:t xml:space="preserve">ZÁKLADNÍHO ŽIVELNÍHO POJIŠTĚNÍ </w:t>
      </w:r>
      <w:r>
        <w:rPr>
          <w:rStyle w:val="CharStyle26"/>
        </w:rPr>
        <w:t xml:space="preserve">se pro výše uvedené předměty sjednává se spoluúčastí ve výši </w:t>
      </w:r>
      <w:r>
        <w:rPr>
          <w:rStyle w:val="CharStyle26"/>
          <w:b/>
          <w:bCs/>
        </w:rPr>
        <w:t>1 000 Kč.</w:t>
      </w:r>
    </w:p>
    <w:p>
      <w:pPr>
        <w:widowControl w:val="0"/>
        <w:spacing w:after="139" w:line="1" w:lineRule="exact"/>
      </w:pPr>
    </w:p>
    <w:p>
      <w:pPr>
        <w:widowControl w:val="0"/>
        <w:spacing w:line="1" w:lineRule="exact"/>
      </w:pPr>
    </w:p>
    <w:p>
      <w:pPr>
        <w:pStyle w:val="Style25"/>
        <w:keepNext w:val="0"/>
        <w:keepLines w:val="0"/>
        <w:widowControl w:val="0"/>
        <w:shd w:val="clear" w:color="auto" w:fill="auto"/>
        <w:bidi w:val="0"/>
        <w:spacing w:before="0" w:after="0" w:line="269" w:lineRule="auto"/>
        <w:ind w:left="0" w:right="0" w:firstLine="0"/>
        <w:jc w:val="left"/>
      </w:pPr>
      <w:r>
        <w:rPr>
          <w:rStyle w:val="CharStyle26"/>
        </w:rPr>
        <w:t xml:space="preserve">2.1.1.2 </w:t>
      </w:r>
      <w:r>
        <w:rPr>
          <w:rStyle w:val="CharStyle26"/>
          <w:b/>
          <w:bCs/>
        </w:rPr>
        <w:t>Doplňková živelní pojištění</w:t>
      </w:r>
    </w:p>
    <w:p>
      <w:pPr>
        <w:pStyle w:val="Style25"/>
        <w:keepNext w:val="0"/>
        <w:keepLines w:val="0"/>
        <w:widowControl w:val="0"/>
        <w:shd w:val="clear" w:color="auto" w:fill="auto"/>
        <w:bidi w:val="0"/>
        <w:spacing w:before="0" w:after="0" w:line="269" w:lineRule="auto"/>
        <w:ind w:left="0" w:right="0" w:firstLine="0"/>
        <w:jc w:val="both"/>
      </w:pPr>
      <w:r>
        <w:rPr>
          <w:rStyle w:val="CharStyle26"/>
        </w:rPr>
        <w:t xml:space="preserve">Pojištění se sjednává pro předměty pojištěné na uvedeném místě pojištění v rámci </w:t>
      </w:r>
      <w:r>
        <w:rPr>
          <w:rStyle w:val="CharStyle26"/>
          <w:b/>
          <w:bCs/>
        </w:rPr>
        <w:t xml:space="preserve">ZÁKLADNÍHO ŽIVELNÍHO POJIŠTĚNÍ, </w:t>
      </w:r>
      <w:r>
        <w:rPr>
          <w:rStyle w:val="CharStyle26"/>
        </w:rPr>
        <w:t>a to v níže uvedeném rozsahu.</w:t>
      </w:r>
    </w:p>
    <w:tbl>
      <w:tblPr>
        <w:tblOverlap w:val="never"/>
        <w:jc w:val="center"/>
        <w:tblLayout w:type="fixed"/>
      </w:tblPr>
      <w:tblGrid>
        <w:gridCol w:w="1920"/>
        <w:gridCol w:w="3816"/>
        <w:gridCol w:w="1507"/>
        <w:gridCol w:w="1771"/>
        <w:gridCol w:w="1373"/>
      </w:tblGrid>
      <w:tr>
        <w:trPr>
          <w:trHeight w:val="360" w:hRule="exact"/>
        </w:trPr>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Místo pojištění:</w:t>
            </w:r>
          </w:p>
        </w:tc>
        <w:tc>
          <w:tcPr>
            <w:gridSpan w:val="4"/>
            <w:tcBorders>
              <w:top w:val="single" w:sz="4"/>
              <w:left w:val="single" w:sz="4"/>
              <w:righ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více specifikovaných adres rozepsaných v článku 2, odst. 1 pod místem pojištění MV</w:t>
            </w:r>
          </w:p>
        </w:tc>
      </w:tr>
      <w:tr>
        <w:trPr>
          <w:trHeight w:val="346" w:hRule="exact"/>
        </w:trPr>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Pojistné nebezpečí</w:t>
            </w:r>
          </w:p>
        </w:tc>
        <w:tc>
          <w:tcPr>
            <w:gridSpan w:val="2"/>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Horní hranice plnění</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Spoluúčast</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Roční pojistné</w:t>
            </w:r>
          </w:p>
        </w:tc>
      </w:tr>
      <w:tr>
        <w:trPr>
          <w:trHeight w:val="350" w:hRule="exact"/>
        </w:trPr>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Povodeň nebo záplava</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limit pojistného plnění v rámci pojistné částky:</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300"/>
              <w:jc w:val="left"/>
            </w:pPr>
            <w:r>
              <w:rPr>
                <w:rStyle w:val="CharStyle29"/>
              </w:rPr>
              <w:t>3 000 000 Kč</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right"/>
            </w:pPr>
            <w:r>
              <w:rPr>
                <w:rStyle w:val="CharStyle29"/>
              </w:rPr>
              <w:t>5 %, min. 25 000 Kč</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680"/>
              <w:jc w:val="left"/>
            </w:pPr>
            <w:r>
              <w:rPr>
                <w:rStyle w:val="CharStyle29"/>
              </w:rPr>
              <w:t>XXXXX</w:t>
            </w:r>
          </w:p>
        </w:tc>
      </w:tr>
      <w:tr>
        <w:trPr>
          <w:trHeight w:val="346" w:hRule="exact"/>
        </w:trPr>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Vodovodní nebezpečí</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limit pojistného plnění v rámci pojistné částky:</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300"/>
              <w:jc w:val="left"/>
            </w:pPr>
            <w:r>
              <w:rPr>
                <w:rStyle w:val="CharStyle29"/>
              </w:rPr>
              <w:t>5 000 000 Kč</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960"/>
              <w:jc w:val="left"/>
            </w:pPr>
            <w:r>
              <w:rPr>
                <w:rStyle w:val="CharStyle29"/>
              </w:rPr>
              <w:t>1 000 Kč</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680"/>
              <w:jc w:val="left"/>
              <w:rPr>
                <w:sz w:val="20"/>
                <w:szCs w:val="20"/>
              </w:rPr>
            </w:pPr>
            <w:r>
              <w:rPr>
                <w:rStyle w:val="CharStyle29"/>
                <w:rFonts w:ascii="Arial" w:eastAsia="Arial" w:hAnsi="Arial" w:cs="Arial"/>
                <w:sz w:val="20"/>
                <w:szCs w:val="20"/>
              </w:rPr>
              <w:t>xxxxx</w:t>
            </w:r>
          </w:p>
        </w:tc>
      </w:tr>
      <w:tr>
        <w:trPr>
          <w:trHeight w:val="979" w:hRule="exact"/>
        </w:trPr>
        <w:tc>
          <w:tcPr>
            <w:tcBorders>
              <w:top w:val="single" w:sz="4"/>
              <w:left w:val="single" w:sz="4"/>
              <w:bottom w:val="single" w:sz="4"/>
            </w:tcBorders>
            <w:shd w:val="clear" w:color="auto" w:fill="auto"/>
            <w:vAlign w:val="bottom"/>
          </w:tcPr>
          <w:p>
            <w:pPr>
              <w:pStyle w:val="Style28"/>
              <w:keepNext w:val="0"/>
              <w:keepLines w:val="0"/>
              <w:widowControl w:val="0"/>
              <w:shd w:val="clear" w:color="auto" w:fill="auto"/>
              <w:bidi w:val="0"/>
              <w:spacing w:before="0" w:after="0" w:line="257" w:lineRule="auto"/>
              <w:ind w:left="0" w:right="0" w:firstLine="0"/>
              <w:jc w:val="left"/>
            </w:pPr>
            <w:r>
              <w:rPr>
                <w:rStyle w:val="CharStyle29"/>
              </w:rPr>
              <w:t>Vichřice nebo krupobití, sesuv, zemětřesení, tíha sněhu nebo námrazy</w:t>
            </w:r>
          </w:p>
        </w:tc>
        <w:tc>
          <w:tcPr>
            <w:tcBorders>
              <w:top w:val="single" w:sz="4"/>
              <w:left w:val="single" w:sz="4"/>
              <w:bottom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limit pojistného plnění v rámci pojistné částky:</w:t>
            </w:r>
          </w:p>
        </w:tc>
        <w:tc>
          <w:tcPr>
            <w:tcBorders>
              <w:top w:val="single" w:sz="4"/>
              <w:left w:val="single" w:sz="4"/>
              <w:bottom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300"/>
              <w:jc w:val="left"/>
            </w:pPr>
            <w:r>
              <w:rPr>
                <w:rStyle w:val="CharStyle29"/>
              </w:rPr>
              <w:t>5 000 000 Kč</w:t>
            </w:r>
          </w:p>
        </w:tc>
        <w:tc>
          <w:tcPr>
            <w:tcBorders>
              <w:top w:val="single" w:sz="4"/>
              <w:left w:val="single" w:sz="4"/>
              <w:bottom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960"/>
              <w:jc w:val="left"/>
            </w:pPr>
            <w:r>
              <w:rPr>
                <w:rStyle w:val="CharStyle29"/>
              </w:rPr>
              <w:t>1 000 Kč</w:t>
            </w:r>
          </w:p>
        </w:tc>
        <w:tc>
          <w:tcPr>
            <w:tcBorders>
              <w:top w:val="single" w:sz="4"/>
              <w:left w:val="single" w:sz="4"/>
              <w:bottom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680"/>
              <w:jc w:val="left"/>
              <w:rPr>
                <w:sz w:val="20"/>
                <w:szCs w:val="20"/>
              </w:rPr>
            </w:pPr>
            <w:r>
              <w:rPr>
                <w:rStyle w:val="CharStyle29"/>
                <w:rFonts w:ascii="Arial" w:eastAsia="Arial" w:hAnsi="Arial" w:cs="Arial"/>
                <w:sz w:val="20"/>
                <w:szCs w:val="20"/>
              </w:rPr>
              <w:t>xxxxx</w:t>
            </w:r>
          </w:p>
        </w:tc>
      </w:tr>
    </w:tbl>
    <w:p>
      <w:pPr>
        <w:widowControl w:val="0"/>
        <w:spacing w:after="219" w:line="1" w:lineRule="exact"/>
      </w:pPr>
    </w:p>
    <w:p>
      <w:pPr>
        <w:pStyle w:val="Style19"/>
        <w:keepNext/>
        <w:keepLines/>
        <w:widowControl w:val="0"/>
        <w:shd w:val="clear" w:color="auto" w:fill="auto"/>
        <w:bidi w:val="0"/>
        <w:spacing w:before="0" w:after="0" w:line="264" w:lineRule="auto"/>
        <w:ind w:left="0" w:right="0" w:firstLine="0"/>
        <w:jc w:val="left"/>
        <w:rPr>
          <w:sz w:val="18"/>
          <w:szCs w:val="18"/>
        </w:rPr>
      </w:pPr>
      <w:bookmarkStart w:id="18" w:name="bookmark18"/>
      <w:r>
        <w:rPr>
          <w:rStyle w:val="CharStyle20"/>
          <w:rFonts w:ascii="Calibri" w:eastAsia="Calibri" w:hAnsi="Calibri" w:cs="Calibri"/>
          <w:b/>
          <w:bCs/>
          <w:sz w:val="18"/>
          <w:szCs w:val="18"/>
        </w:rPr>
        <w:t>Prohlášení pojistníka k povodni nebo záplavě v místě pojištění</w:t>
      </w:r>
      <w:bookmarkEnd w:id="18"/>
    </w:p>
    <w:p>
      <w:pPr>
        <w:pStyle w:val="Style16"/>
        <w:keepNext w:val="0"/>
        <w:keepLines w:val="0"/>
        <w:widowControl w:val="0"/>
        <w:shd w:val="clear" w:color="auto" w:fill="auto"/>
        <w:bidi w:val="0"/>
        <w:spacing w:before="0" w:after="140" w:line="264" w:lineRule="auto"/>
        <w:ind w:left="0" w:right="0" w:firstLine="0"/>
        <w:jc w:val="left"/>
      </w:pPr>
      <w:r>
        <w:rPr>
          <w:rStyle w:val="CharStyle17"/>
        </w:rPr>
        <w:t>Pojistník prohlašuje, že na žádné z uvedených adres míst pojištění se za posledních 20 let nevyskytla povodeň nebo záplava více než jednou.</w:t>
      </w:r>
    </w:p>
    <w:p>
      <w:pPr>
        <w:pStyle w:val="Style19"/>
        <w:keepNext/>
        <w:keepLines/>
        <w:widowControl w:val="0"/>
        <w:numPr>
          <w:ilvl w:val="2"/>
          <w:numId w:val="13"/>
        </w:numPr>
        <w:shd w:val="clear" w:color="auto" w:fill="auto"/>
        <w:tabs>
          <w:tab w:pos="682" w:val="left"/>
        </w:tabs>
        <w:bidi w:val="0"/>
        <w:spacing w:before="0" w:after="0" w:line="259" w:lineRule="auto"/>
        <w:ind w:left="0" w:right="0" w:firstLine="0"/>
        <w:jc w:val="left"/>
        <w:rPr>
          <w:sz w:val="18"/>
          <w:szCs w:val="18"/>
        </w:rPr>
      </w:pPr>
      <w:bookmarkStart w:id="20" w:name="bookmark20"/>
      <w:r>
        <w:rPr>
          <w:rStyle w:val="CharStyle20"/>
          <w:rFonts w:ascii="Calibri" w:eastAsia="Calibri" w:hAnsi="Calibri" w:cs="Calibri"/>
          <w:b/>
          <w:bCs/>
          <w:sz w:val="18"/>
          <w:szCs w:val="18"/>
        </w:rPr>
        <w:t>POJIŠTĚNÍ PRO PŘÍPAD ODCIZENÍ</w:t>
      </w:r>
      <w:bookmarkEnd w:id="20"/>
    </w:p>
    <w:p>
      <w:pPr>
        <w:pStyle w:val="Style16"/>
        <w:keepNext w:val="0"/>
        <w:keepLines w:val="0"/>
        <w:widowControl w:val="0"/>
        <w:shd w:val="clear" w:color="auto" w:fill="auto"/>
        <w:bidi w:val="0"/>
        <w:spacing w:before="0" w:after="0"/>
        <w:ind w:left="0" w:right="0" w:firstLine="0"/>
        <w:jc w:val="left"/>
      </w:pPr>
      <w:r>
        <w:rPr>
          <w:rStyle w:val="CharStyle17"/>
        </w:rPr>
        <w:t xml:space="preserve">Pojištění pro případ odcizení </w:t>
      </w:r>
      <w:r>
        <w:rPr>
          <w:rStyle w:val="CharStyle17"/>
          <w:b/>
          <w:bCs/>
        </w:rPr>
        <w:t xml:space="preserve">KRÁDEŽÍ S PŘEKONÁNÍM PŘEKÁŽKY </w:t>
      </w:r>
      <w:r>
        <w:rPr>
          <w:rStyle w:val="CharStyle17"/>
        </w:rPr>
        <w:t xml:space="preserve">nebo </w:t>
      </w:r>
      <w:r>
        <w:rPr>
          <w:rStyle w:val="CharStyle17"/>
          <w:b/>
          <w:bCs/>
        </w:rPr>
        <w:t xml:space="preserve">LOUPEŽÍ (s výjimkou loupeže přepravovaných peněz nebo cenin) </w:t>
      </w:r>
      <w:r>
        <w:rPr>
          <w:rStyle w:val="CharStyle17"/>
        </w:rPr>
        <w:t>pokud bylo šetřeno policií, bez ohledu na to, zda byl pachatel zjištěn. Pojištění se sjednává pro předměty pojištění v rozsahu a na místě pojištění uvedeném v následující tabulce:</w:t>
      </w:r>
    </w:p>
    <w:tbl>
      <w:tblPr>
        <w:tblOverlap w:val="never"/>
        <w:jc w:val="center"/>
        <w:tblLayout w:type="fixed"/>
      </w:tblPr>
      <w:tblGrid>
        <w:gridCol w:w="552"/>
        <w:gridCol w:w="2318"/>
        <w:gridCol w:w="1915"/>
        <w:gridCol w:w="1498"/>
        <w:gridCol w:w="1229"/>
        <w:gridCol w:w="1502"/>
        <w:gridCol w:w="1373"/>
      </w:tblGrid>
      <w:tr>
        <w:trPr>
          <w:trHeight w:val="360" w:hRule="exact"/>
        </w:trPr>
        <w:tc>
          <w:tcPr>
            <w:gridSpan w:val="2"/>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Místo pojištění:</w:t>
            </w:r>
          </w:p>
        </w:tc>
        <w:tc>
          <w:tcPr>
            <w:gridSpan w:val="5"/>
            <w:tcBorders>
              <w:top w:val="single" w:sz="4"/>
              <w:left w:val="single" w:sz="4"/>
              <w:righ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více specifikovaných adres rozepsaných v článku 2, odst. 1 pod místem pojištění MV</w:t>
            </w:r>
          </w:p>
        </w:tc>
      </w:tr>
      <w:tr>
        <w:trPr>
          <w:trHeight w:val="346" w:hRule="exact"/>
        </w:trPr>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Kód</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Předmět pojištění</w:t>
            </w:r>
          </w:p>
        </w:tc>
        <w:tc>
          <w:tcPr>
            <w:gridSpan w:val="2"/>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Horní hranice plnění</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Spoluúčast</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Pojistné plnění</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Roční pojistné</w:t>
            </w:r>
          </w:p>
        </w:tc>
      </w:tr>
      <w:tr>
        <w:trPr>
          <w:trHeight w:val="730" w:hRule="exact"/>
        </w:trPr>
        <w:tc>
          <w:tcPr>
            <w:vMerge w:val="restart"/>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center"/>
            </w:pPr>
            <w:r>
              <w:rPr>
                <w:rStyle w:val="CharStyle29"/>
              </w:rPr>
              <w:t>1</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ind w:left="0" w:right="0" w:firstLine="0"/>
              <w:jc w:val="left"/>
            </w:pPr>
            <w:r>
              <w:rPr>
                <w:rStyle w:val="CharStyle29"/>
              </w:rPr>
              <w:t>Soubor vlastních budov a ostatních staveb</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ind w:left="0" w:right="0" w:firstLine="0"/>
              <w:jc w:val="left"/>
            </w:pPr>
            <w:r>
              <w:rPr>
                <w:rStyle w:val="CharStyle29"/>
              </w:rPr>
              <w:t>limit pojistného plnění (první riziko):</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right"/>
            </w:pPr>
            <w:r>
              <w:rPr>
                <w:rStyle w:val="CharStyle29"/>
              </w:rPr>
              <w:t>50 000 Kč</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ind w:left="0" w:right="0" w:firstLine="0"/>
              <w:jc w:val="left"/>
            </w:pPr>
            <w:r>
              <w:rPr>
                <w:rStyle w:val="CharStyle29"/>
              </w:rPr>
              <w:t>společná spoluúčast uvedená níže</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v nové ceně</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680"/>
              <w:jc w:val="left"/>
              <w:rPr>
                <w:sz w:val="20"/>
                <w:szCs w:val="20"/>
              </w:rPr>
            </w:pPr>
            <w:r>
              <w:rPr>
                <w:rStyle w:val="CharStyle29"/>
                <w:rFonts w:ascii="Arial" w:eastAsia="Arial" w:hAnsi="Arial" w:cs="Arial"/>
                <w:sz w:val="20"/>
                <w:szCs w:val="20"/>
              </w:rPr>
              <w:t>XXXXX</w:t>
            </w:r>
          </w:p>
        </w:tc>
      </w:tr>
      <w:tr>
        <w:trPr>
          <w:trHeight w:val="350" w:hRule="exact"/>
        </w:trPr>
        <w:tc>
          <w:tcPr>
            <w:vMerge/>
            <w:tcBorders>
              <w:left w:val="single" w:sz="4"/>
            </w:tcBorders>
            <w:shd w:val="clear" w:color="auto" w:fill="auto"/>
            <w:vAlign w:val="top"/>
          </w:tcPr>
          <w:p>
            <w:pPr/>
          </w:p>
        </w:tc>
        <w:tc>
          <w:tcPr>
            <w:gridSpan w:val="6"/>
            <w:tcBorders>
              <w:top w:val="single" w:sz="4"/>
              <w:left w:val="single" w:sz="4"/>
              <w:righ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Popis výše uvedeného předmětu: Dětský domov, středisko výchovní péče a ZŠ včetně ostat, staveb</w:t>
            </w:r>
          </w:p>
        </w:tc>
      </w:tr>
      <w:tr>
        <w:trPr>
          <w:trHeight w:val="720" w:hRule="exact"/>
        </w:trPr>
        <w:tc>
          <w:tcPr>
            <w:vMerge w:val="restart"/>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center"/>
            </w:pPr>
            <w:r>
              <w:rPr>
                <w:rStyle w:val="CharStyle29"/>
              </w:rPr>
              <w:t>2</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ind w:left="0" w:right="0" w:firstLine="0"/>
              <w:jc w:val="left"/>
            </w:pPr>
            <w:r>
              <w:rPr>
                <w:rStyle w:val="CharStyle29"/>
              </w:rPr>
              <w:t>Soubor vlastního movitého zařízení nebo vybavení</w:t>
            </w:r>
          </w:p>
        </w:tc>
        <w:tc>
          <w:tcPr>
            <w:tcBorders>
              <w:top w:val="single" w:sz="4"/>
              <w:left w:val="single" w:sz="4"/>
            </w:tcBorders>
            <w:shd w:val="clear" w:color="auto" w:fill="auto"/>
            <w:vAlign w:val="bottom"/>
          </w:tcPr>
          <w:p>
            <w:pPr>
              <w:pStyle w:val="Style28"/>
              <w:keepNext w:val="0"/>
              <w:keepLines w:val="0"/>
              <w:widowControl w:val="0"/>
              <w:shd w:val="clear" w:color="auto" w:fill="auto"/>
              <w:bidi w:val="0"/>
              <w:spacing w:before="0" w:after="0" w:line="257" w:lineRule="auto"/>
              <w:ind w:left="0" w:right="0" w:firstLine="0"/>
              <w:jc w:val="left"/>
            </w:pPr>
            <w:r>
              <w:rPr>
                <w:rStyle w:val="CharStyle29"/>
              </w:rPr>
              <w:t>limit pojistného plnění v rámci pojistné částky:</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right"/>
            </w:pPr>
            <w:r>
              <w:rPr>
                <w:rStyle w:val="CharStyle29"/>
              </w:rPr>
              <w:t>1 500 000 Kč</w:t>
            </w:r>
          </w:p>
        </w:tc>
        <w:tc>
          <w:tcPr>
            <w:tcBorders>
              <w:top w:val="single" w:sz="4"/>
              <w:left w:val="single" w:sz="4"/>
            </w:tcBorders>
            <w:shd w:val="clear" w:color="auto" w:fill="auto"/>
            <w:vAlign w:val="bottom"/>
          </w:tcPr>
          <w:p>
            <w:pPr>
              <w:pStyle w:val="Style28"/>
              <w:keepNext w:val="0"/>
              <w:keepLines w:val="0"/>
              <w:widowControl w:val="0"/>
              <w:shd w:val="clear" w:color="auto" w:fill="auto"/>
              <w:bidi w:val="0"/>
              <w:spacing w:before="0" w:after="0" w:line="254" w:lineRule="auto"/>
              <w:ind w:left="0" w:right="0" w:firstLine="0"/>
              <w:jc w:val="left"/>
            </w:pPr>
            <w:r>
              <w:rPr>
                <w:rStyle w:val="CharStyle29"/>
              </w:rPr>
              <w:t>společná spoluúčast uvedená níže</w:t>
            </w:r>
          </w:p>
        </w:tc>
        <w:tc>
          <w:tcPr>
            <w:tcBorders>
              <w:top w:val="single" w:sz="4"/>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v nové ceně</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680"/>
              <w:jc w:val="left"/>
              <w:rPr>
                <w:sz w:val="20"/>
                <w:szCs w:val="20"/>
              </w:rPr>
            </w:pPr>
            <w:r>
              <w:rPr>
                <w:rStyle w:val="CharStyle29"/>
                <w:rFonts w:ascii="Arial" w:eastAsia="Arial" w:hAnsi="Arial" w:cs="Arial"/>
                <w:sz w:val="20"/>
                <w:szCs w:val="20"/>
              </w:rPr>
              <w:t>xxxxx</w:t>
            </w:r>
          </w:p>
        </w:tc>
      </w:tr>
      <w:tr>
        <w:trPr>
          <w:trHeight w:val="365" w:hRule="exact"/>
        </w:trPr>
        <w:tc>
          <w:tcPr>
            <w:vMerge/>
            <w:tcBorders>
              <w:left w:val="single" w:sz="4"/>
              <w:bottom w:val="single" w:sz="4"/>
            </w:tcBorders>
            <w:shd w:val="clear" w:color="auto" w:fill="auto"/>
            <w:vAlign w:val="top"/>
          </w:tcPr>
          <w:p>
            <w:pPr/>
          </w:p>
        </w:tc>
        <w:tc>
          <w:tcPr>
            <w:gridSpan w:val="6"/>
            <w:tcBorders>
              <w:top w:val="single" w:sz="4"/>
              <w:left w:val="single" w:sz="4"/>
              <w:bottom w:val="single" w:sz="4"/>
              <w:righ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Popis výše uvedeného předmětu: dle účetní evidence</w:t>
            </w:r>
          </w:p>
        </w:tc>
      </w:tr>
    </w:tbl>
    <w:p>
      <w:pPr>
        <w:pStyle w:val="Style25"/>
        <w:keepNext w:val="0"/>
        <w:keepLines w:val="0"/>
        <w:widowControl w:val="0"/>
        <w:shd w:val="clear" w:color="auto" w:fill="auto"/>
        <w:bidi w:val="0"/>
        <w:spacing w:before="0" w:after="0" w:line="240" w:lineRule="auto"/>
        <w:ind w:left="0" w:right="0" w:firstLine="0"/>
        <w:jc w:val="left"/>
      </w:pPr>
      <w:r>
        <w:rPr>
          <w:rStyle w:val="CharStyle26"/>
          <w:b/>
          <w:bCs/>
        </w:rPr>
        <w:t>SPOLUÚČAST</w:t>
      </w:r>
    </w:p>
    <w:p>
      <w:pPr>
        <w:pStyle w:val="Style25"/>
        <w:keepNext w:val="0"/>
        <w:keepLines w:val="0"/>
        <w:widowControl w:val="0"/>
        <w:shd w:val="clear" w:color="auto" w:fill="auto"/>
        <w:bidi w:val="0"/>
        <w:spacing w:before="0" w:after="0" w:line="240" w:lineRule="auto"/>
        <w:ind w:left="0" w:right="0" w:firstLine="0"/>
        <w:jc w:val="left"/>
      </w:pPr>
      <w:r>
        <w:rPr>
          <w:rStyle w:val="CharStyle26"/>
        </w:rPr>
        <w:t xml:space="preserve">Pojištění </w:t>
      </w:r>
      <w:r>
        <w:rPr>
          <w:rStyle w:val="CharStyle26"/>
          <w:b/>
          <w:bCs/>
        </w:rPr>
        <w:t xml:space="preserve">ODCIZENÍ </w:t>
      </w:r>
      <w:r>
        <w:rPr>
          <w:rStyle w:val="CharStyle26"/>
        </w:rPr>
        <w:t xml:space="preserve">se pro výše uvedené předměty sjednává se spoluúčastí ve výši </w:t>
      </w:r>
      <w:r>
        <w:rPr>
          <w:rStyle w:val="CharStyle26"/>
          <w:b/>
          <w:bCs/>
        </w:rPr>
        <w:t>1000 Kč.</w:t>
      </w:r>
    </w:p>
    <w:p>
      <w:pPr>
        <w:widowControl w:val="0"/>
        <w:spacing w:after="219" w:line="1" w:lineRule="exact"/>
      </w:pPr>
    </w:p>
    <w:p>
      <w:pPr>
        <w:pStyle w:val="Style16"/>
        <w:keepNext w:val="0"/>
        <w:keepLines w:val="0"/>
        <w:widowControl w:val="0"/>
        <w:shd w:val="clear" w:color="auto" w:fill="auto"/>
        <w:bidi w:val="0"/>
        <w:spacing w:before="0" w:after="0" w:line="262" w:lineRule="auto"/>
        <w:ind w:left="0" w:right="0" w:firstLine="0"/>
        <w:jc w:val="left"/>
      </w:pPr>
      <w:r>
        <w:rPr>
          <w:rStyle w:val="CharStyle17"/>
          <w:b/>
          <w:bCs/>
        </w:rPr>
        <w:t>SMLUVNÍ UJEDNÁNÍ K POJIŠTĚNÍ PRO PŘÍPAD ODCIZENÍ</w:t>
      </w:r>
    </w:p>
    <w:p>
      <w:pPr>
        <w:pStyle w:val="Style16"/>
        <w:keepNext w:val="0"/>
        <w:keepLines w:val="0"/>
        <w:widowControl w:val="0"/>
        <w:shd w:val="clear" w:color="auto" w:fill="auto"/>
        <w:bidi w:val="0"/>
        <w:spacing w:before="0" w:after="0" w:line="262" w:lineRule="auto"/>
        <w:ind w:left="0" w:right="0" w:firstLine="0"/>
        <w:jc w:val="left"/>
      </w:pPr>
      <w:r>
        <w:rPr>
          <w:rStyle w:val="CharStyle17"/>
          <w:b/>
          <w:bCs/>
        </w:rPr>
        <w:t>Horní hranice plnění pro krádež pojištěných předmětů z výlohy, vitríny či pultu</w:t>
      </w:r>
    </w:p>
    <w:p>
      <w:pPr>
        <w:pStyle w:val="Style16"/>
        <w:keepNext w:val="0"/>
        <w:keepLines w:val="0"/>
        <w:widowControl w:val="0"/>
        <w:shd w:val="clear" w:color="auto" w:fill="auto"/>
        <w:bidi w:val="0"/>
        <w:spacing w:before="0" w:after="0" w:line="262" w:lineRule="auto"/>
        <w:ind w:left="0" w:right="0" w:firstLine="0"/>
        <w:jc w:val="left"/>
      </w:pPr>
      <w:r>
        <w:rPr>
          <w:rStyle w:val="CharStyle17"/>
        </w:rPr>
        <w:t>V případě krádeže z výlohy nebo z vitríny či pultu, které jsou umístěny uvnitř provozovny pojištěného, kde překonání překážky spočívalo v rozbití jejich skla nebo v překonání jejich zámku, poskytne pojistitel pojistné plnění do výše:</w:t>
      </w:r>
    </w:p>
    <w:p>
      <w:pPr>
        <w:pStyle w:val="Style16"/>
        <w:keepNext w:val="0"/>
        <w:keepLines w:val="0"/>
        <w:widowControl w:val="0"/>
        <w:numPr>
          <w:ilvl w:val="0"/>
          <w:numId w:val="11"/>
        </w:numPr>
        <w:shd w:val="clear" w:color="auto" w:fill="auto"/>
        <w:tabs>
          <w:tab w:pos="926" w:val="left"/>
        </w:tabs>
        <w:bidi w:val="0"/>
        <w:spacing w:before="0" w:after="0" w:line="262" w:lineRule="auto"/>
        <w:ind w:left="0" w:right="0" w:firstLine="580"/>
        <w:jc w:val="left"/>
      </w:pPr>
      <w:r>
        <w:rPr>
          <w:rStyle w:val="CharStyle17"/>
        </w:rPr>
        <w:t>5 % z horní hranice pojistného plnění sjednané v místě pojištění pro pojištění skupiny věcí, do které náležely odcizené věci</w:t>
      </w:r>
    </w:p>
    <w:p>
      <w:pPr>
        <w:pStyle w:val="Style16"/>
        <w:keepNext w:val="0"/>
        <w:keepLines w:val="0"/>
        <w:widowControl w:val="0"/>
        <w:shd w:val="clear" w:color="auto" w:fill="auto"/>
        <w:bidi w:val="0"/>
        <w:spacing w:before="0" w:after="0" w:line="262" w:lineRule="auto"/>
        <w:ind w:left="920" w:right="0" w:firstLine="20"/>
        <w:jc w:val="left"/>
      </w:pPr>
      <w:r>
        <w:rPr>
          <w:rStyle w:val="CharStyle17"/>
        </w:rPr>
        <w:t xml:space="preserve">pojištěné proti odcizení, maximálně však </w:t>
      </w:r>
      <w:r>
        <w:rPr>
          <w:rStyle w:val="CharStyle17"/>
          <w:b/>
          <w:bCs/>
        </w:rPr>
        <w:t xml:space="preserve">20 000 Kč, </w:t>
      </w:r>
      <w:r>
        <w:rPr>
          <w:rStyle w:val="CharStyle17"/>
        </w:rPr>
        <w:t>jde-li o cenné předměty, věci umělecké, historické nebo sběratelské hodnoty nebo elektroniku,</w:t>
      </w:r>
    </w:p>
    <w:p>
      <w:pPr>
        <w:pStyle w:val="Style16"/>
        <w:keepNext w:val="0"/>
        <w:keepLines w:val="0"/>
        <w:widowControl w:val="0"/>
        <w:numPr>
          <w:ilvl w:val="0"/>
          <w:numId w:val="11"/>
        </w:numPr>
        <w:shd w:val="clear" w:color="auto" w:fill="auto"/>
        <w:tabs>
          <w:tab w:pos="926" w:val="left"/>
        </w:tabs>
        <w:bidi w:val="0"/>
        <w:spacing w:before="0" w:after="0" w:line="262" w:lineRule="auto"/>
        <w:ind w:left="0" w:right="0" w:firstLine="580"/>
        <w:jc w:val="left"/>
      </w:pPr>
      <w:r>
        <w:rPr>
          <w:rStyle w:val="CharStyle17"/>
        </w:rPr>
        <w:t>10 % z horní hranice pojistného plnění sjednané v místě pojištění pro pojištění skupiny věcí, do které náležely odcizené věci</w:t>
      </w:r>
    </w:p>
    <w:p>
      <w:pPr>
        <w:pStyle w:val="Style16"/>
        <w:keepNext w:val="0"/>
        <w:keepLines w:val="0"/>
        <w:widowControl w:val="0"/>
        <w:shd w:val="clear" w:color="auto" w:fill="auto"/>
        <w:bidi w:val="0"/>
        <w:spacing w:before="0" w:after="180" w:line="262" w:lineRule="auto"/>
        <w:ind w:left="0" w:right="0" w:firstLine="920"/>
        <w:jc w:val="left"/>
      </w:pPr>
      <w:r>
        <w:rPr>
          <w:rStyle w:val="CharStyle17"/>
        </w:rPr>
        <w:t xml:space="preserve">pojištěné proti odcizení, maximálně však </w:t>
      </w:r>
      <w:r>
        <w:rPr>
          <w:rStyle w:val="CharStyle17"/>
          <w:b/>
          <w:bCs/>
        </w:rPr>
        <w:t xml:space="preserve">50 000 </w:t>
      </w:r>
      <w:r>
        <w:rPr>
          <w:rStyle w:val="CharStyle17"/>
        </w:rPr>
        <w:t>Kč, jde-li o ostatní pojištěné věci (jiné než výše uvedené).</w:t>
      </w:r>
    </w:p>
    <w:p>
      <w:pPr>
        <w:pStyle w:val="Style25"/>
        <w:keepNext w:val="0"/>
        <w:keepLines w:val="0"/>
        <w:widowControl w:val="0"/>
        <w:shd w:val="clear" w:color="auto" w:fill="auto"/>
        <w:bidi w:val="0"/>
        <w:spacing w:before="0" w:after="0" w:line="264" w:lineRule="auto"/>
        <w:ind w:left="0" w:right="0" w:firstLine="0"/>
        <w:jc w:val="left"/>
      </w:pPr>
      <w:r>
        <w:rPr>
          <w:rStyle w:val="CharStyle26"/>
          <w:b/>
          <w:bCs/>
        </w:rPr>
        <w:t>2.1.3 POJIŠTĚNÍ PRO PŘÍPAD VANDALISMU</w:t>
      </w:r>
    </w:p>
    <w:p>
      <w:pPr>
        <w:pStyle w:val="Style25"/>
        <w:keepNext w:val="0"/>
        <w:keepLines w:val="0"/>
        <w:widowControl w:val="0"/>
        <w:shd w:val="clear" w:color="auto" w:fill="auto"/>
        <w:bidi w:val="0"/>
        <w:spacing w:before="0" w:after="0" w:line="264" w:lineRule="auto"/>
        <w:ind w:left="0" w:right="0" w:firstLine="0"/>
        <w:jc w:val="left"/>
      </w:pPr>
      <w:r>
        <w:rPr>
          <w:rStyle w:val="CharStyle26"/>
        </w:rPr>
        <w:t>Pojištění se vztahuje na úmyslné poškození nebo úmyslné zničení předmětů pojištěných proti odcizení, pokud bylo šetřeno policií, bez ohledu na to, zda byl pachatel zjištěn.</w:t>
      </w:r>
    </w:p>
    <w:p>
      <w:pPr>
        <w:pStyle w:val="Style25"/>
        <w:keepNext w:val="0"/>
        <w:keepLines w:val="0"/>
        <w:widowControl w:val="0"/>
        <w:shd w:val="clear" w:color="auto" w:fill="auto"/>
        <w:bidi w:val="0"/>
        <w:spacing w:before="0" w:after="0" w:line="264" w:lineRule="auto"/>
        <w:ind w:left="0" w:right="0" w:firstLine="0"/>
        <w:jc w:val="left"/>
      </w:pPr>
      <w:r>
        <w:rPr>
          <w:rStyle w:val="CharStyle26"/>
        </w:rPr>
        <w:t>Pojištění se sjednává pro předměty pojištění v rozsahu a na místě pojištění uvedeném v následující tabulce:</w:t>
      </w:r>
    </w:p>
    <w:tbl>
      <w:tblPr>
        <w:tblOverlap w:val="never"/>
        <w:jc w:val="center"/>
        <w:tblLayout w:type="fixed"/>
      </w:tblPr>
      <w:tblGrid>
        <w:gridCol w:w="2736"/>
        <w:gridCol w:w="3274"/>
        <w:gridCol w:w="1637"/>
        <w:gridCol w:w="1368"/>
        <w:gridCol w:w="1378"/>
      </w:tblGrid>
      <w:tr>
        <w:trPr>
          <w:trHeight w:val="360" w:hRule="exact"/>
        </w:trPr>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Místo pojištění:</w:t>
            </w:r>
          </w:p>
        </w:tc>
        <w:tc>
          <w:tcPr>
            <w:gridSpan w:val="4"/>
            <w:tcBorders>
              <w:top w:val="single" w:sz="4"/>
              <w:left w:val="single" w:sz="4"/>
              <w:righ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více specifikovaných adres rozepsaných v článku 2, odst. 1 pod místem pojištění MV</w:t>
            </w:r>
          </w:p>
        </w:tc>
      </w:tr>
      <w:tr>
        <w:trPr>
          <w:trHeight w:val="346" w:hRule="exact"/>
        </w:trPr>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Předmět pojištění</w:t>
            </w:r>
          </w:p>
        </w:tc>
        <w:tc>
          <w:tcPr>
            <w:gridSpan w:val="2"/>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Horní hranice plnění</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Spoluúčast</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right"/>
            </w:pPr>
            <w:r>
              <w:rPr>
                <w:rStyle w:val="CharStyle29"/>
                <w:b/>
                <w:bCs/>
              </w:rPr>
              <w:t>Roční pojistné</w:t>
            </w:r>
          </w:p>
        </w:tc>
      </w:tr>
      <w:tr>
        <w:trPr>
          <w:trHeight w:val="499" w:hRule="exact"/>
        </w:trPr>
        <w:tc>
          <w:tcPr>
            <w:tcBorders>
              <w:top w:val="single" w:sz="4"/>
              <w:left w:val="single" w:sz="4"/>
              <w:bottom w:val="single" w:sz="4"/>
            </w:tcBorders>
            <w:shd w:val="clear" w:color="auto" w:fill="auto"/>
            <w:vAlign w:val="top"/>
          </w:tcPr>
          <w:p>
            <w:pPr>
              <w:pStyle w:val="Style28"/>
              <w:keepNext w:val="0"/>
              <w:keepLines w:val="0"/>
              <w:widowControl w:val="0"/>
              <w:shd w:val="clear" w:color="auto" w:fill="auto"/>
              <w:bidi w:val="0"/>
              <w:spacing w:before="0" w:after="0" w:line="254" w:lineRule="auto"/>
              <w:ind w:left="0" w:right="0" w:firstLine="0"/>
              <w:jc w:val="left"/>
            </w:pPr>
            <w:r>
              <w:rPr>
                <w:rStyle w:val="CharStyle29"/>
              </w:rPr>
              <w:t>Předměty pojištěné proti odcizení</w:t>
            </w:r>
          </w:p>
        </w:tc>
        <w:tc>
          <w:tcPr>
            <w:tcBorders>
              <w:top w:val="single" w:sz="4"/>
              <w:left w:val="single" w:sz="4"/>
              <w:bottom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limit pojistného plnění (první riziko):</w:t>
            </w:r>
          </w:p>
        </w:tc>
        <w:tc>
          <w:tcPr>
            <w:tcBorders>
              <w:top w:val="single" w:sz="4"/>
              <w:left w:val="single" w:sz="4"/>
              <w:bottom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700"/>
              <w:jc w:val="both"/>
            </w:pPr>
            <w:r>
              <w:rPr>
                <w:rStyle w:val="CharStyle29"/>
              </w:rPr>
              <w:t>20 000 Kč</w:t>
            </w:r>
          </w:p>
        </w:tc>
        <w:tc>
          <w:tcPr>
            <w:tcBorders>
              <w:top w:val="single" w:sz="4"/>
              <w:left w:val="single" w:sz="4"/>
              <w:bottom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560"/>
              <w:jc w:val="left"/>
            </w:pPr>
            <w:r>
              <w:rPr>
                <w:rStyle w:val="CharStyle29"/>
              </w:rPr>
              <w:t>1 000 Kč</w:t>
            </w:r>
          </w:p>
        </w:tc>
        <w:tc>
          <w:tcPr>
            <w:tcBorders>
              <w:top w:val="single" w:sz="4"/>
              <w:left w:val="single" w:sz="4"/>
              <w:bottom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right"/>
              <w:rPr>
                <w:sz w:val="20"/>
                <w:szCs w:val="20"/>
              </w:rPr>
            </w:pPr>
            <w:r>
              <w:rPr>
                <w:rStyle w:val="CharStyle29"/>
                <w:rFonts w:ascii="Arial" w:eastAsia="Arial" w:hAnsi="Arial" w:cs="Arial"/>
                <w:sz w:val="20"/>
                <w:szCs w:val="20"/>
              </w:rPr>
              <w:t>xxxxx</w:t>
            </w:r>
          </w:p>
        </w:tc>
      </w:tr>
    </w:tbl>
    <w:p>
      <w:pPr>
        <w:widowControl w:val="0"/>
        <w:spacing w:after="239" w:line="1" w:lineRule="exact"/>
      </w:pPr>
    </w:p>
    <w:p>
      <w:pPr>
        <w:pStyle w:val="Style16"/>
        <w:keepNext w:val="0"/>
        <w:keepLines w:val="0"/>
        <w:widowControl w:val="0"/>
        <w:shd w:val="clear" w:color="auto" w:fill="auto"/>
        <w:bidi w:val="0"/>
        <w:spacing w:before="0" w:after="0"/>
        <w:ind w:left="0" w:right="0" w:firstLine="0"/>
        <w:jc w:val="left"/>
      </w:pPr>
      <w:r>
        <w:rPr>
          <w:rStyle w:val="CharStyle17"/>
          <w:b/>
          <w:bCs/>
        </w:rPr>
        <w:t>SMLUVNÍ UJEDNÁNÍ K POJIŠTĚNÍ PRO PŘÍPAD VANDALISMU</w:t>
      </w:r>
    </w:p>
    <w:p>
      <w:pPr>
        <w:pStyle w:val="Style16"/>
        <w:keepNext w:val="0"/>
        <w:keepLines w:val="0"/>
        <w:widowControl w:val="0"/>
        <w:shd w:val="clear" w:color="auto" w:fill="auto"/>
        <w:bidi w:val="0"/>
        <w:spacing w:before="0" w:after="0"/>
        <w:ind w:left="0" w:right="0" w:firstLine="0"/>
        <w:jc w:val="left"/>
      </w:pPr>
      <w:r>
        <w:rPr>
          <w:rStyle w:val="CharStyle17"/>
          <w:b/>
          <w:bCs/>
        </w:rPr>
        <w:t>Škody způsobené malbami, nástřiky nebo polepením na budově</w:t>
      </w:r>
    </w:p>
    <w:p>
      <w:pPr>
        <w:pStyle w:val="Style16"/>
        <w:keepNext w:val="0"/>
        <w:keepLines w:val="0"/>
        <w:widowControl w:val="0"/>
        <w:shd w:val="clear" w:color="auto" w:fill="auto"/>
        <w:bidi w:val="0"/>
        <w:spacing w:before="0" w:after="460"/>
        <w:ind w:left="0" w:right="0" w:firstLine="0"/>
        <w:jc w:val="left"/>
      </w:pPr>
      <w:r>
        <w:rPr>
          <w:rStyle w:val="CharStyle17"/>
        </w:rPr>
        <w:t xml:space="preserve">Za škody způsobené úmyslným poškozením vnějšího obvodového pláště budovy pojištěné proti vandalismu malbami, nástřiky nebo polepením poskytne pojistitel pojistné plnění z jedné a ze všech pojistných události nastalých v průběhu jednoho pojistného roku, a to do výše maximálně </w:t>
      </w:r>
      <w:r>
        <w:rPr>
          <w:rStyle w:val="CharStyle17"/>
          <w:b/>
          <w:bCs/>
        </w:rPr>
        <w:t xml:space="preserve">100 000 Kč </w:t>
      </w:r>
      <w:r>
        <w:rPr>
          <w:rStyle w:val="CharStyle17"/>
        </w:rPr>
        <w:t>v rámci limitu pojistného plnění sjednaného pro případ vandalismu (sublimit).</w:t>
      </w:r>
    </w:p>
    <w:p>
      <w:pPr>
        <w:pStyle w:val="Style14"/>
        <w:keepNext w:val="0"/>
        <w:keepLines w:val="0"/>
        <w:widowControl w:val="0"/>
        <w:numPr>
          <w:ilvl w:val="0"/>
          <w:numId w:val="9"/>
        </w:numPr>
        <w:shd w:val="clear" w:color="auto" w:fill="auto"/>
        <w:tabs>
          <w:tab w:pos="341" w:val="left"/>
        </w:tabs>
        <w:bidi w:val="0"/>
        <w:spacing w:before="0" w:after="0" w:line="336" w:lineRule="auto"/>
        <w:ind w:left="340" w:right="0" w:hanging="340"/>
        <w:jc w:val="left"/>
      </w:pPr>
      <w:r>
        <w:rPr>
          <w:rStyle w:val="CharStyle15"/>
          <w:b/>
          <w:bCs/>
        </w:rPr>
        <w:t>SMLUVNÍ UJEDNÁNÍ K ŽIVELNÍMU POJIŠTĚNÍ, ODCIZENÍ, VANDALISMU A TECHNICKÉMU RIZIKU SPOLEČNÁ PRO VŠECHNA MÍSTA POJIŠTĚNÍ</w:t>
      </w:r>
    </w:p>
    <w:p>
      <w:pPr>
        <w:pStyle w:val="Style16"/>
        <w:keepNext w:val="0"/>
        <w:keepLines w:val="0"/>
        <w:widowControl w:val="0"/>
        <w:shd w:val="clear" w:color="auto" w:fill="auto"/>
        <w:bidi w:val="0"/>
        <w:spacing w:before="0" w:after="0" w:line="240" w:lineRule="auto"/>
        <w:ind w:left="0" w:right="0" w:firstLine="0"/>
        <w:jc w:val="left"/>
      </w:pPr>
      <w:r>
        <w:rPr>
          <w:rStyle w:val="CharStyle17"/>
          <w:b/>
          <w:bCs/>
        </w:rPr>
        <w:t>Fotovoltaická elektrárna a její příslušenství - výluka</w:t>
      </w:r>
    </w:p>
    <w:p>
      <w:pPr>
        <w:pStyle w:val="Style16"/>
        <w:keepNext w:val="0"/>
        <w:keepLines w:val="0"/>
        <w:widowControl w:val="0"/>
        <w:shd w:val="clear" w:color="auto" w:fill="auto"/>
        <w:bidi w:val="0"/>
        <w:spacing w:before="0" w:after="240" w:line="240" w:lineRule="auto"/>
        <w:ind w:left="0" w:right="0" w:firstLine="0"/>
        <w:jc w:val="left"/>
      </w:pPr>
      <w:r>
        <w:rPr>
          <w:rStyle w:val="CharStyle17"/>
        </w:rPr>
        <w:t>Ujednává se, že se pojištění sjednané touto smlouvou nevztahuje na fotovoltaické elektrárny a jejich příslušenství.</w:t>
      </w:r>
    </w:p>
    <w:p>
      <w:pPr>
        <w:pStyle w:val="Style19"/>
        <w:keepNext/>
        <w:keepLines/>
        <w:widowControl w:val="0"/>
        <w:shd w:val="clear" w:color="auto" w:fill="auto"/>
        <w:bidi w:val="0"/>
        <w:spacing w:before="0" w:after="0" w:line="257" w:lineRule="auto"/>
        <w:ind w:left="0" w:right="0" w:firstLine="0"/>
        <w:jc w:val="left"/>
        <w:rPr>
          <w:sz w:val="18"/>
          <w:szCs w:val="18"/>
        </w:rPr>
      </w:pPr>
      <w:bookmarkStart w:id="22" w:name="bookmark22"/>
      <w:r>
        <w:rPr>
          <w:rStyle w:val="CharStyle20"/>
          <w:rFonts w:ascii="Calibri" w:eastAsia="Calibri" w:hAnsi="Calibri" w:cs="Calibri"/>
          <w:b/>
          <w:bCs/>
          <w:sz w:val="18"/>
          <w:szCs w:val="18"/>
        </w:rPr>
        <w:t>Nemovité objekty trvale neužívané - výluka</w:t>
      </w:r>
      <w:bookmarkEnd w:id="22"/>
    </w:p>
    <w:p>
      <w:pPr>
        <w:pStyle w:val="Style16"/>
        <w:keepNext w:val="0"/>
        <w:keepLines w:val="0"/>
        <w:widowControl w:val="0"/>
        <w:shd w:val="clear" w:color="auto" w:fill="auto"/>
        <w:bidi w:val="0"/>
        <w:spacing w:before="0" w:after="240" w:line="257" w:lineRule="auto"/>
        <w:ind w:left="0" w:right="0" w:firstLine="0"/>
        <w:jc w:val="left"/>
      </w:pPr>
      <w:r>
        <w:rPr>
          <w:rStyle w:val="CharStyle17"/>
        </w:rPr>
        <w:t>Ujednává se, že se pojištění nevztahuje na nemovité objekty trvale neužívané. Tato výluka se však neuplatní pro pojištěné nemovité objekty, pro které je touto smlouvou výslovně ujednán opak. Za nemovité objekty trvale neužívané se nepovažují nemovité objekty užívané sezónně, tj. nemovité objekty užívané pravidelně v určitém období v rámci kalendářního roku v návaznosti na sezónnost provozování činnosti, k níž tyto nemovité objekty slouží (např. provoz rekreačních ubytovacích zařízení v turistické sezóně) a nemovité objekty na kterých již započaly stavební práce v souvislosti s jejich rekonstrukcí.</w:t>
      </w:r>
    </w:p>
    <w:p>
      <w:pPr>
        <w:pStyle w:val="Style19"/>
        <w:keepNext/>
        <w:keepLines/>
        <w:widowControl w:val="0"/>
        <w:shd w:val="clear" w:color="auto" w:fill="auto"/>
        <w:bidi w:val="0"/>
        <w:spacing w:before="0" w:after="0" w:line="257" w:lineRule="auto"/>
        <w:ind w:left="0" w:right="0" w:firstLine="0"/>
        <w:jc w:val="left"/>
        <w:rPr>
          <w:sz w:val="18"/>
          <w:szCs w:val="18"/>
        </w:rPr>
      </w:pPr>
      <w:bookmarkStart w:id="24" w:name="bookmark24"/>
      <w:r>
        <w:rPr>
          <w:rStyle w:val="CharStyle20"/>
          <w:rFonts w:ascii="Calibri" w:eastAsia="Calibri" w:hAnsi="Calibri" w:cs="Calibri"/>
          <w:b/>
          <w:bCs/>
          <w:sz w:val="18"/>
          <w:szCs w:val="18"/>
        </w:rPr>
        <w:t>Pojištění majetku - rozšířeni územní platnosti pojištění</w:t>
      </w:r>
      <w:bookmarkEnd w:id="24"/>
    </w:p>
    <w:p>
      <w:pPr>
        <w:pStyle w:val="Style16"/>
        <w:keepNext w:val="0"/>
        <w:keepLines w:val="0"/>
        <w:widowControl w:val="0"/>
        <w:shd w:val="clear" w:color="auto" w:fill="auto"/>
        <w:bidi w:val="0"/>
        <w:spacing w:before="0" w:after="0" w:line="257" w:lineRule="auto"/>
        <w:ind w:left="0" w:right="0" w:firstLine="0"/>
        <w:jc w:val="left"/>
      </w:pPr>
      <w:r>
        <w:rPr>
          <w:rStyle w:val="CharStyle17"/>
        </w:rPr>
        <w:t>Ujednává se, že místem pojištění pro movité předměty (s výjimkou cenných předmětů a finančních prostředků) je kromě míst pojištění konkrétně vymezených v této smlouvě také ostatní území České republiky.</w:t>
      </w:r>
    </w:p>
    <w:p>
      <w:pPr>
        <w:pStyle w:val="Style16"/>
        <w:keepNext w:val="0"/>
        <w:keepLines w:val="0"/>
        <w:widowControl w:val="0"/>
        <w:shd w:val="clear" w:color="auto" w:fill="auto"/>
        <w:bidi w:val="0"/>
        <w:spacing w:before="0" w:after="0" w:line="257" w:lineRule="auto"/>
        <w:ind w:left="0" w:right="0" w:firstLine="0"/>
        <w:jc w:val="left"/>
      </w:pPr>
      <w:r>
        <w:rPr>
          <w:rStyle w:val="CharStyle17"/>
        </w:rPr>
        <w:t>Místem pojištění konkrétně vymezeným v této smlouvě se pro účely tohoto ujednání rozumí jak místo pojištění vymezené konkrétní adresou, tak místo pojištění podle podnikatelské činnosti pojištěného v přímé souvislosti s realizací zakázek na území ČR, pokud je touto smlouvou sjednáno.</w:t>
      </w:r>
    </w:p>
    <w:p>
      <w:pPr>
        <w:pStyle w:val="Style16"/>
        <w:keepNext w:val="0"/>
        <w:keepLines w:val="0"/>
        <w:widowControl w:val="0"/>
        <w:shd w:val="clear" w:color="auto" w:fill="auto"/>
        <w:bidi w:val="0"/>
        <w:spacing w:before="0" w:after="240" w:line="257" w:lineRule="auto"/>
        <w:ind w:left="0" w:right="0" w:firstLine="0"/>
        <w:jc w:val="left"/>
      </w:pPr>
      <w:r>
        <w:rPr>
          <w:rStyle w:val="CharStyle17"/>
        </w:rPr>
        <w:t xml:space="preserve">Na úhradu všech pojistných událostí vzniklých v průběhu jednoho pojistného roku na movitých předmětech (s výjimkou cenných předmětů a finančních prostředků) umístěných na ostatním území České republiky (mimo místa pojištění konkrétně vymezená v pojistné smlouvě) poskytne pojistitel pojistné plnění v souhrnu maximálně do výše součtu horních hranic pojistného plnění sjednaných na všech místech pojištění konkrétně uvedených v pojistné smlouvě pro příslušnou skupinu movitých předmětů a pro příslušné pojistné nebezpečí (v závislosti na tom, do jaké skupiny náleží movitý předmět zasažený pojistnou událostí, a na tom, jakým pojistným nebezpečím byla pojistná událost způsobena). Plnění pojistitele z pojistných událostí uvedených v předchozí větě však současně nepřesáhne </w:t>
      </w:r>
      <w:r>
        <w:rPr>
          <w:rStyle w:val="CharStyle17"/>
          <w:b/>
          <w:bCs/>
        </w:rPr>
        <w:t xml:space="preserve">100 000 Kč </w:t>
      </w:r>
      <w:r>
        <w:rPr>
          <w:rStyle w:val="CharStyle17"/>
        </w:rPr>
        <w:t>v souhrnu ze všech takových pojistných událostí nastalých v průběhu jednoho pojistného roku (bez ohledu na to, na jakých movitých předmětech a v důsledku jakých pojistných nebezpečí tyto pojistné události vznikly).</w:t>
      </w:r>
    </w:p>
    <w:p>
      <w:pPr>
        <w:pStyle w:val="Style19"/>
        <w:keepNext/>
        <w:keepLines/>
        <w:widowControl w:val="0"/>
        <w:shd w:val="clear" w:color="auto" w:fill="auto"/>
        <w:bidi w:val="0"/>
        <w:spacing w:before="0" w:after="0" w:line="259" w:lineRule="auto"/>
        <w:ind w:left="0" w:right="0" w:firstLine="0"/>
        <w:jc w:val="left"/>
        <w:rPr>
          <w:sz w:val="18"/>
          <w:szCs w:val="18"/>
        </w:rPr>
      </w:pPr>
      <w:bookmarkStart w:id="26" w:name="bookmark26"/>
      <w:r>
        <w:rPr>
          <w:rStyle w:val="CharStyle20"/>
          <w:rFonts w:ascii="Calibri" w:eastAsia="Calibri" w:hAnsi="Calibri" w:cs="Calibri"/>
          <w:b/>
          <w:bCs/>
          <w:sz w:val="18"/>
          <w:szCs w:val="18"/>
        </w:rPr>
        <w:t>Nemovité objekty ve výstavbě - výluka z pojištění</w:t>
      </w:r>
      <w:bookmarkEnd w:id="26"/>
    </w:p>
    <w:p>
      <w:pPr>
        <w:pStyle w:val="Style16"/>
        <w:keepNext w:val="0"/>
        <w:keepLines w:val="0"/>
        <w:widowControl w:val="0"/>
        <w:shd w:val="clear" w:color="auto" w:fill="auto"/>
        <w:bidi w:val="0"/>
        <w:spacing w:before="0" w:after="240"/>
        <w:ind w:left="0" w:right="0" w:firstLine="0"/>
        <w:jc w:val="left"/>
      </w:pPr>
      <w:r>
        <w:rPr>
          <w:rStyle w:val="CharStyle17"/>
        </w:rPr>
        <w:t>Ujednává se, že se pojištění sjednané touto smlouvou nevztahuje na nemovité objekty ve výstavbě.</w:t>
      </w:r>
    </w:p>
    <w:p>
      <w:pPr>
        <w:pStyle w:val="Style19"/>
        <w:keepNext/>
        <w:keepLines/>
        <w:widowControl w:val="0"/>
        <w:shd w:val="clear" w:color="auto" w:fill="auto"/>
        <w:bidi w:val="0"/>
        <w:spacing w:before="0" w:after="0" w:line="259" w:lineRule="auto"/>
        <w:ind w:left="0" w:right="0" w:firstLine="0"/>
        <w:jc w:val="left"/>
        <w:rPr>
          <w:sz w:val="18"/>
          <w:szCs w:val="18"/>
        </w:rPr>
      </w:pPr>
      <w:bookmarkStart w:id="28" w:name="bookmark28"/>
      <w:r>
        <w:rPr>
          <w:rStyle w:val="CharStyle20"/>
          <w:rFonts w:ascii="Calibri" w:eastAsia="Calibri" w:hAnsi="Calibri" w:cs="Calibri"/>
          <w:b/>
          <w:bCs/>
          <w:sz w:val="18"/>
          <w:szCs w:val="18"/>
        </w:rPr>
        <w:t>Čekací doba pro povodeň</w:t>
      </w:r>
      <w:bookmarkEnd w:id="28"/>
    </w:p>
    <w:p>
      <w:pPr>
        <w:pStyle w:val="Style16"/>
        <w:keepNext w:val="0"/>
        <w:keepLines w:val="0"/>
        <w:widowControl w:val="0"/>
        <w:shd w:val="clear" w:color="auto" w:fill="auto"/>
        <w:bidi w:val="0"/>
        <w:spacing w:before="0" w:after="0"/>
        <w:ind w:left="0" w:right="0" w:firstLine="0"/>
        <w:jc w:val="left"/>
      </w:pPr>
      <w:r>
        <w:rPr>
          <w:rStyle w:val="CharStyle17"/>
        </w:rPr>
        <w:t>Ve smyslu čl. 3 odst. 4) ZPP P-150/14 nastane-li škodná událost následkem povodně nebo v přímé souvislosti s povodní do 10 dnů po sjednání pojištění, není pojistitel z této škodné události povinen poskytnout pojistné plnění.</w:t>
      </w:r>
    </w:p>
    <w:p>
      <w:pPr>
        <w:pStyle w:val="Style16"/>
        <w:keepNext w:val="0"/>
        <w:keepLines w:val="0"/>
        <w:widowControl w:val="0"/>
        <w:shd w:val="clear" w:color="auto" w:fill="auto"/>
        <w:bidi w:val="0"/>
        <w:spacing w:before="0" w:after="0"/>
        <w:ind w:left="0" w:right="0" w:firstLine="0"/>
        <w:jc w:val="left"/>
      </w:pPr>
      <w:r>
        <w:rPr>
          <w:rStyle w:val="CharStyle17"/>
        </w:rPr>
        <w:t>Čl. 3 odst. 4) ZPP P-150/14 se neuplatní v případě, že pro případ pojistné události vzniklé na příslušném předmětu pojištění v daném místě pojištění působením pojistného nebezpečí povodeň již bylo před počátkem pojištění sjednaného touto pojistnou smlouvou (počátkem změn sjednaných tímto dodatkem k pojistné smlouvě) u pojistitele uvedeného v této pojistné smlouvě sjednáno pojištění proti pojistnému nebezpečí povodeň, které bezprostředně předcházelo pojištění sjednanému touto pojistnou smlouvou (dodatkem k pojistné smlouvě); podmínkou je nepřetržité trvání pojištění.</w:t>
      </w:r>
    </w:p>
    <w:p>
      <w:pPr>
        <w:pStyle w:val="Style16"/>
        <w:keepNext w:val="0"/>
        <w:keepLines w:val="0"/>
        <w:widowControl w:val="0"/>
        <w:shd w:val="clear" w:color="auto" w:fill="auto"/>
        <w:bidi w:val="0"/>
        <w:spacing w:before="0" w:after="240"/>
        <w:ind w:left="0" w:right="0" w:firstLine="0"/>
        <w:jc w:val="left"/>
      </w:pPr>
      <w:r>
        <w:rPr>
          <w:rStyle w:val="CharStyle17"/>
        </w:rPr>
        <w:t>Došlo-Li však ke zvýšení horní hranice pojistného plnění čí jinému rozšíření rozsahu pojištění proti pojistnému nebezpečí povodeň, není pojistitel povinen z pojistné události vzniklé následkem povodně nebo v přímé souvislosti s povodní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w:t>
      </w:r>
    </w:p>
    <w:p>
      <w:pPr>
        <w:pStyle w:val="Style16"/>
        <w:keepNext w:val="0"/>
        <w:keepLines w:val="0"/>
        <w:widowControl w:val="0"/>
        <w:shd w:val="clear" w:color="auto" w:fill="auto"/>
        <w:bidi w:val="0"/>
        <w:spacing w:before="0" w:after="240" w:line="240" w:lineRule="auto"/>
        <w:ind w:left="0" w:right="0" w:firstLine="0"/>
        <w:jc w:val="left"/>
      </w:pPr>
      <w:r>
        <w:rPr>
          <w:rStyle w:val="CharStyle17"/>
          <w:b/>
          <w:bCs/>
        </w:rPr>
        <w:t>Celkový limit plněni pro případ škod vzniklých působením povodně nebo záplavy za pojistnou smlouvu</w:t>
      </w:r>
    </w:p>
    <w:p>
      <w:pPr>
        <w:pStyle w:val="Style16"/>
        <w:keepNext w:val="0"/>
        <w:keepLines w:val="0"/>
        <w:widowControl w:val="0"/>
        <w:shd w:val="clear" w:color="auto" w:fill="auto"/>
        <w:bidi w:val="0"/>
        <w:spacing w:before="0" w:after="240" w:line="262" w:lineRule="auto"/>
        <w:ind w:left="0" w:right="0" w:firstLine="0"/>
        <w:jc w:val="left"/>
      </w:pPr>
      <w:r>
        <w:rPr>
          <w:rStyle w:val="CharStyle17"/>
        </w:rPr>
        <w:t>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3 000 000 Kč.</w:t>
      </w:r>
    </w:p>
    <w:p>
      <w:pPr>
        <w:pStyle w:val="Style19"/>
        <w:keepNext/>
        <w:keepLines/>
        <w:widowControl w:val="0"/>
        <w:shd w:val="clear" w:color="auto" w:fill="auto"/>
        <w:bidi w:val="0"/>
        <w:spacing w:before="0" w:after="0" w:line="259" w:lineRule="auto"/>
        <w:ind w:left="0" w:right="0" w:firstLine="0"/>
        <w:jc w:val="left"/>
        <w:rPr>
          <w:sz w:val="18"/>
          <w:szCs w:val="18"/>
        </w:rPr>
      </w:pPr>
      <w:bookmarkStart w:id="30" w:name="bookmark30"/>
      <w:r>
        <w:rPr>
          <w:rStyle w:val="CharStyle20"/>
          <w:rFonts w:ascii="Calibri" w:eastAsia="Calibri" w:hAnsi="Calibri" w:cs="Calibri"/>
          <w:b/>
          <w:bCs/>
          <w:sz w:val="18"/>
          <w:szCs w:val="18"/>
        </w:rPr>
        <w:t>Čekací doba pro vichřici</w:t>
      </w:r>
      <w:bookmarkEnd w:id="30"/>
    </w:p>
    <w:p>
      <w:pPr>
        <w:pStyle w:val="Style16"/>
        <w:keepNext w:val="0"/>
        <w:keepLines w:val="0"/>
        <w:widowControl w:val="0"/>
        <w:shd w:val="clear" w:color="auto" w:fill="auto"/>
        <w:bidi w:val="0"/>
        <w:spacing w:before="0" w:after="0"/>
        <w:ind w:left="0" w:right="0" w:firstLine="0"/>
        <w:jc w:val="left"/>
      </w:pPr>
      <w:r>
        <w:rPr>
          <w:rStyle w:val="CharStyle17"/>
        </w:rPr>
        <w:t>Ve smyslu či. 3 odst. 5) ZPP P-150/14 nastane-li škodná událost následkem vichřice nebo v přímé souvislosti s vichřicí do 10 dnů po sjednání pojištění, není pojistitel z této škodné události povinen poskytnout pojistné plnění.</w:t>
      </w:r>
    </w:p>
    <w:p>
      <w:pPr>
        <w:pStyle w:val="Style16"/>
        <w:keepNext w:val="0"/>
        <w:keepLines w:val="0"/>
        <w:widowControl w:val="0"/>
        <w:shd w:val="clear" w:color="auto" w:fill="auto"/>
        <w:bidi w:val="0"/>
        <w:spacing w:before="0" w:after="0"/>
        <w:ind w:left="0" w:right="0" w:firstLine="0"/>
        <w:jc w:val="left"/>
      </w:pPr>
      <w:r>
        <w:rPr>
          <w:rStyle w:val="CharStyle17"/>
        </w:rPr>
        <w:t>ČI. 3 odst. 5) ZPP P-150/14 se neuplatní v případě, že pro případ pojistné události vzniklé na příslušném předmětu pojištění v daném místě pojištění působením pojistného nebezpečí vichřice již bylo před počátkem pojištění sjednaného touto pojistnou smlouvou (před počátkem změn sjednaných tímto dodatkem k pojistné smlouvě) u pojistitele uvedeného v této pojistné smlouvě sjednáno pojištění proti pojistnému nebezpečí vichřice, které bezprostředně předcházelo pojištění sjednanému touto pojistnou smlouvou (dodatkem k pojistné smlouvě); podmínkou je nepřetržité trvání pojištění.</w:t>
      </w:r>
    </w:p>
    <w:p>
      <w:pPr>
        <w:pStyle w:val="Style16"/>
        <w:keepNext w:val="0"/>
        <w:keepLines w:val="0"/>
        <w:widowControl w:val="0"/>
        <w:shd w:val="clear" w:color="auto" w:fill="auto"/>
        <w:bidi w:val="0"/>
        <w:spacing w:before="0" w:after="240"/>
        <w:ind w:left="0" w:right="0" w:firstLine="0"/>
        <w:jc w:val="left"/>
      </w:pPr>
      <w:r>
        <w:rPr>
          <w:rStyle w:val="CharStyle17"/>
        </w:rPr>
        <w:t>Došlo-li však ke zvýšení horní hranice pojistného plnění či jinému rozšíření rozsahu pojištění proti pojistnému nebezpečí vichřice, není pojistitel povinen z pojistné události vzniklé následkem vichřice nebo v přímé souvislosti s vichřicí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w:t>
      </w:r>
    </w:p>
    <w:p>
      <w:pPr>
        <w:pStyle w:val="Style19"/>
        <w:keepNext/>
        <w:keepLines/>
        <w:widowControl w:val="0"/>
        <w:shd w:val="clear" w:color="auto" w:fill="auto"/>
        <w:bidi w:val="0"/>
        <w:spacing w:before="0" w:after="0" w:line="264" w:lineRule="auto"/>
        <w:ind w:left="0" w:right="0" w:firstLine="0"/>
        <w:jc w:val="left"/>
        <w:rPr>
          <w:sz w:val="18"/>
          <w:szCs w:val="18"/>
        </w:rPr>
      </w:pPr>
      <w:bookmarkStart w:id="32" w:name="bookmark32"/>
      <w:r>
        <w:rPr>
          <w:rStyle w:val="CharStyle20"/>
          <w:rFonts w:ascii="Calibri" w:eastAsia="Calibri" w:hAnsi="Calibri" w:cs="Calibri"/>
          <w:b/>
          <w:bCs/>
          <w:sz w:val="18"/>
          <w:szCs w:val="18"/>
        </w:rPr>
        <w:t>Tíha sněhu nebo námrazy - omezení</w:t>
      </w:r>
      <w:bookmarkEnd w:id="32"/>
    </w:p>
    <w:p>
      <w:pPr>
        <w:pStyle w:val="Style16"/>
        <w:keepNext w:val="0"/>
        <w:keepLines w:val="0"/>
        <w:widowControl w:val="0"/>
        <w:shd w:val="clear" w:color="auto" w:fill="auto"/>
        <w:bidi w:val="0"/>
        <w:spacing w:before="0" w:after="460" w:line="264" w:lineRule="auto"/>
        <w:ind w:left="0" w:right="0" w:firstLine="0"/>
        <w:jc w:val="left"/>
      </w:pPr>
      <w:r>
        <w:rPr>
          <w:rStyle w:val="CharStyle17"/>
        </w:rPr>
        <w:t>Pojištění pro případ škod způsobených tíhou sněhu nebo námrazy se vztahuje pouze na škody vzniklé na pojištěných budovách, není-Li touto smlouvou pro konkrétní předmět pojištění ujednáno jinak.</w:t>
      </w:r>
    </w:p>
    <w:p>
      <w:pPr>
        <w:pStyle w:val="Style14"/>
        <w:keepNext w:val="0"/>
        <w:keepLines w:val="0"/>
        <w:widowControl w:val="0"/>
        <w:numPr>
          <w:ilvl w:val="0"/>
          <w:numId w:val="9"/>
        </w:numPr>
        <w:shd w:val="clear" w:color="auto" w:fill="auto"/>
        <w:tabs>
          <w:tab w:pos="344" w:val="left"/>
        </w:tabs>
        <w:bidi w:val="0"/>
        <w:spacing w:before="0" w:after="240" w:line="305" w:lineRule="auto"/>
        <w:ind w:left="0" w:right="0" w:firstLine="0"/>
        <w:jc w:val="left"/>
      </w:pPr>
      <w:r>
        <w:rPr>
          <w:rStyle w:val="CharStyle15"/>
          <w:b/>
          <w:bCs/>
        </w:rPr>
        <w:t>POJIŠTĚNÍ ODPOVĚDNOSTI ZA ÚJMU</w:t>
      </w:r>
    </w:p>
    <w:p>
      <w:pPr>
        <w:pStyle w:val="Style19"/>
        <w:keepNext/>
        <w:keepLines/>
        <w:widowControl w:val="0"/>
        <w:numPr>
          <w:ilvl w:val="1"/>
          <w:numId w:val="9"/>
        </w:numPr>
        <w:shd w:val="clear" w:color="auto" w:fill="auto"/>
        <w:tabs>
          <w:tab w:pos="383" w:val="left"/>
        </w:tabs>
        <w:bidi w:val="0"/>
        <w:spacing w:before="0" w:after="0" w:line="305" w:lineRule="auto"/>
        <w:ind w:left="0" w:right="0" w:firstLine="0"/>
        <w:jc w:val="left"/>
      </w:pPr>
      <w:bookmarkStart w:id="34" w:name="bookmark34"/>
      <w:r>
        <w:rPr>
          <w:rStyle w:val="CharStyle20"/>
          <w:b/>
          <w:bCs/>
        </w:rPr>
        <w:t>POJIŠTĚNÉ SUBJEKTY</w:t>
      </w:r>
      <w:bookmarkEnd w:id="34"/>
    </w:p>
    <w:p>
      <w:pPr>
        <w:pStyle w:val="Style16"/>
        <w:keepNext w:val="0"/>
        <w:keepLines w:val="0"/>
        <w:widowControl w:val="0"/>
        <w:shd w:val="clear" w:color="auto" w:fill="auto"/>
        <w:bidi w:val="0"/>
        <w:spacing w:before="0" w:after="240" w:line="266" w:lineRule="auto"/>
        <w:ind w:left="0" w:right="0" w:firstLine="0"/>
        <w:jc w:val="left"/>
      </w:pPr>
      <w:r>
        <w:rPr>
          <w:rStyle w:val="CharStyle17"/>
        </w:rPr>
        <w:t>Pojištění odpovědnosti za újmu se vztahuje na subjekty uvedené v článku 1, odstavci 1 této smlouvy.</w:t>
      </w:r>
    </w:p>
    <w:p>
      <w:pPr>
        <w:pStyle w:val="Style19"/>
        <w:keepNext/>
        <w:keepLines/>
        <w:widowControl w:val="0"/>
        <w:numPr>
          <w:ilvl w:val="1"/>
          <w:numId w:val="9"/>
        </w:numPr>
        <w:shd w:val="clear" w:color="auto" w:fill="auto"/>
        <w:tabs>
          <w:tab w:pos="383" w:val="left"/>
        </w:tabs>
        <w:bidi w:val="0"/>
        <w:spacing w:before="0" w:after="0" w:line="305" w:lineRule="auto"/>
        <w:ind w:left="0" w:right="0" w:firstLine="0"/>
        <w:jc w:val="left"/>
      </w:pPr>
      <w:bookmarkStart w:id="36" w:name="bookmark36"/>
      <w:r>
        <w:rPr>
          <w:rStyle w:val="CharStyle20"/>
          <w:b/>
          <w:bCs/>
        </w:rPr>
        <w:t>HLAVNÍ ČINNOSTI A VÝŠE HRUBÝCH PŘÍJMŮ</w:t>
      </w:r>
      <w:bookmarkEnd w:id="36"/>
    </w:p>
    <w:p>
      <w:pPr>
        <w:pStyle w:val="Style16"/>
        <w:keepNext w:val="0"/>
        <w:keepLines w:val="0"/>
        <w:widowControl w:val="0"/>
        <w:shd w:val="clear" w:color="auto" w:fill="auto"/>
        <w:bidi w:val="0"/>
        <w:spacing w:before="0" w:after="0" w:line="266" w:lineRule="auto"/>
        <w:ind w:left="0" w:right="0" w:firstLine="0"/>
        <w:jc w:val="left"/>
      </w:pPr>
      <w:r>
        <w:rPr>
          <w:rStyle w:val="CharStyle17"/>
        </w:rPr>
        <w:t>Předpokladem plnění pojistitele je současné splnění následujících podmínek:</w:t>
      </w:r>
    </w:p>
    <w:p>
      <w:pPr>
        <w:pStyle w:val="Style16"/>
        <w:keepNext w:val="0"/>
        <w:keepLines w:val="0"/>
        <w:widowControl w:val="0"/>
        <w:numPr>
          <w:ilvl w:val="0"/>
          <w:numId w:val="15"/>
        </w:numPr>
        <w:shd w:val="clear" w:color="auto" w:fill="auto"/>
        <w:tabs>
          <w:tab w:pos="681" w:val="left"/>
        </w:tabs>
        <w:bidi w:val="0"/>
        <w:spacing w:before="0" w:after="0" w:line="266" w:lineRule="auto"/>
        <w:ind w:left="0" w:right="0" w:firstLine="340"/>
        <w:jc w:val="left"/>
      </w:pPr>
      <w:r>
        <w:rPr>
          <w:rStyle w:val="CharStyle17"/>
        </w:rPr>
        <w:t>újma byla způsobena v souvislosti s činností, která spadá do předmětu činnosti pojištěného vymezeného v čl. 1. odst. 2,</w:t>
      </w:r>
    </w:p>
    <w:p>
      <w:pPr>
        <w:pStyle w:val="Style16"/>
        <w:keepNext w:val="0"/>
        <w:keepLines w:val="0"/>
        <w:widowControl w:val="0"/>
        <w:numPr>
          <w:ilvl w:val="0"/>
          <w:numId w:val="15"/>
        </w:numPr>
        <w:shd w:val="clear" w:color="auto" w:fill="auto"/>
        <w:tabs>
          <w:tab w:pos="701" w:val="left"/>
        </w:tabs>
        <w:bidi w:val="0"/>
        <w:spacing w:before="0" w:after="0" w:line="266" w:lineRule="auto"/>
        <w:ind w:left="700" w:right="0" w:hanging="340"/>
        <w:jc w:val="left"/>
      </w:pPr>
      <w:r>
        <w:rPr>
          <w:rStyle w:val="CharStyle17"/>
        </w:rPr>
        <w:t>pojištěný je v době vzniku škodné události oprávněn k provozování příslušné činnosti na základě obecně závazných právních předpisů,</w:t>
      </w:r>
    </w:p>
    <w:p>
      <w:pPr>
        <w:pStyle w:val="Style16"/>
        <w:keepNext w:val="0"/>
        <w:keepLines w:val="0"/>
        <w:widowControl w:val="0"/>
        <w:numPr>
          <w:ilvl w:val="0"/>
          <w:numId w:val="15"/>
        </w:numPr>
        <w:shd w:val="clear" w:color="auto" w:fill="auto"/>
        <w:tabs>
          <w:tab w:pos="701" w:val="left"/>
        </w:tabs>
        <w:bidi w:val="0"/>
        <w:spacing w:before="0" w:after="240" w:line="266" w:lineRule="auto"/>
        <w:ind w:left="700" w:right="0" w:hanging="340"/>
        <w:jc w:val="left"/>
      </w:pPr>
      <w:r>
        <w:rPr>
          <w:rStyle w:val="CharStyle17"/>
        </w:rPr>
        <w:t>odpovědnost za újmu způsobenou v souvislosti s příslušnou činností není z pojištění vyloučena touto pojistnou smlouvou, pojistnými podmínkami nebo zvláštními ujednáními vztahujícími se k pojištění.</w:t>
      </w:r>
    </w:p>
    <w:p>
      <w:pPr>
        <w:pStyle w:val="Style19"/>
        <w:keepNext/>
        <w:keepLines/>
        <w:widowControl w:val="0"/>
        <w:shd w:val="clear" w:color="auto" w:fill="auto"/>
        <w:bidi w:val="0"/>
        <w:spacing w:before="0" w:after="0" w:line="257" w:lineRule="auto"/>
        <w:ind w:left="0" w:right="0" w:firstLine="0"/>
        <w:jc w:val="left"/>
        <w:rPr>
          <w:sz w:val="18"/>
          <w:szCs w:val="18"/>
        </w:rPr>
      </w:pPr>
      <w:bookmarkStart w:id="38" w:name="bookmark38"/>
      <w:r>
        <w:rPr>
          <w:rStyle w:val="CharStyle20"/>
          <w:rFonts w:ascii="Calibri" w:eastAsia="Calibri" w:hAnsi="Calibri" w:cs="Calibri"/>
          <w:b/>
          <w:bCs/>
          <w:sz w:val="18"/>
          <w:szCs w:val="18"/>
        </w:rPr>
        <w:t>Více oborů činností</w:t>
      </w:r>
      <w:bookmarkEnd w:id="38"/>
    </w:p>
    <w:p>
      <w:pPr>
        <w:pStyle w:val="Style16"/>
        <w:keepNext w:val="0"/>
        <w:keepLines w:val="0"/>
        <w:widowControl w:val="0"/>
        <w:shd w:val="clear" w:color="auto" w:fill="auto"/>
        <w:bidi w:val="0"/>
        <w:spacing w:before="0" w:after="240" w:line="257" w:lineRule="auto"/>
        <w:ind w:left="0" w:right="0" w:firstLine="0"/>
        <w:jc w:val="left"/>
      </w:pPr>
      <w:r>
        <w:rPr>
          <w:rStyle w:val="CharStyle17"/>
        </w:rPr>
        <w:t>Pokud činnost (některá z činností), na niž se vztahuje pojištění sjednané touto smlouvou,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sjednání pojištění.</w:t>
      </w:r>
    </w:p>
    <w:p>
      <w:pPr>
        <w:pStyle w:val="Style19"/>
        <w:keepNext/>
        <w:keepLines/>
        <w:widowControl w:val="0"/>
        <w:shd w:val="clear" w:color="auto" w:fill="auto"/>
        <w:bidi w:val="0"/>
        <w:spacing w:before="0" w:after="0" w:line="276" w:lineRule="auto"/>
        <w:ind w:left="0" w:right="0" w:firstLine="0"/>
        <w:jc w:val="left"/>
        <w:rPr>
          <w:sz w:val="18"/>
          <w:szCs w:val="18"/>
        </w:rPr>
      </w:pPr>
      <w:bookmarkStart w:id="40" w:name="bookmark40"/>
      <w:r>
        <w:rPr>
          <w:rStyle w:val="CharStyle20"/>
          <w:rFonts w:ascii="Calibri" w:eastAsia="Calibri" w:hAnsi="Calibri" w:cs="Calibri"/>
          <w:b/>
          <w:bCs/>
          <w:sz w:val="18"/>
          <w:szCs w:val="18"/>
        </w:rPr>
        <w:t>Hlavní činnosti pojištěného</w:t>
      </w:r>
      <w:bookmarkEnd w:id="40"/>
    </w:p>
    <w:p>
      <w:pPr>
        <w:pStyle w:val="Style16"/>
        <w:keepNext w:val="0"/>
        <w:keepLines w:val="0"/>
        <w:widowControl w:val="0"/>
        <w:shd w:val="clear" w:color="auto" w:fill="auto"/>
        <w:bidi w:val="0"/>
        <w:spacing w:before="0" w:after="0" w:line="276" w:lineRule="auto"/>
        <w:ind w:left="0" w:right="0" w:firstLine="0"/>
        <w:jc w:val="left"/>
      </w:pPr>
      <w:r>
        <w:rPr>
          <w:rStyle w:val="CharStyle17"/>
        </w:rPr>
        <w:t>Za hlavní činnosti se považují činnosti s nejvyšším podílem na hrubých ročních příjmech pojištěného:</w:t>
      </w:r>
    </w:p>
    <w:p>
      <w:pPr>
        <w:pStyle w:val="Style16"/>
        <w:keepNext w:val="0"/>
        <w:keepLines w:val="0"/>
        <w:widowControl w:val="0"/>
        <w:numPr>
          <w:ilvl w:val="0"/>
          <w:numId w:val="15"/>
        </w:numPr>
        <w:shd w:val="clear" w:color="auto" w:fill="auto"/>
        <w:tabs>
          <w:tab w:pos="701" w:val="left"/>
        </w:tabs>
        <w:bidi w:val="0"/>
        <w:spacing w:before="0" w:after="240" w:line="276" w:lineRule="auto"/>
        <w:ind w:left="700" w:right="0" w:hanging="340"/>
        <w:jc w:val="left"/>
      </w:pPr>
      <w:r>
        <w:rPr>
          <w:rStyle w:val="CharStyle17"/>
        </w:rPr>
        <w:t>základní, základní umělecká, střední nebo vyšší odborná škola zapsaná do školského rejstříku, vysoká škola, nebo dům dětí a mládeže</w:t>
      </w:r>
    </w:p>
    <w:p>
      <w:pPr>
        <w:pStyle w:val="Style16"/>
        <w:keepNext w:val="0"/>
        <w:keepLines w:val="0"/>
        <w:widowControl w:val="0"/>
        <w:shd w:val="clear" w:color="auto" w:fill="auto"/>
        <w:bidi w:val="0"/>
        <w:spacing w:before="0" w:after="240"/>
        <w:ind w:left="0" w:right="0" w:firstLine="0"/>
        <w:jc w:val="left"/>
      </w:pPr>
      <w:r>
        <w:rPr>
          <w:rStyle w:val="CharStyle17"/>
        </w:rPr>
        <w:t xml:space="preserve">Činnosti, které jsou z pojištění odpovědnosti za újmu, případně z pojištění odpovědnosti za újmu způsobenou vadou výrobku a vadou práce po předání vyloučeny nebo u nichž je horní hranice pojistného plnění omezena sublimitem, jsou uvedeny v dokumentu </w:t>
      </w:r>
      <w:r>
        <w:rPr>
          <w:rStyle w:val="CharStyle17"/>
          <w:b/>
          <w:bCs/>
        </w:rPr>
        <w:t xml:space="preserve">Zvláštní smluvní ujednání k pojištění odpovědnosti za újmu, </w:t>
      </w:r>
      <w:r>
        <w:rPr>
          <w:rStyle w:val="CharStyle17"/>
        </w:rPr>
        <w:t>který je nedílnou součástí této pojistné smlouvy.</w:t>
      </w:r>
    </w:p>
    <w:p>
      <w:pPr>
        <w:pStyle w:val="Style16"/>
        <w:keepNext w:val="0"/>
        <w:keepLines w:val="0"/>
        <w:widowControl w:val="0"/>
        <w:shd w:val="clear" w:color="auto" w:fill="auto"/>
        <w:bidi w:val="0"/>
        <w:spacing w:before="0" w:after="240" w:line="240" w:lineRule="auto"/>
        <w:ind w:left="0" w:right="0" w:firstLine="0"/>
        <w:jc w:val="left"/>
      </w:pPr>
      <w:r>
        <w:rPr>
          <w:rStyle w:val="CharStyle17"/>
          <w:b/>
          <w:bCs/>
        </w:rPr>
        <w:t xml:space="preserve">Počet žáků / dětí: </w:t>
      </w:r>
      <w:r>
        <w:rPr>
          <w:rStyle w:val="CharStyle17"/>
        </w:rPr>
        <w:t>24</w:t>
      </w:r>
    </w:p>
    <w:p>
      <w:pPr>
        <w:pStyle w:val="Style25"/>
        <w:keepNext w:val="0"/>
        <w:keepLines w:val="0"/>
        <w:widowControl w:val="0"/>
        <w:shd w:val="clear" w:color="auto" w:fill="auto"/>
        <w:bidi w:val="0"/>
        <w:spacing w:before="0" w:after="0" w:line="240" w:lineRule="auto"/>
        <w:ind w:left="0" w:right="0" w:firstLine="0"/>
        <w:jc w:val="left"/>
        <w:rPr>
          <w:sz w:val="17"/>
          <w:szCs w:val="17"/>
        </w:rPr>
      </w:pPr>
      <w:r>
        <w:rPr>
          <w:rStyle w:val="CharStyle26"/>
          <w:rFonts w:ascii="Arial" w:eastAsia="Arial" w:hAnsi="Arial" w:cs="Arial"/>
          <w:b/>
          <w:bCs/>
          <w:sz w:val="17"/>
          <w:szCs w:val="17"/>
        </w:rPr>
        <w:t>4.3 ZÁKLADNÍ POJIŠTĚNÍ</w:t>
      </w:r>
    </w:p>
    <w:p>
      <w:pPr>
        <w:pStyle w:val="Style25"/>
        <w:keepNext w:val="0"/>
        <w:keepLines w:val="0"/>
        <w:widowControl w:val="0"/>
        <w:shd w:val="clear" w:color="auto" w:fill="auto"/>
        <w:bidi w:val="0"/>
        <w:spacing w:before="0" w:after="0" w:line="240" w:lineRule="auto"/>
        <w:ind w:left="0" w:right="0" w:firstLine="0"/>
        <w:jc w:val="left"/>
      </w:pPr>
      <w:r>
        <w:rPr>
          <w:rStyle w:val="CharStyle26"/>
        </w:rPr>
        <w:t>Pojištění se sjednává v rozsahu a za podmínek uvedených v následující tabulce/následujících tabulkách:</w:t>
      </w:r>
    </w:p>
    <w:tbl>
      <w:tblPr>
        <w:tblOverlap w:val="never"/>
        <w:jc w:val="center"/>
        <w:tblLayout w:type="fixed"/>
      </w:tblPr>
      <w:tblGrid>
        <w:gridCol w:w="3283"/>
        <w:gridCol w:w="2184"/>
        <w:gridCol w:w="2179"/>
        <w:gridCol w:w="1368"/>
        <w:gridCol w:w="1373"/>
      </w:tblGrid>
      <w:tr>
        <w:trPr>
          <w:trHeight w:val="365" w:hRule="exact"/>
        </w:trPr>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Územní platnost:</w:t>
            </w:r>
          </w:p>
        </w:tc>
        <w:tc>
          <w:tcPr>
            <w:gridSpan w:val="4"/>
            <w:tcBorders>
              <w:top w:val="single" w:sz="4"/>
              <w:left w:val="single" w:sz="4"/>
              <w:righ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rPr>
              <w:t>Česká republika</w:t>
            </w:r>
          </w:p>
        </w:tc>
      </w:tr>
      <w:tr>
        <w:trPr>
          <w:trHeight w:val="346" w:hRule="exact"/>
        </w:trPr>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Rozsah pojištění</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Limit pojistného plnění</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Sublimit pro výrobek*</w:t>
            </w:r>
          </w:p>
        </w:tc>
        <w:tc>
          <w:tcPr>
            <w:tcBorders>
              <w:top w:val="single" w:sz="4"/>
              <w:lef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left"/>
            </w:pPr>
            <w:r>
              <w:rPr>
                <w:rStyle w:val="CharStyle29"/>
                <w:b/>
                <w:bCs/>
              </w:rPr>
              <w:t>Spoluúčast</w:t>
            </w:r>
          </w:p>
        </w:tc>
        <w:tc>
          <w:tcPr>
            <w:tcBorders>
              <w:top w:val="single" w:sz="4"/>
              <w:left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right"/>
            </w:pPr>
            <w:r>
              <w:rPr>
                <w:rStyle w:val="CharStyle29"/>
                <w:b/>
                <w:bCs/>
              </w:rPr>
              <w:t>Roční pojistné</w:t>
            </w:r>
          </w:p>
        </w:tc>
      </w:tr>
      <w:tr>
        <w:trPr>
          <w:trHeight w:val="989" w:hRule="exact"/>
        </w:trPr>
        <w:tc>
          <w:tcPr>
            <w:tcBorders>
              <w:top w:val="single" w:sz="4"/>
              <w:left w:val="single" w:sz="4"/>
              <w:bottom w:val="single" w:sz="4"/>
            </w:tcBorders>
            <w:shd w:val="clear" w:color="auto" w:fill="auto"/>
            <w:vAlign w:val="bottom"/>
          </w:tcPr>
          <w:p>
            <w:pPr>
              <w:pStyle w:val="Style28"/>
              <w:keepNext w:val="0"/>
              <w:keepLines w:val="0"/>
              <w:widowControl w:val="0"/>
              <w:shd w:val="clear" w:color="auto" w:fill="auto"/>
              <w:bidi w:val="0"/>
              <w:spacing w:before="0" w:after="0"/>
              <w:ind w:left="0" w:right="0" w:firstLine="0"/>
              <w:jc w:val="left"/>
            </w:pPr>
            <w:r>
              <w:rPr>
                <w:rStyle w:val="CharStyle29"/>
              </w:rPr>
              <w:t xml:space="preserve">Pojištění se vztahuje na povinnost nahradit újmu </w:t>
            </w:r>
            <w:r>
              <w:rPr>
                <w:rStyle w:val="CharStyle29"/>
                <w:b/>
                <w:bCs/>
              </w:rPr>
              <w:t xml:space="preserve">včetně </w:t>
            </w:r>
            <w:r>
              <w:rPr>
                <w:rStyle w:val="CharStyle29"/>
              </w:rPr>
              <w:t xml:space="preserve">újmy způsobené vadou </w:t>
            </w:r>
            <w:r>
              <w:rPr>
                <w:rStyle w:val="CharStyle29"/>
                <w:b/>
                <w:bCs/>
              </w:rPr>
              <w:t>výrobku a vadou práce po předání.</w:t>
            </w:r>
          </w:p>
        </w:tc>
        <w:tc>
          <w:tcPr>
            <w:tcBorders>
              <w:top w:val="single" w:sz="4"/>
              <w:left w:val="single" w:sz="4"/>
              <w:bottom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860"/>
              <w:jc w:val="left"/>
            </w:pPr>
            <w:r>
              <w:rPr>
                <w:rStyle w:val="CharStyle29"/>
              </w:rPr>
              <w:t>10 000 000 Kč</w:t>
            </w:r>
          </w:p>
        </w:tc>
        <w:tc>
          <w:tcPr>
            <w:tcBorders>
              <w:top w:val="single" w:sz="4"/>
              <w:left w:val="single" w:sz="4"/>
              <w:bottom w:val="single" w:sz="4"/>
            </w:tcBorders>
            <w:shd w:val="clear" w:color="auto" w:fill="auto"/>
            <w:vAlign w:val="top"/>
          </w:tcPr>
          <w:p>
            <w:pPr>
              <w:pStyle w:val="Style28"/>
              <w:keepNext w:val="0"/>
              <w:keepLines w:val="0"/>
              <w:widowControl w:val="0"/>
              <w:shd w:val="clear" w:color="auto" w:fill="auto"/>
              <w:bidi w:val="0"/>
              <w:spacing w:before="0" w:after="0" w:line="254" w:lineRule="auto"/>
              <w:ind w:left="0" w:right="0" w:firstLine="0"/>
              <w:jc w:val="right"/>
            </w:pPr>
            <w:r>
              <w:rPr>
                <w:rStyle w:val="CharStyle29"/>
              </w:rPr>
              <w:t>v rámci limitu pojistného plnění</w:t>
            </w:r>
          </w:p>
        </w:tc>
        <w:tc>
          <w:tcPr>
            <w:tcBorders>
              <w:top w:val="single" w:sz="4"/>
              <w:left w:val="single" w:sz="4"/>
              <w:bottom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580"/>
              <w:jc w:val="left"/>
            </w:pPr>
            <w:r>
              <w:rPr>
                <w:rStyle w:val="CharStyle29"/>
              </w:rPr>
              <w:t>2 500 Kč</w:t>
            </w:r>
          </w:p>
        </w:tc>
        <w:tc>
          <w:tcPr>
            <w:tcBorders>
              <w:top w:val="single" w:sz="4"/>
              <w:left w:val="single" w:sz="4"/>
              <w:bottom w:val="single" w:sz="4"/>
              <w:right w:val="single" w:sz="4"/>
            </w:tcBorders>
            <w:shd w:val="clear" w:color="auto" w:fill="DFDFDF"/>
            <w:vAlign w:val="top"/>
          </w:tcPr>
          <w:p>
            <w:pPr>
              <w:pStyle w:val="Style28"/>
              <w:keepNext w:val="0"/>
              <w:keepLines w:val="0"/>
              <w:widowControl w:val="0"/>
              <w:shd w:val="clear" w:color="auto" w:fill="auto"/>
              <w:bidi w:val="0"/>
              <w:spacing w:before="0" w:after="0" w:line="240" w:lineRule="auto"/>
              <w:ind w:left="0" w:right="0" w:firstLine="0"/>
              <w:jc w:val="right"/>
            </w:pPr>
            <w:r>
              <w:rPr>
                <w:rStyle w:val="CharStyle29"/>
              </w:rPr>
              <w:t>XXXXX</w:t>
            </w:r>
          </w:p>
        </w:tc>
      </w:tr>
    </w:tbl>
    <w:p>
      <w:pPr>
        <w:pStyle w:val="Style16"/>
        <w:keepNext w:val="0"/>
        <w:keepLines w:val="0"/>
        <w:widowControl w:val="0"/>
        <w:shd w:val="clear" w:color="auto" w:fill="auto"/>
        <w:bidi w:val="0"/>
        <w:spacing w:before="0" w:after="220" w:line="264" w:lineRule="auto"/>
        <w:ind w:left="0" w:right="0" w:firstLine="0"/>
        <w:jc w:val="left"/>
      </w:pPr>
      <w:r>
        <w:rPr>
          <w:rStyle w:val="CharStyle17"/>
        </w:rPr>
        <w:t>* sub limitem pro výrobek se rozumí sublimit pro újmu způsobenou vadou výrobku nebo vadou vadně vykonané práce, která se projeví po jejím předání.</w:t>
      </w:r>
    </w:p>
    <w:p>
      <w:pPr>
        <w:pStyle w:val="Style14"/>
        <w:keepNext w:val="0"/>
        <w:keepLines w:val="0"/>
        <w:widowControl w:val="0"/>
        <w:shd w:val="clear" w:color="auto" w:fill="auto"/>
        <w:bidi w:val="0"/>
        <w:spacing w:before="0" w:after="0" w:line="240" w:lineRule="auto"/>
        <w:ind w:left="0" w:right="0" w:firstLine="0"/>
        <w:jc w:val="center"/>
      </w:pPr>
      <w:r>
        <w:rPr>
          <w:rStyle w:val="CharStyle15"/>
          <w:b/>
          <w:bCs/>
        </w:rPr>
        <w:t>ČLÁNEK 3.</w:t>
      </w:r>
    </w:p>
    <w:p>
      <w:pPr>
        <w:pStyle w:val="Style14"/>
        <w:keepNext w:val="0"/>
        <w:keepLines w:val="0"/>
        <w:widowControl w:val="0"/>
        <w:shd w:val="clear" w:color="auto" w:fill="auto"/>
        <w:bidi w:val="0"/>
        <w:spacing w:before="0" w:after="400" w:line="240" w:lineRule="auto"/>
        <w:ind w:left="0" w:right="0" w:firstLine="0"/>
        <w:jc w:val="center"/>
      </w:pPr>
      <w:r>
        <w:rPr>
          <w:rStyle w:val="CharStyle15"/>
          <w:b/>
          <w:bCs/>
        </w:rPr>
        <w:t>VÝŠE A PLATBA POJISTNÉHO</w:t>
      </w:r>
    </w:p>
    <w:p>
      <w:pPr>
        <w:pStyle w:val="Style14"/>
        <w:keepNext w:val="0"/>
        <w:keepLines w:val="0"/>
        <w:widowControl w:val="0"/>
        <w:numPr>
          <w:ilvl w:val="0"/>
          <w:numId w:val="17"/>
        </w:numPr>
        <w:shd w:val="clear" w:color="auto" w:fill="auto"/>
        <w:tabs>
          <w:tab w:pos="342" w:val="left"/>
        </w:tabs>
        <w:bidi w:val="0"/>
        <w:spacing w:before="0" w:after="0" w:line="240" w:lineRule="auto"/>
        <w:ind w:left="0" w:right="0" w:firstLine="0"/>
        <w:jc w:val="left"/>
      </w:pPr>
      <w:r>
        <w:rPr>
          <w:rStyle w:val="CharStyle15"/>
          <w:b/>
          <w:bCs/>
        </w:rPr>
        <w:t>Pojistné:</w:t>
      </w:r>
    </w:p>
    <w:p>
      <w:pPr>
        <w:pStyle w:val="Style19"/>
        <w:keepNext/>
        <w:keepLines/>
        <w:widowControl w:val="0"/>
        <w:shd w:val="clear" w:color="auto" w:fill="auto"/>
        <w:tabs>
          <w:tab w:pos="8701" w:val="left"/>
        </w:tabs>
        <w:bidi w:val="0"/>
        <w:spacing w:before="0" w:after="120" w:line="240" w:lineRule="auto"/>
        <w:ind w:left="0" w:right="0" w:firstLine="0"/>
        <w:jc w:val="both"/>
        <w:rPr>
          <w:sz w:val="18"/>
          <w:szCs w:val="18"/>
        </w:rPr>
      </w:pPr>
      <w:bookmarkStart w:id="42" w:name="bookmark42"/>
      <w:r>
        <w:rPr>
          <w:rStyle w:val="CharStyle20"/>
          <w:rFonts w:ascii="Calibri" w:eastAsia="Calibri" w:hAnsi="Calibri" w:cs="Calibri"/>
          <w:b/>
          <w:bCs/>
          <w:sz w:val="18"/>
          <w:szCs w:val="18"/>
        </w:rPr>
        <w:t>Pojistné nebezpečí</w:t>
        <w:tab/>
        <w:t>Roční pojistné</w:t>
      </w:r>
      <w:bookmarkEnd w:id="42"/>
    </w:p>
    <w:p>
      <w:pPr>
        <w:pStyle w:val="Style33"/>
        <w:keepNext w:val="0"/>
        <w:keepLines w:val="0"/>
        <w:widowControl w:val="0"/>
        <w:shd w:val="clear" w:color="auto" w:fill="auto"/>
        <w:tabs>
          <w:tab w:pos="8701" w:val="left"/>
        </w:tabs>
        <w:bidi w:val="0"/>
        <w:spacing w:before="0" w:line="240" w:lineRule="auto"/>
        <w:ind w:left="0" w:right="0" w:firstLine="0"/>
        <w:jc w:val="both"/>
      </w:pPr>
      <w:r>
        <w:fldChar w:fldCharType="begin"/>
        <w:instrText xml:space="preserve"> TOC \o "1-5" \h \z </w:instrText>
        <w:fldChar w:fldCharType="separate"/>
      </w:r>
      <w:r>
        <w:rPr>
          <w:rStyle w:val="CharStyle34"/>
        </w:rPr>
        <w:t>Pojištění pro případ živelního nebezpečí</w:t>
        <w:tab/>
        <w:t>XXXXX</w:t>
      </w:r>
    </w:p>
    <w:p>
      <w:pPr>
        <w:pStyle w:val="Style33"/>
        <w:keepNext w:val="0"/>
        <w:keepLines w:val="0"/>
        <w:widowControl w:val="0"/>
        <w:shd w:val="clear" w:color="auto" w:fill="auto"/>
        <w:tabs>
          <w:tab w:pos="8701" w:val="left"/>
        </w:tabs>
        <w:bidi w:val="0"/>
        <w:spacing w:before="0" w:line="240" w:lineRule="auto"/>
        <w:ind w:left="0" w:right="0" w:firstLine="0"/>
        <w:jc w:val="both"/>
      </w:pPr>
      <w:hyperlink w:anchor="bookmark20" w:tooltip="Current Document">
        <w:r>
          <w:rPr>
            <w:rStyle w:val="CharStyle34"/>
          </w:rPr>
          <w:t>Pojištění pro případ odcizení</w:t>
          <w:tab/>
          <w:t>XXXXX</w:t>
        </w:r>
      </w:hyperlink>
    </w:p>
    <w:p>
      <w:pPr>
        <w:pStyle w:val="Style33"/>
        <w:keepNext w:val="0"/>
        <w:keepLines w:val="0"/>
        <w:widowControl w:val="0"/>
        <w:shd w:val="clear" w:color="auto" w:fill="auto"/>
        <w:tabs>
          <w:tab w:pos="8701" w:val="left"/>
        </w:tabs>
        <w:bidi w:val="0"/>
        <w:spacing w:before="0" w:line="240" w:lineRule="auto"/>
        <w:ind w:left="0" w:right="0" w:firstLine="0"/>
        <w:jc w:val="both"/>
      </w:pPr>
      <w:r>
        <w:rPr>
          <w:rStyle w:val="CharStyle34"/>
        </w:rPr>
        <w:t>Pojištění pro případ vandalismu</w:t>
        <w:tab/>
        <w:t>XXXXX</w:t>
      </w:r>
    </w:p>
    <w:p>
      <w:pPr>
        <w:pStyle w:val="Style33"/>
        <w:keepNext w:val="0"/>
        <w:keepLines w:val="0"/>
        <w:widowControl w:val="0"/>
        <w:shd w:val="clear" w:color="auto" w:fill="auto"/>
        <w:tabs>
          <w:tab w:pos="8701" w:val="left"/>
        </w:tabs>
        <w:bidi w:val="0"/>
        <w:spacing w:before="0" w:line="240" w:lineRule="auto"/>
        <w:ind w:left="0" w:right="0" w:firstLine="0"/>
        <w:jc w:val="both"/>
      </w:pPr>
      <w:r>
        <w:rPr>
          <w:rStyle w:val="CharStyle34"/>
        </w:rPr>
        <w:t>Pojištění odpovědnosti za újmu - základní</w:t>
        <w:tab/>
        <w:t>XXXXX</w:t>
      </w:r>
    </w:p>
    <w:p>
      <w:pPr>
        <w:pStyle w:val="Style33"/>
        <w:keepNext w:val="0"/>
        <w:keepLines w:val="0"/>
        <w:widowControl w:val="0"/>
        <w:shd w:val="clear" w:color="auto" w:fill="auto"/>
        <w:tabs>
          <w:tab w:pos="8701" w:val="left"/>
        </w:tabs>
        <w:bidi w:val="0"/>
        <w:spacing w:before="0" w:after="500" w:line="240" w:lineRule="auto"/>
        <w:ind w:left="0" w:right="0" w:firstLine="0"/>
        <w:jc w:val="both"/>
      </w:pPr>
      <w:r>
        <w:rPr>
          <w:rStyle w:val="CharStyle34"/>
          <w:b/>
          <w:bCs/>
        </w:rPr>
        <w:t>Celkové roční pojistné před úpravou</w:t>
        <w:tab/>
        <w:t>XXXXX</w:t>
      </w:r>
    </w:p>
    <w:p>
      <w:pPr>
        <w:pStyle w:val="Style33"/>
        <w:keepNext w:val="0"/>
        <w:keepLines w:val="0"/>
        <w:widowControl w:val="0"/>
        <w:numPr>
          <w:ilvl w:val="0"/>
          <w:numId w:val="17"/>
        </w:numPr>
        <w:shd w:val="clear" w:color="auto" w:fill="auto"/>
        <w:tabs>
          <w:tab w:pos="342" w:val="left"/>
        </w:tabs>
        <w:bidi w:val="0"/>
        <w:spacing w:before="0" w:after="0" w:line="240" w:lineRule="auto"/>
        <w:ind w:left="0" w:right="0" w:firstLine="0"/>
        <w:jc w:val="left"/>
        <w:rPr>
          <w:sz w:val="17"/>
          <w:szCs w:val="17"/>
        </w:rPr>
      </w:pPr>
      <w:r>
        <w:rPr>
          <w:rStyle w:val="CharStyle34"/>
          <w:rFonts w:ascii="Arial" w:eastAsia="Arial" w:hAnsi="Arial" w:cs="Arial"/>
          <w:b/>
          <w:bCs/>
          <w:sz w:val="17"/>
          <w:szCs w:val="17"/>
        </w:rPr>
        <w:t>Slevy:</w:t>
      </w:r>
    </w:p>
    <w:p>
      <w:pPr>
        <w:pStyle w:val="Style33"/>
        <w:keepNext w:val="0"/>
        <w:keepLines w:val="0"/>
        <w:widowControl w:val="0"/>
        <w:shd w:val="clear" w:color="auto" w:fill="auto"/>
        <w:tabs>
          <w:tab w:pos="8701" w:val="left"/>
        </w:tabs>
        <w:bidi w:val="0"/>
        <w:spacing w:before="0" w:line="240" w:lineRule="auto"/>
        <w:ind w:left="0" w:right="0" w:firstLine="0"/>
        <w:jc w:val="both"/>
      </w:pPr>
      <w:r>
        <w:rPr>
          <w:rStyle w:val="CharStyle34"/>
          <w:b/>
          <w:bCs/>
        </w:rPr>
        <w:t>Typ slevy</w:t>
        <w:tab/>
        <w:t>Výše slevy</w:t>
      </w:r>
    </w:p>
    <w:p>
      <w:pPr>
        <w:pStyle w:val="Style33"/>
        <w:keepNext w:val="0"/>
        <w:keepLines w:val="0"/>
        <w:widowControl w:val="0"/>
        <w:shd w:val="clear" w:color="auto" w:fill="auto"/>
        <w:tabs>
          <w:tab w:pos="8701" w:val="left"/>
        </w:tabs>
        <w:bidi w:val="0"/>
        <w:spacing w:before="0" w:line="240" w:lineRule="auto"/>
        <w:ind w:left="0" w:right="0" w:firstLine="0"/>
        <w:jc w:val="both"/>
      </w:pPr>
      <w:r>
        <w:rPr>
          <w:rStyle w:val="CharStyle34"/>
        </w:rPr>
        <w:t>Sleva za délku pojistného období</w:t>
        <w:tab/>
        <w:t>XXXXX</w:t>
      </w:r>
    </w:p>
    <w:p>
      <w:pPr>
        <w:pStyle w:val="Style33"/>
        <w:keepNext w:val="0"/>
        <w:keepLines w:val="0"/>
        <w:widowControl w:val="0"/>
        <w:shd w:val="clear" w:color="auto" w:fill="auto"/>
        <w:tabs>
          <w:tab w:pos="8701" w:val="left"/>
        </w:tabs>
        <w:bidi w:val="0"/>
        <w:spacing w:before="0" w:line="240" w:lineRule="auto"/>
        <w:ind w:left="0" w:right="0" w:firstLine="0"/>
        <w:jc w:val="both"/>
      </w:pPr>
      <w:r>
        <w:rPr>
          <w:rStyle w:val="CharStyle34"/>
        </w:rPr>
        <w:t>]iná sleva / přirážka</w:t>
        <w:tab/>
        <w:t>XXXXX</w:t>
      </w:r>
    </w:p>
    <w:p>
      <w:pPr>
        <w:pStyle w:val="Style33"/>
        <w:keepNext w:val="0"/>
        <w:keepLines w:val="0"/>
        <w:widowControl w:val="0"/>
        <w:shd w:val="clear" w:color="auto" w:fill="auto"/>
        <w:tabs>
          <w:tab w:pos="8701" w:val="left"/>
        </w:tabs>
        <w:bidi w:val="0"/>
        <w:spacing w:before="0" w:after="500" w:line="240" w:lineRule="auto"/>
        <w:ind w:left="0" w:right="0" w:firstLine="0"/>
        <w:jc w:val="both"/>
      </w:pPr>
      <w:r>
        <w:rPr>
          <w:rStyle w:val="CharStyle34"/>
          <w:b/>
          <w:bCs/>
        </w:rPr>
        <w:t>Celkem sleva / přirážka</w:t>
        <w:tab/>
        <w:t>XXXXX</w:t>
      </w:r>
      <w:r>
        <w:fldChar w:fldCharType="end"/>
      </w:r>
    </w:p>
    <w:p>
      <w:pPr>
        <w:pStyle w:val="Style14"/>
        <w:keepNext w:val="0"/>
        <w:keepLines w:val="0"/>
        <w:widowControl w:val="0"/>
        <w:numPr>
          <w:ilvl w:val="0"/>
          <w:numId w:val="17"/>
        </w:numPr>
        <w:shd w:val="clear" w:color="auto" w:fill="auto"/>
        <w:tabs>
          <w:tab w:pos="342" w:val="left"/>
        </w:tabs>
        <w:bidi w:val="0"/>
        <w:spacing w:before="0" w:after="0" w:line="240" w:lineRule="auto"/>
        <w:ind w:left="0" w:right="0" w:firstLine="0"/>
        <w:jc w:val="left"/>
      </w:pPr>
      <w:r>
        <w:rPr>
          <w:rStyle w:val="CharStyle15"/>
          <w:b/>
          <w:bCs/>
        </w:rPr>
        <w:t>Pojistné po slevách:</w:t>
      </w:r>
    </w:p>
    <w:p>
      <w:pPr>
        <w:pStyle w:val="Style16"/>
        <w:keepNext w:val="0"/>
        <w:keepLines w:val="0"/>
        <w:widowControl w:val="0"/>
        <w:shd w:val="clear" w:color="auto" w:fill="auto"/>
        <w:bidi w:val="0"/>
        <w:spacing w:before="0" w:after="50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6052820</wp:posOffset>
                </wp:positionH>
                <wp:positionV relativeFrom="paragraph">
                  <wp:posOffset>12700</wp:posOffset>
                </wp:positionV>
                <wp:extent cx="509270" cy="137160"/>
                <wp:wrapSquare wrapText="left"/>
                <wp:docPr id="8" name="Shape 8"/>
                <a:graphic xmlns:a="http://schemas.openxmlformats.org/drawingml/2006/main">
                  <a:graphicData uri="http://schemas.microsoft.com/office/word/2010/wordprocessingShape">
                    <wps:wsp>
                      <wps:cNvSpPr txBox="1"/>
                      <wps:spPr>
                        <a:xfrm>
                          <a:ext cx="50927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rPr>
                              <w:t>18 887 Kč</w:t>
                            </w:r>
                          </w:p>
                        </w:txbxContent>
                      </wps:txbx>
                      <wps:bodyPr wrap="none" lIns="0" tIns="0" rIns="0" bIns="0">
                        <a:noAutoFit/>
                      </wps:bodyPr>
                    </wps:wsp>
                  </a:graphicData>
                </a:graphic>
              </wp:anchor>
            </w:drawing>
          </mc:Choice>
          <mc:Fallback>
            <w:pict>
              <v:shape id="_x0000_s1034" type="#_x0000_t202" style="position:absolute;margin-left:476.60000000000002pt;margin-top:1.pt;width:40.100000000000001pt;height:10.800000000000001pt;z-index:-125829375;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rPr>
                        <w:t>18 887 Kč</w:t>
                      </w:r>
                    </w:p>
                  </w:txbxContent>
                </v:textbox>
                <w10:wrap type="square" side="left" anchorx="page"/>
              </v:shape>
            </w:pict>
          </mc:Fallback>
        </mc:AlternateContent>
      </w:r>
      <w:r>
        <w:rPr>
          <w:rStyle w:val="CharStyle17"/>
          <w:b/>
          <w:bCs/>
        </w:rPr>
        <w:t>Celkové roční pojistné po úpravě</w:t>
      </w:r>
    </w:p>
    <w:p>
      <w:pPr>
        <w:pStyle w:val="Style19"/>
        <w:keepNext/>
        <w:keepLines/>
        <w:widowControl w:val="0"/>
        <w:numPr>
          <w:ilvl w:val="0"/>
          <w:numId w:val="17"/>
        </w:numPr>
        <w:shd w:val="clear" w:color="auto" w:fill="auto"/>
        <w:tabs>
          <w:tab w:pos="342" w:val="left"/>
        </w:tabs>
        <w:bidi w:val="0"/>
        <w:spacing w:before="0" w:after="0" w:line="240" w:lineRule="auto"/>
        <w:ind w:left="0" w:right="0" w:firstLine="0"/>
        <w:jc w:val="left"/>
      </w:pPr>
      <w:bookmarkStart w:id="44" w:name="bookmark44"/>
      <w:r>
        <w:rPr>
          <w:rStyle w:val="CharStyle20"/>
          <w:b/>
          <w:bCs/>
        </w:rPr>
        <w:t>Pojistné období:</w:t>
      </w:r>
      <w:bookmarkEnd w:id="44"/>
    </w:p>
    <w:p>
      <w:pPr>
        <w:pStyle w:val="Style16"/>
        <w:keepNext w:val="0"/>
        <w:keepLines w:val="0"/>
        <w:widowControl w:val="0"/>
        <w:shd w:val="clear" w:color="auto" w:fill="auto"/>
        <w:bidi w:val="0"/>
        <w:spacing w:before="0" w:after="400" w:line="240" w:lineRule="auto"/>
        <w:ind w:left="0" w:right="0" w:firstLine="0"/>
        <w:jc w:val="both"/>
      </w:pPr>
      <w:r>
        <w:rPr>
          <w:rStyle w:val="CharStyle17"/>
        </w:rPr>
        <w:t xml:space="preserve">Sjednává se běžné pojistné s pojistným obdobím v délce </w:t>
      </w:r>
      <w:r>
        <w:rPr>
          <w:rStyle w:val="CharStyle17"/>
          <w:rFonts w:ascii="Arial" w:eastAsia="Arial" w:hAnsi="Arial" w:cs="Arial"/>
          <w:b/>
          <w:bCs/>
          <w:sz w:val="17"/>
          <w:szCs w:val="17"/>
        </w:rPr>
        <w:t xml:space="preserve">12 </w:t>
      </w:r>
      <w:r>
        <w:rPr>
          <w:rStyle w:val="CharStyle17"/>
        </w:rPr>
        <w:t>měsíců.</w:t>
      </w:r>
    </w:p>
    <w:p>
      <w:pPr>
        <w:pStyle w:val="Style19"/>
        <w:keepNext/>
        <w:keepLines/>
        <w:widowControl w:val="0"/>
        <w:numPr>
          <w:ilvl w:val="0"/>
          <w:numId w:val="17"/>
        </w:numPr>
        <w:shd w:val="clear" w:color="auto" w:fill="auto"/>
        <w:tabs>
          <w:tab w:pos="342" w:val="left"/>
        </w:tabs>
        <w:bidi w:val="0"/>
        <w:spacing w:before="0" w:after="0" w:line="300" w:lineRule="auto"/>
        <w:ind w:left="0" w:right="0" w:firstLine="0"/>
        <w:jc w:val="both"/>
      </w:pPr>
      <w:bookmarkStart w:id="46" w:name="bookmark46"/>
      <w:r>
        <w:rPr>
          <w:rStyle w:val="CharStyle20"/>
          <w:b/>
          <w:bCs/>
        </w:rPr>
        <w:t>Pojistné za pojistné období je splatné vždy:</w:t>
      </w:r>
      <w:bookmarkEnd w:id="46"/>
    </w:p>
    <w:p>
      <w:pPr>
        <w:pStyle w:val="Style16"/>
        <w:keepNext w:val="0"/>
        <w:keepLines w:val="0"/>
        <w:widowControl w:val="0"/>
        <w:shd w:val="clear" w:color="auto" w:fill="auto"/>
        <w:bidi w:val="0"/>
        <w:spacing w:before="0" w:after="0" w:line="264" w:lineRule="auto"/>
        <w:ind w:left="0" w:right="0" w:firstLine="360"/>
        <w:jc w:val="both"/>
      </w:pPr>
      <w:r>
        <w:rPr>
          <w:rStyle w:val="CharStyle17"/>
        </w:rPr>
        <w:t>• k 12. 6.</w:t>
      </w:r>
    </w:p>
    <w:p>
      <w:pPr>
        <w:pStyle w:val="Style16"/>
        <w:keepNext w:val="0"/>
        <w:keepLines w:val="0"/>
        <w:widowControl w:val="0"/>
        <w:shd w:val="clear" w:color="auto" w:fill="auto"/>
        <w:bidi w:val="0"/>
        <w:spacing w:before="0" w:after="0" w:line="264" w:lineRule="auto"/>
        <w:ind w:left="0" w:right="0" w:firstLine="0"/>
        <w:jc w:val="left"/>
      </w:pPr>
      <w:r>
        <w:rPr>
          <w:rStyle w:val="CharStyle17"/>
        </w:rPr>
        <w:t>každého roku na účet pojistitele.</w:t>
      </w:r>
    </w:p>
    <w:p>
      <w:pPr>
        <w:pStyle w:val="Style16"/>
        <w:keepNext w:val="0"/>
        <w:keepLines w:val="0"/>
        <w:widowControl w:val="0"/>
        <w:shd w:val="clear" w:color="auto" w:fill="auto"/>
        <w:bidi w:val="0"/>
        <w:spacing w:before="0" w:after="0" w:line="264" w:lineRule="auto"/>
        <w:ind w:left="0" w:right="0" w:firstLine="0"/>
        <w:jc w:val="left"/>
      </w:pPr>
      <w:r>
        <w:rPr>
          <w:rStyle w:val="CharStyle17"/>
        </w:rPr>
        <w:t>Peněžní ústav: Česká spořitelna a.s.</w:t>
      </w:r>
    </w:p>
    <w:p>
      <w:pPr>
        <w:pStyle w:val="Style16"/>
        <w:keepNext w:val="0"/>
        <w:keepLines w:val="0"/>
        <w:widowControl w:val="0"/>
        <w:shd w:val="clear" w:color="auto" w:fill="auto"/>
        <w:bidi w:val="0"/>
        <w:spacing w:before="0" w:after="0" w:line="264" w:lineRule="auto"/>
        <w:ind w:left="0" w:right="0" w:firstLine="0"/>
        <w:jc w:val="left"/>
      </w:pPr>
      <w:r>
        <w:rPr>
          <w:rStyle w:val="CharStyle17"/>
        </w:rPr>
        <w:t>Číslo účtu: 2226222</w:t>
      </w:r>
    </w:p>
    <w:p>
      <w:pPr>
        <w:pStyle w:val="Style16"/>
        <w:keepNext w:val="0"/>
        <w:keepLines w:val="0"/>
        <w:widowControl w:val="0"/>
        <w:shd w:val="clear" w:color="auto" w:fill="auto"/>
        <w:bidi w:val="0"/>
        <w:spacing w:before="0" w:after="0" w:line="264" w:lineRule="auto"/>
        <w:ind w:left="0" w:right="0" w:firstLine="0"/>
        <w:jc w:val="left"/>
      </w:pPr>
      <w:r>
        <w:rPr>
          <w:rStyle w:val="CharStyle17"/>
        </w:rPr>
        <w:t>Kód banky: 0800</w:t>
      </w:r>
    </w:p>
    <w:p>
      <w:pPr>
        <w:pStyle w:val="Style16"/>
        <w:keepNext w:val="0"/>
        <w:keepLines w:val="0"/>
        <w:widowControl w:val="0"/>
        <w:shd w:val="clear" w:color="auto" w:fill="auto"/>
        <w:bidi w:val="0"/>
        <w:spacing w:before="0" w:after="0" w:line="264" w:lineRule="auto"/>
        <w:ind w:left="0" w:right="0" w:firstLine="0"/>
        <w:jc w:val="left"/>
      </w:pPr>
      <w:r>
        <w:rPr>
          <w:rStyle w:val="CharStyle17"/>
        </w:rPr>
        <w:t>Konstantní symbol: 3558</w:t>
      </w:r>
    </w:p>
    <w:p>
      <w:pPr>
        <w:pStyle w:val="Style16"/>
        <w:keepNext w:val="0"/>
        <w:keepLines w:val="0"/>
        <w:widowControl w:val="0"/>
        <w:shd w:val="clear" w:color="auto" w:fill="auto"/>
        <w:bidi w:val="0"/>
        <w:spacing w:before="0" w:after="220" w:line="264" w:lineRule="auto"/>
        <w:ind w:left="0" w:right="0" w:firstLine="0"/>
        <w:jc w:val="left"/>
      </w:pPr>
      <w:r>
        <w:rPr>
          <w:rStyle w:val="CharStyle17"/>
        </w:rPr>
        <w:t>Variabilní symbol: XXXXX</w:t>
      </w:r>
    </w:p>
    <w:p>
      <w:pPr>
        <w:pStyle w:val="Style14"/>
        <w:keepNext w:val="0"/>
        <w:keepLines w:val="0"/>
        <w:widowControl w:val="0"/>
        <w:shd w:val="clear" w:color="auto" w:fill="auto"/>
        <w:bidi w:val="0"/>
        <w:spacing w:before="0" w:after="0" w:line="300" w:lineRule="auto"/>
        <w:ind w:left="0" w:right="0" w:firstLine="0"/>
        <w:jc w:val="center"/>
      </w:pPr>
      <w:r>
        <w:rPr>
          <w:rStyle w:val="CharStyle15"/>
          <w:b/>
          <w:bCs/>
        </w:rPr>
        <w:t>ČLÁNEK 4.</w:t>
      </w:r>
    </w:p>
    <w:p>
      <w:pPr>
        <w:pStyle w:val="Style19"/>
        <w:keepNext/>
        <w:keepLines/>
        <w:widowControl w:val="0"/>
        <w:shd w:val="clear" w:color="auto" w:fill="auto"/>
        <w:bidi w:val="0"/>
        <w:spacing w:before="0" w:after="0" w:line="300" w:lineRule="auto"/>
        <w:ind w:left="0" w:right="0" w:firstLine="0"/>
        <w:jc w:val="center"/>
      </w:pPr>
      <w:bookmarkStart w:id="48" w:name="bookmark48"/>
      <w:r>
        <w:rPr>
          <w:rStyle w:val="CharStyle20"/>
          <w:b/>
          <w:bCs/>
        </w:rPr>
        <w:t>HLÁŠENÍ ŠKODNÝCH UDÁLOSTÍ</w:t>
      </w:r>
      <w:bookmarkEnd w:id="48"/>
    </w:p>
    <w:p>
      <w:pPr>
        <w:pStyle w:val="Style16"/>
        <w:keepNext w:val="0"/>
        <w:keepLines w:val="0"/>
        <w:widowControl w:val="0"/>
        <w:shd w:val="clear" w:color="auto" w:fill="auto"/>
        <w:bidi w:val="0"/>
        <w:spacing w:before="0" w:after="220" w:line="264" w:lineRule="auto"/>
        <w:ind w:left="0" w:right="0" w:firstLine="0"/>
        <w:jc w:val="left"/>
      </w:pPr>
      <w:r>
        <w:rPr>
          <w:rStyle w:val="CharStyle17"/>
        </w:rPr>
        <w:t>Vznik škodné události hlásí pojistník bez zbytečného odkladu na níže uvedené kontaktní údaje:</w:t>
      </w:r>
    </w:p>
    <w:p>
      <w:pPr>
        <w:pStyle w:val="Style16"/>
        <w:keepNext w:val="0"/>
        <w:keepLines w:val="0"/>
        <w:widowControl w:val="0"/>
        <w:shd w:val="clear" w:color="auto" w:fill="auto"/>
        <w:bidi w:val="0"/>
        <w:spacing w:before="0" w:after="0" w:line="264" w:lineRule="auto"/>
        <w:ind w:left="0" w:right="0" w:firstLine="0"/>
        <w:jc w:val="left"/>
      </w:pPr>
      <w:r>
        <w:rPr>
          <w:rStyle w:val="CharStyle17"/>
        </w:rPr>
        <w:t>Kooperativa pojišťovna, a.s., Vienna Insurance Group</w:t>
      </w:r>
    </w:p>
    <w:p>
      <w:pPr>
        <w:pStyle w:val="Style16"/>
        <w:keepNext w:val="0"/>
        <w:keepLines w:val="0"/>
        <w:widowControl w:val="0"/>
        <w:shd w:val="clear" w:color="auto" w:fill="auto"/>
        <w:bidi w:val="0"/>
        <w:spacing w:before="0" w:after="0" w:line="264" w:lineRule="auto"/>
        <w:ind w:left="0" w:right="0" w:firstLine="0"/>
        <w:jc w:val="left"/>
      </w:pPr>
      <w:r>
        <w:rPr>
          <w:rStyle w:val="CharStyle17"/>
        </w:rPr>
        <w:t>CENTRUM ZÁKAZNICKÉ PODPORY</w:t>
      </w:r>
    </w:p>
    <w:p>
      <w:pPr>
        <w:pStyle w:val="Style16"/>
        <w:keepNext w:val="0"/>
        <w:keepLines w:val="0"/>
        <w:widowControl w:val="0"/>
        <w:shd w:val="clear" w:color="auto" w:fill="auto"/>
        <w:bidi w:val="0"/>
        <w:spacing w:before="0" w:after="0" w:line="264" w:lineRule="auto"/>
        <w:ind w:left="0" w:right="0" w:firstLine="0"/>
        <w:jc w:val="left"/>
      </w:pPr>
      <w:r>
        <w:rPr>
          <w:rStyle w:val="CharStyle17"/>
        </w:rPr>
        <w:t>Centrální podatelna</w:t>
      </w:r>
    </w:p>
    <w:p>
      <w:pPr>
        <w:pStyle w:val="Style16"/>
        <w:keepNext w:val="0"/>
        <w:keepLines w:val="0"/>
        <w:widowControl w:val="0"/>
        <w:shd w:val="clear" w:color="auto" w:fill="auto"/>
        <w:bidi w:val="0"/>
        <w:spacing w:before="0" w:after="0" w:line="264" w:lineRule="auto"/>
        <w:ind w:left="0" w:right="0" w:firstLine="0"/>
        <w:jc w:val="left"/>
      </w:pPr>
      <w:r>
        <w:rPr>
          <w:rStyle w:val="CharStyle17"/>
        </w:rPr>
        <w:t>Brněnská 634</w:t>
      </w:r>
    </w:p>
    <w:p>
      <w:pPr>
        <w:pStyle w:val="Style16"/>
        <w:keepNext w:val="0"/>
        <w:keepLines w:val="0"/>
        <w:widowControl w:val="0"/>
        <w:shd w:val="clear" w:color="auto" w:fill="auto"/>
        <w:bidi w:val="0"/>
        <w:spacing w:before="0" w:after="0" w:line="264" w:lineRule="auto"/>
        <w:ind w:left="0" w:right="0" w:firstLine="0"/>
        <w:jc w:val="left"/>
      </w:pPr>
      <w:r>
        <w:rPr>
          <w:rStyle w:val="CharStyle17"/>
        </w:rPr>
        <w:t>664 42 Modříce</w:t>
      </w:r>
    </w:p>
    <w:p>
      <w:pPr>
        <w:pStyle w:val="Style16"/>
        <w:keepNext w:val="0"/>
        <w:keepLines w:val="0"/>
        <w:widowControl w:val="0"/>
        <w:shd w:val="clear" w:color="auto" w:fill="auto"/>
        <w:bidi w:val="0"/>
        <w:spacing w:before="0" w:after="0" w:line="264" w:lineRule="auto"/>
        <w:ind w:left="0" w:right="0" w:firstLine="0"/>
        <w:jc w:val="left"/>
      </w:pPr>
      <w:r>
        <w:rPr>
          <w:rStyle w:val="CharStyle17"/>
        </w:rPr>
        <w:t>Tel: 957 105 105</w:t>
      </w:r>
    </w:p>
    <w:p>
      <w:pPr>
        <w:pStyle w:val="Style16"/>
        <w:keepNext w:val="0"/>
        <w:keepLines w:val="0"/>
        <w:widowControl w:val="0"/>
        <w:shd w:val="clear" w:color="auto" w:fill="auto"/>
        <w:bidi w:val="0"/>
        <w:spacing w:before="0" w:after="0" w:line="264" w:lineRule="auto"/>
        <w:ind w:left="0" w:right="0" w:firstLine="0"/>
        <w:jc w:val="left"/>
      </w:pPr>
      <w:r>
        <w:rPr>
          <w:rStyle w:val="CharStyle17"/>
        </w:rPr>
        <w:t>datová schránka: n6tetn3</w:t>
      </w:r>
    </w:p>
    <w:p>
      <w:pPr>
        <w:pStyle w:val="Style16"/>
        <w:keepNext w:val="0"/>
        <w:keepLines w:val="0"/>
        <w:widowControl w:val="0"/>
        <w:shd w:val="clear" w:color="auto" w:fill="auto"/>
        <w:bidi w:val="0"/>
        <w:spacing w:before="0" w:after="220" w:line="264" w:lineRule="auto"/>
        <w:ind w:left="0" w:right="0" w:firstLine="0"/>
        <w:jc w:val="left"/>
      </w:pPr>
      <w:r>
        <w:fldChar w:fldCharType="begin"/>
      </w:r>
      <w:r>
        <w:rPr/>
        <w:instrText> HYPERLINK "http://www.koop.cz" </w:instrText>
      </w:r>
      <w:r>
        <w:fldChar w:fldCharType="separate"/>
      </w:r>
      <w:r>
        <w:rPr>
          <w:rStyle w:val="CharStyle17"/>
          <w:lang w:val="en-US" w:eastAsia="en-US"/>
        </w:rPr>
        <w:t>www.koop.cz</w:t>
      </w:r>
      <w:r>
        <w:fldChar w:fldCharType="end"/>
      </w:r>
    </w:p>
    <w:p>
      <w:pPr>
        <w:pStyle w:val="Style14"/>
        <w:keepNext w:val="0"/>
        <w:keepLines w:val="0"/>
        <w:widowControl w:val="0"/>
        <w:shd w:val="clear" w:color="auto" w:fill="auto"/>
        <w:bidi w:val="0"/>
        <w:spacing w:before="0" w:after="0" w:line="300" w:lineRule="auto"/>
        <w:ind w:left="0" w:right="0" w:firstLine="0"/>
        <w:jc w:val="center"/>
      </w:pPr>
      <w:r>
        <w:rPr>
          <w:rStyle w:val="CharStyle15"/>
          <w:b/>
          <w:bCs/>
        </w:rPr>
        <w:t>ČLÁNEK S.</w:t>
      </w:r>
    </w:p>
    <w:p>
      <w:pPr>
        <w:pStyle w:val="Style19"/>
        <w:keepNext/>
        <w:keepLines/>
        <w:widowControl w:val="0"/>
        <w:shd w:val="clear" w:color="auto" w:fill="auto"/>
        <w:bidi w:val="0"/>
        <w:spacing w:before="0" w:after="120" w:line="300" w:lineRule="auto"/>
        <w:ind w:left="0" w:right="0" w:firstLine="0"/>
        <w:jc w:val="center"/>
      </w:pPr>
      <w:bookmarkStart w:id="50" w:name="bookmark50"/>
      <w:r>
        <w:rPr>
          <w:rStyle w:val="CharStyle20"/>
          <w:b/>
          <w:bCs/>
        </w:rPr>
        <w:t>PROHLÁŠENÍ POJISTNÍKA</w:t>
      </w:r>
      <w:bookmarkEnd w:id="50"/>
    </w:p>
    <w:p>
      <w:pPr>
        <w:pStyle w:val="Style16"/>
        <w:keepNext w:val="0"/>
        <w:keepLines w:val="0"/>
        <w:widowControl w:val="0"/>
        <w:numPr>
          <w:ilvl w:val="0"/>
          <w:numId w:val="19"/>
        </w:numPr>
        <w:shd w:val="clear" w:color="auto" w:fill="auto"/>
        <w:tabs>
          <w:tab w:pos="342" w:val="left"/>
        </w:tabs>
        <w:bidi w:val="0"/>
        <w:spacing w:before="0" w:line="264" w:lineRule="auto"/>
        <w:ind w:left="0" w:right="0" w:firstLine="0"/>
        <w:jc w:val="left"/>
      </w:pPr>
      <w:r>
        <w:rPr>
          <w:rStyle w:val="CharStyle17"/>
        </w:rPr>
        <w:t>Pojistník potvrzuje, že před uzavřením pojistné smlouvy převzal v listinné nebo, s jeho souhlasem, v jiné textové podobě (např. na trvalém nosiči dat) Informace pro klienta a Informace o zpracování osobních údajů v neživotním pojištění a seznámil se s nimi. Pojistník šije vědom, že se jedná o důležité informace, které mu napomohou porozumět podmínkám sjednávaného pojištění, obsahují upozornění na důležité aspekty pojištění i významná ustanovení pojistných podmínek.</w:t>
      </w:r>
    </w:p>
    <w:p>
      <w:pPr>
        <w:pStyle w:val="Style16"/>
        <w:keepNext w:val="0"/>
        <w:keepLines w:val="0"/>
        <w:widowControl w:val="0"/>
        <w:numPr>
          <w:ilvl w:val="0"/>
          <w:numId w:val="19"/>
        </w:numPr>
        <w:shd w:val="clear" w:color="auto" w:fill="auto"/>
        <w:tabs>
          <w:tab w:pos="346" w:val="left"/>
        </w:tabs>
        <w:bidi w:val="0"/>
        <w:spacing w:before="0" w:line="257" w:lineRule="auto"/>
        <w:ind w:left="0" w:right="0" w:firstLine="0"/>
        <w:jc w:val="left"/>
      </w:pPr>
      <w:r>
        <w:rPr>
          <w:rStyle w:val="CharStyle17"/>
        </w:rPr>
        <w:t>Pojistník dále potvrzuje, že v dostatečném předstihu před uzavřením pojistné smlouvy převzal v Listinné nebo jiné textové podobě (např. na trvalém nosiči dat) dokumenty uvedené v čl. 1 odst. 3)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pPr>
        <w:pStyle w:val="Style16"/>
        <w:keepNext w:val="0"/>
        <w:keepLines w:val="0"/>
        <w:widowControl w:val="0"/>
        <w:numPr>
          <w:ilvl w:val="0"/>
          <w:numId w:val="19"/>
        </w:numPr>
        <w:shd w:val="clear" w:color="auto" w:fill="auto"/>
        <w:tabs>
          <w:tab w:pos="346" w:val="left"/>
        </w:tabs>
        <w:bidi w:val="0"/>
        <w:spacing w:before="0"/>
        <w:ind w:left="0" w:right="0" w:firstLine="0"/>
        <w:jc w:val="left"/>
      </w:pPr>
      <w:r>
        <w:rPr>
          <w:rStyle w:val="CharStyle17"/>
        </w:rPr>
        <w:t>Pojistník prohlašuje, že má pojistný zájem na pojištění pojištěného, pokud je osobou od něj odlišnou.</w:t>
      </w:r>
    </w:p>
    <w:p>
      <w:pPr>
        <w:pStyle w:val="Style16"/>
        <w:keepNext w:val="0"/>
        <w:keepLines w:val="0"/>
        <w:widowControl w:val="0"/>
        <w:numPr>
          <w:ilvl w:val="0"/>
          <w:numId w:val="19"/>
        </w:numPr>
        <w:shd w:val="clear" w:color="auto" w:fill="auto"/>
        <w:tabs>
          <w:tab w:pos="346" w:val="left"/>
        </w:tabs>
        <w:bidi w:val="0"/>
        <w:spacing w:before="0"/>
        <w:ind w:left="0" w:right="0" w:firstLine="0"/>
        <w:jc w:val="left"/>
      </w:pPr>
      <w:r>
        <w:rPr>
          <w:rStyle w:val="CharStyle17"/>
        </w:rPr>
        <w:t>Pojistník potvrzuje, že adresa jeho trvalého pobytu/bydliště čí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pPr>
        <w:pStyle w:val="Style16"/>
        <w:keepNext w:val="0"/>
        <w:keepLines w:val="0"/>
        <w:widowControl w:val="0"/>
        <w:numPr>
          <w:ilvl w:val="0"/>
          <w:numId w:val="19"/>
        </w:numPr>
        <w:shd w:val="clear" w:color="auto" w:fill="auto"/>
        <w:tabs>
          <w:tab w:pos="346" w:val="left"/>
        </w:tabs>
        <w:bidi w:val="0"/>
        <w:spacing w:before="0"/>
        <w:ind w:left="0" w:right="0" w:firstLine="0"/>
        <w:jc w:val="left"/>
      </w:pPr>
      <w:r>
        <w:rPr>
          <w:rStyle w:val="CharStyle17"/>
        </w:rPr>
        <w:t>Pojistník prohlašuje, že věci nebo jiné hodnoty pojistného zájmu pojištěné touto pojistnou smlouvou nejsou k datu uzavření smlouvy pojištěny proti stejným nebezpečím u jiného pojistitele.</w:t>
      </w:r>
    </w:p>
    <w:p>
      <w:pPr>
        <w:pStyle w:val="Style16"/>
        <w:keepNext w:val="0"/>
        <w:keepLines w:val="0"/>
        <w:widowControl w:val="0"/>
        <w:numPr>
          <w:ilvl w:val="0"/>
          <w:numId w:val="19"/>
        </w:numPr>
        <w:shd w:val="clear" w:color="auto" w:fill="auto"/>
        <w:tabs>
          <w:tab w:pos="346" w:val="left"/>
        </w:tabs>
        <w:bidi w:val="0"/>
        <w:spacing w:before="0" w:after="240" w:line="257" w:lineRule="auto"/>
        <w:ind w:left="0" w:right="0" w:firstLine="0"/>
        <w:jc w:val="left"/>
      </w:pPr>
      <w:r>
        <w:rPr>
          <w:rStyle w:val="CharStyle17"/>
        </w:rP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rStyle w:val="CharStyle17"/>
          <w:b/>
          <w:bCs/>
        </w:rPr>
        <w:t xml:space="preserve">"Datová schránka" </w:t>
      </w:r>
      <w:r>
        <w:rPr>
          <w:rStyle w:val="CharStyle17"/>
        </w:rPr>
        <w:t xml:space="preserve">uvést: </w:t>
      </w:r>
      <w:r>
        <w:rPr>
          <w:rStyle w:val="CharStyle17"/>
          <w:b/>
          <w:bCs/>
        </w:rPr>
        <w:t xml:space="preserve">n6tetn3 </w:t>
      </w:r>
      <w:r>
        <w:rPr>
          <w:rStyle w:val="CharStyle17"/>
        </w:rPr>
        <w:t xml:space="preserve">a do pole </w:t>
      </w:r>
      <w:r>
        <w:rPr>
          <w:rStyle w:val="CharStyle17"/>
          <w:b/>
          <w:bCs/>
        </w:rPr>
        <w:t xml:space="preserve">"Číslo smlouvy" </w:t>
      </w:r>
      <w:r>
        <w:rPr>
          <w:rStyle w:val="CharStyle17"/>
        </w:rPr>
        <w:t xml:space="preserve">uvést: </w:t>
      </w:r>
      <w:r>
        <w:rPr>
          <w:rStyle w:val="CharStyle17"/>
          <w:b/>
          <w:bCs/>
        </w:rPr>
        <w:t xml:space="preserve">8603656798. </w:t>
      </w:r>
      <w:r>
        <w:rPr>
          <w:rStyle w:val="CharStyle17"/>
        </w:rPr>
        <w:t>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pPr>
        <w:pStyle w:val="Style14"/>
        <w:keepNext w:val="0"/>
        <w:keepLines w:val="0"/>
        <w:widowControl w:val="0"/>
        <w:shd w:val="clear" w:color="auto" w:fill="auto"/>
        <w:bidi w:val="0"/>
        <w:spacing w:before="0" w:after="0"/>
        <w:ind w:left="0" w:right="0" w:firstLine="0"/>
        <w:jc w:val="center"/>
      </w:pPr>
      <w:r>
        <w:rPr>
          <w:rStyle w:val="CharStyle15"/>
          <w:b/>
          <w:bCs/>
        </w:rPr>
        <w:t>ČLÁNEK 6.</w:t>
      </w:r>
    </w:p>
    <w:p>
      <w:pPr>
        <w:pStyle w:val="Style19"/>
        <w:keepNext/>
        <w:keepLines/>
        <w:widowControl w:val="0"/>
        <w:shd w:val="clear" w:color="auto" w:fill="auto"/>
        <w:bidi w:val="0"/>
        <w:spacing w:before="0" w:after="120" w:line="298" w:lineRule="auto"/>
        <w:ind w:left="0" w:right="0" w:firstLine="0"/>
        <w:jc w:val="center"/>
      </w:pPr>
      <w:bookmarkStart w:id="52" w:name="bookmark52"/>
      <w:r>
        <w:rPr>
          <w:rStyle w:val="CharStyle20"/>
          <w:b/>
          <w:bCs/>
        </w:rPr>
        <w:t>ZPRACOVÁNÍ OSOBNÍCH ÚDA]Ů</w:t>
      </w:r>
      <w:bookmarkEnd w:id="52"/>
    </w:p>
    <w:p>
      <w:pPr>
        <w:pStyle w:val="Style16"/>
        <w:keepNext w:val="0"/>
        <w:keepLines w:val="0"/>
        <w:widowControl w:val="0"/>
        <w:numPr>
          <w:ilvl w:val="0"/>
          <w:numId w:val="21"/>
        </w:numPr>
        <w:shd w:val="clear" w:color="auto" w:fill="auto"/>
        <w:tabs>
          <w:tab w:pos="346" w:val="left"/>
        </w:tabs>
        <w:bidi w:val="0"/>
        <w:spacing w:before="0" w:line="257" w:lineRule="auto"/>
        <w:ind w:left="0" w:right="0" w:firstLine="0"/>
        <w:jc w:val="left"/>
      </w:pPr>
      <w:r>
        <w:rPr>
          <w:rStyle w:val="CharStyle17"/>
        </w:rPr>
        <w:t xml:space="preserve">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r>
        <w:fldChar w:fldCharType="begin"/>
      </w:r>
      <w:r>
        <w:rPr/>
        <w:instrText> HYPERLINK "http://www.koop.cz" </w:instrText>
      </w:r>
      <w:r>
        <w:fldChar w:fldCharType="separate"/>
      </w:r>
      <w:r>
        <w:rPr>
          <w:rStyle w:val="CharStyle17"/>
          <w:lang w:val="en-US" w:eastAsia="en-US"/>
        </w:rPr>
        <w:t>www.koop.cz</w:t>
      </w:r>
      <w:r>
        <w:fldChar w:fldCharType="end"/>
      </w:r>
      <w:r>
        <w:rPr>
          <w:rStyle w:val="CharStyle17"/>
          <w:lang w:val="en-US" w:eastAsia="en-US"/>
        </w:rPr>
        <w:t xml:space="preserve"> </w:t>
      </w:r>
      <w:r>
        <w:rPr>
          <w:rStyle w:val="CharStyle17"/>
        </w:rPr>
        <w:t>v sekci "O pojišťovně Kooperativa".</w:t>
      </w:r>
    </w:p>
    <w:p>
      <w:pPr>
        <w:pStyle w:val="Style14"/>
        <w:keepNext w:val="0"/>
        <w:keepLines w:val="0"/>
        <w:widowControl w:val="0"/>
        <w:numPr>
          <w:ilvl w:val="0"/>
          <w:numId w:val="21"/>
        </w:numPr>
        <w:shd w:val="clear" w:color="auto" w:fill="auto"/>
        <w:tabs>
          <w:tab w:pos="346" w:val="left"/>
        </w:tabs>
        <w:bidi w:val="0"/>
        <w:spacing w:before="0" w:after="0"/>
        <w:ind w:left="0" w:right="0" w:firstLine="0"/>
        <w:jc w:val="left"/>
      </w:pPr>
      <w:r>
        <w:rPr>
          <w:rStyle w:val="CharStyle15"/>
          <w:b/>
          <w:bCs/>
        </w:rPr>
        <w:t>Souhlas se zpracováním osobních údajů pro účely marketingu</w:t>
      </w:r>
    </w:p>
    <w:p>
      <w:pPr>
        <w:pStyle w:val="Style16"/>
        <w:keepNext w:val="0"/>
        <w:keepLines w:val="0"/>
        <w:widowControl w:val="0"/>
        <w:shd w:val="clear" w:color="auto" w:fill="auto"/>
        <w:bidi w:val="0"/>
        <w:spacing w:before="0" w:after="0" w:line="262" w:lineRule="auto"/>
        <w:ind w:left="0" w:right="0" w:firstLine="0"/>
        <w:jc w:val="left"/>
      </w:pPr>
      <w:r>
        <w:rPr>
          <w:rStyle w:val="CharStyle17"/>
        </w:rPr>
        <w:t xml:space="preserve">Pojistitel bude s Vaším souhlasem zpracovávat Vaše </w:t>
      </w:r>
      <w:r>
        <w:rPr>
          <w:rStyle w:val="CharStyle17"/>
          <w:b/>
          <w:bCs/>
        </w:rPr>
        <w:t xml:space="preserve">identifikační a kontaktní údaje, údaje pro ocenění rizika při vstupu do pojištění a údaje o využívání služeb, </w:t>
      </w:r>
      <w:r>
        <w:rPr>
          <w:rStyle w:val="CharStyle17"/>
        </w:rPr>
        <w:t>a to pro účely:</w:t>
      </w:r>
    </w:p>
    <w:p>
      <w:pPr>
        <w:pStyle w:val="Style16"/>
        <w:keepNext w:val="0"/>
        <w:keepLines w:val="0"/>
        <w:widowControl w:val="0"/>
        <w:numPr>
          <w:ilvl w:val="0"/>
          <w:numId w:val="23"/>
        </w:numPr>
        <w:shd w:val="clear" w:color="auto" w:fill="auto"/>
        <w:tabs>
          <w:tab w:pos="696" w:val="left"/>
        </w:tabs>
        <w:bidi w:val="0"/>
        <w:spacing w:before="0" w:after="0" w:line="262" w:lineRule="auto"/>
        <w:ind w:left="0" w:right="0" w:firstLine="360"/>
        <w:jc w:val="left"/>
      </w:pPr>
      <w:r>
        <w:rPr>
          <w:rStyle w:val="CharStyle17"/>
        </w:rPr>
        <w:t>zasílání slev či jiných nabídek třetích stran, a to i elektronickými prostředky,</w:t>
      </w:r>
    </w:p>
    <w:p>
      <w:pPr>
        <w:pStyle w:val="Style16"/>
        <w:keepNext w:val="0"/>
        <w:keepLines w:val="0"/>
        <w:widowControl w:val="0"/>
        <w:numPr>
          <w:ilvl w:val="0"/>
          <w:numId w:val="23"/>
        </w:numPr>
        <w:shd w:val="clear" w:color="auto" w:fill="auto"/>
        <w:tabs>
          <w:tab w:pos="699" w:val="left"/>
        </w:tabs>
        <w:bidi w:val="0"/>
        <w:spacing w:before="0" w:after="0" w:line="262" w:lineRule="auto"/>
        <w:ind w:left="700" w:right="0" w:hanging="340"/>
        <w:jc w:val="left"/>
      </w:pPr>
      <w:r>
        <w:rPr>
          <w:rStyle w:val="CharStyle17"/>
        </w:rP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pPr>
        <w:pStyle w:val="Style16"/>
        <w:keepNext w:val="0"/>
        <w:keepLines w:val="0"/>
        <w:widowControl w:val="0"/>
        <w:shd w:val="clear" w:color="auto" w:fill="auto"/>
        <w:bidi w:val="0"/>
        <w:spacing w:before="0" w:after="0" w:line="262" w:lineRule="auto"/>
        <w:ind w:left="0" w:right="0" w:firstLine="0"/>
        <w:jc w:val="left"/>
      </w:pPr>
      <w:r>
        <w:rPr>
          <w:rStyle w:val="CharStyle17"/>
        </w:rP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pPr>
        <w:pStyle w:val="Style16"/>
        <w:keepNext w:val="0"/>
        <w:keepLines w:val="0"/>
        <w:widowControl w:val="0"/>
        <w:shd w:val="clear" w:color="auto" w:fill="auto"/>
        <w:bidi w:val="0"/>
        <w:spacing w:before="0" w:after="0" w:line="262" w:lineRule="auto"/>
        <w:ind w:left="0" w:right="0" w:firstLine="0"/>
        <w:jc w:val="left"/>
      </w:pPr>
      <w:r>
        <w:rPr>
          <w:rStyle w:val="CharStyle17"/>
        </w:rPr>
        <w:t>Pojistník:</w:t>
      </w:r>
    </w:p>
    <w:p>
      <w:pPr>
        <w:pStyle w:val="Style16"/>
        <w:keepNext w:val="0"/>
        <w:keepLines w:val="0"/>
        <w:widowControl w:val="0"/>
        <w:shd w:val="clear" w:color="auto" w:fill="auto"/>
        <w:bidi w:val="0"/>
        <w:spacing w:before="0" w:line="262" w:lineRule="auto"/>
        <w:ind w:left="0" w:right="0" w:firstLine="0"/>
        <w:jc w:val="left"/>
      </w:pPr>
      <w:r>
        <w:rPr>
          <w:rStyle w:val="CharStyle17"/>
          <w:b/>
          <w:bCs/>
        </w:rPr>
        <w:t>D SOUHLASÍM [X] NESOUHLASÍM</w:t>
      </w:r>
    </w:p>
    <w:p>
      <w:pPr>
        <w:pStyle w:val="Style14"/>
        <w:keepNext w:val="0"/>
        <w:keepLines w:val="0"/>
        <w:widowControl w:val="0"/>
        <w:numPr>
          <w:ilvl w:val="0"/>
          <w:numId w:val="21"/>
        </w:numPr>
        <w:shd w:val="clear" w:color="auto" w:fill="auto"/>
        <w:tabs>
          <w:tab w:pos="346" w:val="left"/>
        </w:tabs>
        <w:bidi w:val="0"/>
        <w:spacing w:before="0" w:after="120"/>
        <w:ind w:left="0" w:right="0" w:firstLine="0"/>
        <w:jc w:val="left"/>
      </w:pPr>
      <w:r>
        <w:rPr>
          <w:rStyle w:val="CharStyle15"/>
          <w:b/>
          <w:bCs/>
        </w:rPr>
        <w:t>Informace o zpracování osobních údajů bez Vašeho souhlasu</w:t>
      </w:r>
    </w:p>
    <w:p>
      <w:pPr>
        <w:pStyle w:val="Style19"/>
        <w:keepNext/>
        <w:keepLines/>
        <w:widowControl w:val="0"/>
        <w:numPr>
          <w:ilvl w:val="1"/>
          <w:numId w:val="21"/>
        </w:numPr>
        <w:shd w:val="clear" w:color="auto" w:fill="auto"/>
        <w:tabs>
          <w:tab w:pos="361" w:val="left"/>
        </w:tabs>
        <w:bidi w:val="0"/>
        <w:spacing w:before="0" w:after="0" w:line="298" w:lineRule="auto"/>
        <w:ind w:left="0" w:right="0" w:firstLine="0"/>
        <w:jc w:val="left"/>
      </w:pPr>
      <w:bookmarkStart w:id="54" w:name="bookmark54"/>
      <w:r>
        <w:rPr>
          <w:rStyle w:val="CharStyle20"/>
          <w:b/>
          <w:bCs/>
        </w:rPr>
        <w:t>Zpracování pro účely plnění smlouvy a oprávněných zájmů pojistitele</w:t>
      </w:r>
      <w:bookmarkEnd w:id="54"/>
    </w:p>
    <w:p>
      <w:pPr>
        <w:pStyle w:val="Style16"/>
        <w:keepNext w:val="0"/>
        <w:keepLines w:val="0"/>
        <w:widowControl w:val="0"/>
        <w:shd w:val="clear" w:color="auto" w:fill="auto"/>
        <w:bidi w:val="0"/>
        <w:spacing w:before="0" w:after="0"/>
        <w:ind w:left="0" w:right="0" w:firstLine="0"/>
        <w:jc w:val="left"/>
      </w:pPr>
      <w:r>
        <w:rPr>
          <w:rStyle w:val="CharStyle17"/>
        </w:rPr>
        <w:t>Pojistník bere na vědomí, že jeho identifikační a kontaktní údaje, údaje pro ocenění rizika při vstupu do pojištění a údaje o využívání služeb zpracovává pojistitel:</w:t>
      </w:r>
    </w:p>
    <w:p>
      <w:pPr>
        <w:pStyle w:val="Style16"/>
        <w:keepNext w:val="0"/>
        <w:keepLines w:val="0"/>
        <w:widowControl w:val="0"/>
        <w:numPr>
          <w:ilvl w:val="0"/>
          <w:numId w:val="25"/>
        </w:numPr>
        <w:shd w:val="clear" w:color="auto" w:fill="auto"/>
        <w:tabs>
          <w:tab w:pos="699" w:val="left"/>
        </w:tabs>
        <w:bidi w:val="0"/>
        <w:spacing w:before="0" w:after="0"/>
        <w:ind w:left="700" w:right="0" w:hanging="340"/>
        <w:jc w:val="left"/>
      </w:pPr>
      <w:r>
        <w:rPr>
          <w:rStyle w:val="CharStyle17"/>
        </w:rPr>
        <w:t xml:space="preserve">pro účely kalkulace, návrhu a uzavření pojistné smlouvy, posouzení přijatelnosti do pojištění, správy a ukončení pojistné smlouvy a likvidace pojistných událostí, když v těchto případech jde o zpracování nezbytné pro </w:t>
      </w:r>
      <w:r>
        <w:rPr>
          <w:rStyle w:val="CharStyle17"/>
          <w:b/>
          <w:bCs/>
        </w:rPr>
        <w:t xml:space="preserve">plnění smlouvy, </w:t>
      </w:r>
      <w:r>
        <w:rPr>
          <w:rStyle w:val="CharStyle17"/>
        </w:rPr>
        <w:t>a</w:t>
      </w:r>
    </w:p>
    <w:p>
      <w:pPr>
        <w:pStyle w:val="Style16"/>
        <w:keepNext w:val="0"/>
        <w:keepLines w:val="0"/>
        <w:widowControl w:val="0"/>
        <w:numPr>
          <w:ilvl w:val="0"/>
          <w:numId w:val="25"/>
        </w:numPr>
        <w:shd w:val="clear" w:color="auto" w:fill="auto"/>
        <w:tabs>
          <w:tab w:pos="699" w:val="left"/>
        </w:tabs>
        <w:bidi w:val="0"/>
        <w:spacing w:before="0"/>
        <w:ind w:left="700" w:right="0" w:hanging="340"/>
        <w:jc w:val="left"/>
      </w:pPr>
      <w:r>
        <w:rPr>
          <w:rStyle w:val="CharStyle17"/>
        </w:rP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rStyle w:val="CharStyle17"/>
          <w:b/>
          <w:bCs/>
        </w:rPr>
        <w:t xml:space="preserve">oprávněných zájmů </w:t>
      </w:r>
      <w:r>
        <w:rPr>
          <w:rStyle w:val="CharStyle17"/>
        </w:rPr>
        <w:t>pojistitele. Proti takovému zpracování máte právo kdykoli podat námitku, která může být uplatněna způsobem uvedeným v Informacích o zpracování osobních údajů v neživotním pojištění.</w:t>
      </w:r>
    </w:p>
    <w:p>
      <w:pPr>
        <w:pStyle w:val="Style19"/>
        <w:keepNext/>
        <w:keepLines/>
        <w:widowControl w:val="0"/>
        <w:numPr>
          <w:ilvl w:val="1"/>
          <w:numId w:val="21"/>
        </w:numPr>
        <w:shd w:val="clear" w:color="auto" w:fill="auto"/>
        <w:tabs>
          <w:tab w:pos="356" w:val="left"/>
        </w:tabs>
        <w:bidi w:val="0"/>
        <w:spacing w:before="0" w:after="0" w:line="300" w:lineRule="auto"/>
        <w:ind w:left="0" w:right="0" w:firstLine="0"/>
        <w:jc w:val="left"/>
      </w:pPr>
      <w:bookmarkStart w:id="56" w:name="bookmark56"/>
      <w:r>
        <w:rPr>
          <w:rStyle w:val="CharStyle20"/>
          <w:b/>
          <w:bCs/>
        </w:rPr>
        <w:t>Zpracování pro účely plnění zákonné povinnosti</w:t>
      </w:r>
      <w:bookmarkEnd w:id="56"/>
    </w:p>
    <w:p>
      <w:pPr>
        <w:pStyle w:val="Style16"/>
        <w:keepNext w:val="0"/>
        <w:keepLines w:val="0"/>
        <w:widowControl w:val="0"/>
        <w:shd w:val="clear" w:color="auto" w:fill="auto"/>
        <w:bidi w:val="0"/>
        <w:spacing w:before="0" w:line="264" w:lineRule="auto"/>
        <w:ind w:left="0" w:right="0" w:firstLine="0"/>
        <w:jc w:val="left"/>
      </w:pPr>
      <w:r>
        <w:rPr>
          <w:rStyle w:val="CharStyle17"/>
        </w:rPr>
        <w:t xml:space="preserve">Pojistník bere na vědomí, že jeho identifikační a kontaktní údaje a údaje pro ocenění rizika při vstupu do pojištění pojistitel dále zpracovává ke </w:t>
      </w:r>
      <w:r>
        <w:rPr>
          <w:rStyle w:val="CharStyle17"/>
          <w:b/>
          <w:bCs/>
        </w:rPr>
        <w:t xml:space="preserve">splnění své zákonné povinnosti </w:t>
      </w:r>
      <w:r>
        <w:rPr>
          <w:rStyle w:val="CharStyle17"/>
        </w:rPr>
        <w:t>vyplývající zejména ze zákona upravujícího distribuci pojištění a zákona č. 69/2006 Sb., o provádění mezinárodních sankcí.</w:t>
      </w:r>
    </w:p>
    <w:p>
      <w:pPr>
        <w:pStyle w:val="Style19"/>
        <w:keepNext/>
        <w:keepLines/>
        <w:widowControl w:val="0"/>
        <w:numPr>
          <w:ilvl w:val="1"/>
          <w:numId w:val="21"/>
        </w:numPr>
        <w:shd w:val="clear" w:color="auto" w:fill="auto"/>
        <w:tabs>
          <w:tab w:pos="356" w:val="left"/>
        </w:tabs>
        <w:bidi w:val="0"/>
        <w:spacing w:before="0" w:after="0" w:line="295" w:lineRule="auto"/>
        <w:ind w:left="0" w:right="0" w:firstLine="0"/>
        <w:jc w:val="left"/>
      </w:pPr>
      <w:bookmarkStart w:id="58" w:name="bookmark58"/>
      <w:r>
        <w:rPr>
          <w:rStyle w:val="CharStyle20"/>
          <w:b/>
          <w:bCs/>
        </w:rPr>
        <w:t>Zpracování pro účely přímého marketingu</w:t>
      </w:r>
      <w:bookmarkEnd w:id="58"/>
    </w:p>
    <w:p>
      <w:pPr>
        <w:pStyle w:val="Style16"/>
        <w:keepNext w:val="0"/>
        <w:keepLines w:val="0"/>
        <w:widowControl w:val="0"/>
        <w:shd w:val="clear" w:color="auto" w:fill="auto"/>
        <w:bidi w:val="0"/>
        <w:spacing w:before="0" w:after="0"/>
        <w:ind w:left="0" w:right="0" w:firstLine="0"/>
        <w:jc w:val="left"/>
      </w:pPr>
      <w:r>
        <w:rPr>
          <w:rStyle w:val="CharStyle17"/>
        </w:rPr>
        <w:t xml:space="preserve">Pojistník bere na vědomí, že jeho identifikační a kontaktní údaje a údaje o využívání služeb může pojistitel také zpracovávat na základě jeho </w:t>
      </w:r>
      <w:r>
        <w:rPr>
          <w:rStyle w:val="CharStyle17"/>
          <w:b/>
          <w:bCs/>
        </w:rPr>
        <w:t xml:space="preserve">oprávněného zájmu </w:t>
      </w:r>
      <w:r>
        <w:rPr>
          <w:rStyle w:val="CharStyle17"/>
        </w:rPr>
        <w:t>pro účely zasílání svých reklamních sdělení a nabízení svých služeb; nabídku od pojistitele můžete dostat elektronicky (zejména SMSkou, e-mailem, přes sociální sítě nebo telefonicky) nebo klasickým dopisem či osobně od zaměstnanců pojistitele.</w:t>
      </w:r>
    </w:p>
    <w:p>
      <w:pPr>
        <w:pStyle w:val="Style16"/>
        <w:keepNext w:val="0"/>
        <w:keepLines w:val="0"/>
        <w:widowControl w:val="0"/>
        <w:shd w:val="clear" w:color="auto" w:fill="auto"/>
        <w:bidi w:val="0"/>
        <w:spacing w:before="0"/>
        <w:ind w:left="0" w:right="0" w:firstLine="0"/>
        <w:jc w:val="left"/>
      </w:pPr>
      <w:r>
        <w:rPr>
          <w:rStyle w:val="CharStyle17"/>
        </w:rPr>
        <w:t xml:space="preserve">Proti takovému zpracování máte jako pojistník právo kdykoli podat námitku. Pokud si nepřejete, aby Vás pojistitel oslovoval s jakýmikoli nabídkami, zaškrtněte prosím toto pole: </w:t>
      </w:r>
      <w:r>
        <w:rPr>
          <w:rStyle w:val="CharStyle17"/>
          <w:b/>
          <w:bCs/>
        </w:rPr>
        <w:t>[X],</w:t>
      </w:r>
    </w:p>
    <w:p>
      <w:pPr>
        <w:pStyle w:val="Style19"/>
        <w:keepNext/>
        <w:keepLines/>
        <w:widowControl w:val="0"/>
        <w:numPr>
          <w:ilvl w:val="1"/>
          <w:numId w:val="21"/>
        </w:numPr>
        <w:shd w:val="clear" w:color="auto" w:fill="auto"/>
        <w:tabs>
          <w:tab w:pos="366" w:val="left"/>
        </w:tabs>
        <w:bidi w:val="0"/>
        <w:spacing w:before="0" w:after="0" w:line="295" w:lineRule="auto"/>
        <w:ind w:left="0" w:right="0" w:firstLine="0"/>
        <w:jc w:val="left"/>
      </w:pPr>
      <w:bookmarkStart w:id="60" w:name="bookmark60"/>
      <w:r>
        <w:rPr>
          <w:rStyle w:val="CharStyle20"/>
          <w:b/>
          <w:bCs/>
        </w:rPr>
        <w:t>Povinnost pojistníka informovat třetí osoby</w:t>
      </w:r>
      <w:bookmarkEnd w:id="60"/>
    </w:p>
    <w:p>
      <w:pPr>
        <w:pStyle w:val="Style16"/>
        <w:keepNext w:val="0"/>
        <w:keepLines w:val="0"/>
        <w:widowControl w:val="0"/>
        <w:shd w:val="clear" w:color="auto" w:fill="auto"/>
        <w:bidi w:val="0"/>
        <w:spacing w:before="0"/>
        <w:ind w:left="0" w:right="0" w:firstLine="0"/>
        <w:jc w:val="left"/>
      </w:pPr>
      <w:r>
        <w:rPr>
          <w:rStyle w:val="CharStyle17"/>
        </w:rPr>
        <w:t>Pojistník se zavazuje informovat každého pojištěného, jenž je osobou odlišnou od pojistníka, a případné další osoby, které uvedl v pojistné smlouvě, o zpracování jejich osobních údajů.</w:t>
      </w:r>
    </w:p>
    <w:p>
      <w:pPr>
        <w:pStyle w:val="Style19"/>
        <w:keepNext/>
        <w:keepLines/>
        <w:widowControl w:val="0"/>
        <w:numPr>
          <w:ilvl w:val="1"/>
          <w:numId w:val="21"/>
        </w:numPr>
        <w:shd w:val="clear" w:color="auto" w:fill="auto"/>
        <w:tabs>
          <w:tab w:pos="356" w:val="left"/>
        </w:tabs>
        <w:bidi w:val="0"/>
        <w:spacing w:before="0" w:after="0"/>
        <w:ind w:left="0" w:right="0" w:firstLine="0"/>
        <w:jc w:val="left"/>
      </w:pPr>
      <w:bookmarkStart w:id="62" w:name="bookmark62"/>
      <w:r>
        <w:rPr>
          <w:rStyle w:val="CharStyle20"/>
          <w:b/>
          <w:bCs/>
        </w:rPr>
        <w:t>Informace o zpracování osobních údajů zástupce pojistníka</w:t>
      </w:r>
      <w:bookmarkEnd w:id="62"/>
    </w:p>
    <w:p>
      <w:pPr>
        <w:pStyle w:val="Style16"/>
        <w:keepNext w:val="0"/>
        <w:keepLines w:val="0"/>
        <w:widowControl w:val="0"/>
        <w:shd w:val="clear" w:color="auto" w:fill="auto"/>
        <w:bidi w:val="0"/>
        <w:spacing w:before="0" w:after="0" w:line="257" w:lineRule="auto"/>
        <w:ind w:left="0" w:right="0" w:firstLine="0"/>
        <w:jc w:val="left"/>
      </w:pPr>
      <w:r>
        <w:rPr>
          <w:rStyle w:val="CharStyle17"/>
        </w:rPr>
        <w:t xml:space="preserve">Zástupce právnické osoby, zákonný zástupce nebo jiná osoba oprávněná zastupovat pojistníka bere na vědomí, že její identifikační a kontaktní údaje pojistitel zpracovává na základě </w:t>
      </w:r>
      <w:r>
        <w:rPr>
          <w:rStyle w:val="CharStyle17"/>
          <w:b/>
          <w:bCs/>
        </w:rPr>
        <w:t xml:space="preserve">oprávněného zájmu </w:t>
      </w:r>
      <w:r>
        <w:rPr>
          <w:rStyle w:val="CharStyle17"/>
        </w:rP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pPr>
        <w:pStyle w:val="Style16"/>
        <w:keepNext w:val="0"/>
        <w:keepLines w:val="0"/>
        <w:widowControl w:val="0"/>
        <w:shd w:val="clear" w:color="auto" w:fill="auto"/>
        <w:bidi w:val="0"/>
        <w:spacing w:before="0" w:after="0" w:line="257" w:lineRule="auto"/>
        <w:ind w:left="0" w:right="0" w:firstLine="0"/>
        <w:jc w:val="left"/>
      </w:pPr>
      <w:r>
        <w:rPr>
          <w:rStyle w:val="CharStyle17"/>
          <w:b/>
          <w:bCs/>
        </w:rPr>
        <w:t>Zpracování pro účely plnění zákonné povinnosti</w:t>
      </w:r>
    </w:p>
    <w:p>
      <w:pPr>
        <w:pStyle w:val="Style16"/>
        <w:keepNext w:val="0"/>
        <w:keepLines w:val="0"/>
        <w:widowControl w:val="0"/>
        <w:shd w:val="clear" w:color="auto" w:fill="auto"/>
        <w:bidi w:val="0"/>
        <w:spacing w:before="0" w:line="257" w:lineRule="auto"/>
        <w:ind w:left="0" w:right="0" w:firstLine="0"/>
        <w:jc w:val="left"/>
      </w:pPr>
      <w:r>
        <w:rPr>
          <w:rStyle w:val="CharStyle17"/>
          <w:b/>
          <w:bCs/>
        </w:rPr>
        <w:t xml:space="preserve">Zástupce právnické osoby, zákonný zástupce nebo jiná osoba oprávněná zastupovat pojistníka bere na vědomí, že identifikační a kontaktní údaje pojistitel dále zpracovává ke splněni své zákonné povinnosti </w:t>
      </w:r>
      <w:r>
        <w:rPr>
          <w:rStyle w:val="CharStyle17"/>
        </w:rPr>
        <w:t>vyplývající zejména ze zákona upravujícího distribuci pojištění a zákona č. 69/2006 Sb., o provádění mezinárodních sankcí.</w:t>
      </w:r>
    </w:p>
    <w:p>
      <w:pPr>
        <w:pStyle w:val="Style16"/>
        <w:keepNext w:val="0"/>
        <w:keepLines w:val="0"/>
        <w:widowControl w:val="0"/>
        <w:numPr>
          <w:ilvl w:val="1"/>
          <w:numId w:val="21"/>
        </w:numPr>
        <w:shd w:val="clear" w:color="auto" w:fill="auto"/>
        <w:tabs>
          <w:tab w:pos="370" w:val="left"/>
        </w:tabs>
        <w:bidi w:val="0"/>
        <w:spacing w:before="0" w:after="220"/>
        <w:ind w:left="0" w:right="0" w:firstLine="0"/>
        <w:jc w:val="left"/>
      </w:pPr>
      <w:r>
        <w:rPr>
          <w:rStyle w:val="CharStyle17"/>
        </w:rPr>
        <w:t xml:space="preserve">Uzavřením pojistné smlouvy potvrzujete, že jste se důkladně seznámil se smyslem a obsahem souhlasu se zpracováním osobních údajů a že jste se před jejich udělením seznámil s dokumentem </w:t>
      </w:r>
      <w:r>
        <w:rPr>
          <w:rStyle w:val="CharStyle17"/>
          <w:b/>
          <w:bCs/>
        </w:rPr>
        <w:t xml:space="preserve">Informace o zpracování osobních údajů v neživotním pojištění, </w:t>
      </w:r>
      <w:r>
        <w:rPr>
          <w:rStyle w:val="CharStyle17"/>
        </w:rPr>
        <w:t>zejména s bližší identifikací dalších správců, rozsahem zpracovávaných údajů, právními základy (důvody), účely a dobou zpracování osobních údajů, způsobem odvolání souhlasu a právy, která Vám v této souvislosti náleží.</w:t>
      </w:r>
    </w:p>
    <w:p>
      <w:pPr>
        <w:pStyle w:val="Style14"/>
        <w:keepNext w:val="0"/>
        <w:keepLines w:val="0"/>
        <w:widowControl w:val="0"/>
        <w:shd w:val="clear" w:color="auto" w:fill="auto"/>
        <w:bidi w:val="0"/>
        <w:spacing w:before="0" w:after="0" w:line="295" w:lineRule="auto"/>
        <w:ind w:left="0" w:right="0" w:firstLine="0"/>
        <w:jc w:val="center"/>
      </w:pPr>
      <w:r>
        <w:rPr>
          <w:rStyle w:val="CharStyle15"/>
          <w:b/>
          <w:bCs/>
        </w:rPr>
        <w:t>ČLÁNEK 7.</w:t>
      </w:r>
    </w:p>
    <w:p>
      <w:pPr>
        <w:pStyle w:val="Style19"/>
        <w:keepNext/>
        <w:keepLines/>
        <w:widowControl w:val="0"/>
        <w:shd w:val="clear" w:color="auto" w:fill="auto"/>
        <w:bidi w:val="0"/>
        <w:spacing w:before="0" w:after="120" w:line="295" w:lineRule="auto"/>
        <w:ind w:left="0" w:right="0" w:firstLine="0"/>
        <w:jc w:val="center"/>
      </w:pPr>
      <w:bookmarkStart w:id="64" w:name="bookmark64"/>
      <w:r>
        <w:rPr>
          <w:rStyle w:val="CharStyle20"/>
          <w:b/>
          <w:bCs/>
        </w:rPr>
        <w:t>ZÁVĚREČNÁ USTANOVENÍ</w:t>
      </w:r>
      <w:bookmarkEnd w:id="64"/>
    </w:p>
    <w:p>
      <w:pPr>
        <w:pStyle w:val="Style16"/>
        <w:keepNext w:val="0"/>
        <w:keepLines w:val="0"/>
        <w:widowControl w:val="0"/>
        <w:numPr>
          <w:ilvl w:val="0"/>
          <w:numId w:val="27"/>
        </w:numPr>
        <w:shd w:val="clear" w:color="auto" w:fill="auto"/>
        <w:tabs>
          <w:tab w:pos="347" w:val="left"/>
        </w:tabs>
        <w:bidi w:val="0"/>
        <w:spacing w:before="0"/>
        <w:ind w:left="0" w:right="0" w:firstLine="0"/>
        <w:jc w:val="left"/>
      </w:pPr>
      <w:r>
        <w:rPr>
          <w:rStyle w:val="CharStyle17"/>
        </w:rPr>
        <w:t>Návrh pojistitele na uzavření pojistné smlouvy (dále jen "nabídka") musí být pojistníkem přijat v termínu určeném pojistitelem. Nabídku může pojistník přijmout výhradně včasným zaplacením pojistného za první pojistné období (případně jednorázového pojistného), tj. zaplacením nejpozději v termínu určeném v Pokynech k návrhu pojistné smlouvy a též v průvodním e-mailu, které byly pojistníkovi doručeny společně s nabídkou. Pojistník však souhlasí s tím, aby pojistitel přijal a použil na úhradu prvního pojistného i platbu zaslanou pod variabilním symbolem určeným pojistitelem, která bude vyšší než částka pojistného za první pojistné období (případně jednorázového pojistného) stanovená v nabídce. Pojistná smlouva bude uzavřena i včasným zaplacením této vyšší částky.</w:t>
      </w:r>
    </w:p>
    <w:p>
      <w:pPr>
        <w:pStyle w:val="Style16"/>
        <w:keepNext w:val="0"/>
        <w:keepLines w:val="0"/>
        <w:widowControl w:val="0"/>
        <w:numPr>
          <w:ilvl w:val="0"/>
          <w:numId w:val="27"/>
        </w:numPr>
        <w:shd w:val="clear" w:color="auto" w:fill="auto"/>
        <w:tabs>
          <w:tab w:pos="347" w:val="left"/>
        </w:tabs>
        <w:bidi w:val="0"/>
        <w:spacing w:before="0" w:after="600" w:line="257" w:lineRule="auto"/>
        <w:ind w:left="0" w:right="0" w:firstLine="0"/>
        <w:jc w:val="left"/>
      </w:pPr>
      <w:r>
        <w:rPr>
          <w:rStyle w:val="CharStyle17"/>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pPr>
        <w:pStyle w:val="Style14"/>
        <w:keepNext w:val="0"/>
        <w:keepLines w:val="0"/>
        <w:widowControl w:val="0"/>
        <w:shd w:val="clear" w:color="auto" w:fill="auto"/>
        <w:bidi w:val="0"/>
        <w:spacing w:before="0" w:after="0" w:line="295" w:lineRule="auto"/>
        <w:ind w:left="0" w:right="0" w:firstLine="0"/>
        <w:jc w:val="center"/>
      </w:pPr>
      <w:r>
        <w:rPr>
          <w:rStyle w:val="CharStyle15"/>
          <w:b/>
          <w:bCs/>
        </w:rPr>
        <w:t>ČLÁNEK 8.</w:t>
      </w:r>
    </w:p>
    <w:p>
      <w:pPr>
        <w:pStyle w:val="Style19"/>
        <w:keepNext/>
        <w:keepLines/>
        <w:widowControl w:val="0"/>
        <w:shd w:val="clear" w:color="auto" w:fill="auto"/>
        <w:bidi w:val="0"/>
        <w:spacing w:before="0" w:after="0" w:line="295" w:lineRule="auto"/>
        <w:ind w:left="0" w:right="0" w:firstLine="0"/>
        <w:jc w:val="center"/>
      </w:pPr>
      <w:bookmarkStart w:id="66" w:name="bookmark66"/>
      <w:r>
        <w:rPr>
          <w:rStyle w:val="CharStyle20"/>
          <w:b/>
          <w:bCs/>
        </w:rPr>
        <w:t>UPOZORNĚNÍ POJISTITELE DLE § 2789 ZÁKONA č. 89/2012 Sb., OBČANSKÉHO ZÁKONÍKU</w:t>
      </w:r>
      <w:bookmarkEnd w:id="66"/>
    </w:p>
    <w:p>
      <w:pPr>
        <w:pStyle w:val="Style16"/>
        <w:keepNext w:val="0"/>
        <w:keepLines w:val="0"/>
        <w:widowControl w:val="0"/>
        <w:shd w:val="clear" w:color="auto" w:fill="auto"/>
        <w:bidi w:val="0"/>
        <w:spacing w:before="0" w:after="220"/>
        <w:ind w:left="0" w:right="0" w:firstLine="0"/>
        <w:jc w:val="left"/>
      </w:pPr>
      <w:r>
        <w:rPr>
          <w:rStyle w:val="CharStyle17"/>
        </w:rPr>
        <w:t>Ve smyslu § 2789 zákona č. 89/2012 Sb., občanského zákoníku, je konstatováno,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 pojistitel upozorní pojistníka (klienta) na tyto nesrovnalosti samostatným dopisem.</w:t>
      </w:r>
    </w:p>
    <w:p>
      <w:pPr>
        <w:pStyle w:val="Style16"/>
        <w:keepNext w:val="0"/>
        <w:keepLines w:val="0"/>
        <w:widowControl w:val="0"/>
        <w:shd w:val="clear" w:color="auto" w:fill="auto"/>
        <w:bidi w:val="0"/>
        <w:spacing w:before="0" w:after="0"/>
        <w:ind w:left="0" w:right="0" w:firstLine="0"/>
        <w:jc w:val="left"/>
      </w:pPr>
      <w:r>
        <w:rPr>
          <w:rStyle w:val="CharStyle17"/>
        </w:rPr>
        <w:t>Tato smlouva obsahuje přílohy:</w:t>
      </w:r>
    </w:p>
    <w:p>
      <w:pPr>
        <w:pStyle w:val="Style16"/>
        <w:keepNext w:val="0"/>
        <w:keepLines w:val="0"/>
        <w:widowControl w:val="0"/>
        <w:shd w:val="clear" w:color="auto" w:fill="auto"/>
        <w:bidi w:val="0"/>
        <w:spacing w:before="0" w:after="0"/>
        <w:ind w:left="0" w:right="0" w:firstLine="360"/>
        <w:jc w:val="left"/>
      </w:pPr>
      <w:r>
        <w:rPr>
          <w:rStyle w:val="CharStyle17"/>
        </w:rPr>
        <w:t>• ZSU-500/24 - Zvláštní smluvní ujednání k pojištění odpovědnosti za újmu</w:t>
      </w:r>
    </w:p>
    <w:p>
      <w:pPr>
        <w:pStyle w:val="Style16"/>
        <w:keepNext w:val="0"/>
        <w:keepLines w:val="0"/>
        <w:widowControl w:val="0"/>
        <w:shd w:val="clear" w:color="auto" w:fill="auto"/>
        <w:tabs>
          <w:tab w:pos="5456" w:val="left"/>
        </w:tabs>
        <w:bidi w:val="0"/>
        <w:spacing w:before="0" w:after="0"/>
        <w:ind w:left="0" w:right="0" w:firstLine="0"/>
        <w:jc w:val="left"/>
      </w:pPr>
      <w:r>
        <w:rPr>
          <w:rStyle w:val="CharStyle17"/>
          <w:b/>
          <w:bCs/>
        </w:rPr>
        <w:t>Datum vzniku návrhu Pojistné smlouvy:</w:t>
        <w:tab/>
        <w:t>2. 6.2025</w:t>
      </w:r>
    </w:p>
    <w:p>
      <w:pPr>
        <w:pStyle w:val="Style16"/>
        <w:keepNext w:val="0"/>
        <w:keepLines w:val="0"/>
        <w:widowControl w:val="0"/>
        <w:shd w:val="clear" w:color="auto" w:fill="auto"/>
        <w:tabs>
          <w:tab w:pos="5456" w:val="left"/>
        </w:tabs>
        <w:bidi w:val="0"/>
        <w:spacing w:before="0" w:after="0"/>
        <w:ind w:left="0" w:right="0" w:firstLine="0"/>
        <w:jc w:val="left"/>
      </w:pPr>
      <w:r>
        <w:rPr>
          <w:rStyle w:val="CharStyle17"/>
        </w:rPr>
        <w:t>Termín stanovený pojistitelem pro přijetí návrhu pojistné smlouvy:</w:t>
        <w:tab/>
        <w:t>15 dní od vzniku návrhu pojistné smlouvy</w:t>
      </w:r>
    </w:p>
    <w:p>
      <w:pPr>
        <w:pStyle w:val="Style16"/>
        <w:keepNext w:val="0"/>
        <w:keepLines w:val="0"/>
        <w:widowControl w:val="0"/>
        <w:shd w:val="clear" w:color="auto" w:fill="auto"/>
        <w:bidi w:val="0"/>
        <w:spacing w:before="0" w:after="0" w:line="264" w:lineRule="auto"/>
        <w:ind w:left="0" w:right="0" w:firstLine="0"/>
        <w:jc w:val="left"/>
      </w:pPr>
      <w:r>
        <w:rPr>
          <w:rStyle w:val="CharStyle17"/>
        </w:rPr>
        <w:t>Marným uplynutím uvedeného termínu návrh pojistné smlouvy zaniká.</w:t>
      </w:r>
    </w:p>
    <w:p>
      <w:pPr>
        <w:pStyle w:val="Style16"/>
        <w:keepNext w:val="0"/>
        <w:keepLines w:val="0"/>
        <w:widowControl w:val="0"/>
        <w:shd w:val="clear" w:color="auto" w:fill="auto"/>
        <w:tabs>
          <w:tab w:pos="5456" w:val="left"/>
        </w:tabs>
        <w:bidi w:val="0"/>
        <w:spacing w:before="0" w:after="0" w:line="264" w:lineRule="auto"/>
        <w:ind w:left="0" w:right="0" w:firstLine="0"/>
        <w:jc w:val="left"/>
      </w:pPr>
      <w:r>
        <w:rPr>
          <w:rStyle w:val="CharStyle17"/>
        </w:rPr>
        <w:t>Poslední den termínu pro přijetí návrhu pojistné smlouvy:</w:t>
        <w:tab/>
        <w:t>17. 6. 2025</w:t>
      </w:r>
    </w:p>
    <w:p>
      <w:pPr>
        <w:pStyle w:val="Style16"/>
        <w:keepNext w:val="0"/>
        <w:keepLines w:val="0"/>
        <w:widowControl w:val="0"/>
        <w:shd w:val="clear" w:color="auto" w:fill="auto"/>
        <w:bidi w:val="0"/>
        <w:spacing w:before="0" w:after="60"/>
        <w:ind w:left="0" w:right="0" w:firstLine="0"/>
        <w:jc w:val="left"/>
      </w:pPr>
      <w:r>
        <w:rPr>
          <w:rStyle w:val="CharStyle17"/>
        </w:rPr>
        <w:t>Tento návrh pojistné smlouvy lze přijmout výhradně zaplacením pojistného za první pojistné období.</w:t>
      </w:r>
      <w:r>
        <w:br w:type="page"/>
      </w:r>
    </w:p>
    <w:p>
      <w:pPr>
        <w:pStyle w:val="Style16"/>
        <w:keepNext w:val="0"/>
        <w:keepLines w:val="0"/>
        <w:widowControl w:val="0"/>
        <w:shd w:val="clear" w:color="auto" w:fill="auto"/>
        <w:bidi w:val="0"/>
        <w:spacing w:before="0" w:after="0" w:line="240" w:lineRule="auto"/>
        <w:ind w:left="0" w:right="0" w:firstLine="0"/>
        <w:jc w:val="left"/>
      </w:pPr>
      <w:r>
        <w:rPr>
          <w:rStyle w:val="CharStyle17"/>
        </w:rPr>
        <w:t>Jméno, příjmení / název zástupce pojistitele (získatele): XXXXX</w:t>
      </w:r>
    </w:p>
    <w:p>
      <w:pPr>
        <w:pStyle w:val="Style16"/>
        <w:keepNext w:val="0"/>
        <w:keepLines w:val="0"/>
        <w:widowControl w:val="0"/>
        <w:shd w:val="clear" w:color="auto" w:fill="auto"/>
        <w:bidi w:val="0"/>
        <w:spacing w:before="0" w:after="0" w:line="240" w:lineRule="auto"/>
        <w:ind w:left="0" w:right="0" w:firstLine="0"/>
        <w:jc w:val="left"/>
      </w:pPr>
      <w:r>
        <w:rPr>
          <w:rStyle w:val="CharStyle17"/>
        </w:rPr>
        <w:t>Zaměstnanec pojistitele</w:t>
      </w:r>
    </w:p>
    <w:p>
      <w:pPr>
        <w:pStyle w:val="Style16"/>
        <w:keepNext w:val="0"/>
        <w:keepLines w:val="0"/>
        <w:widowControl w:val="0"/>
        <w:shd w:val="clear" w:color="auto" w:fill="auto"/>
        <w:bidi w:val="0"/>
        <w:spacing w:before="0" w:after="0" w:line="240" w:lineRule="auto"/>
        <w:ind w:left="0" w:right="0" w:firstLine="0"/>
        <w:jc w:val="left"/>
      </w:pPr>
      <w:r>
        <w:rPr>
          <w:rStyle w:val="CharStyle17"/>
        </w:rPr>
        <w:t>Získatelské číslo: XXXXX</w:t>
      </w:r>
    </w:p>
    <w:p>
      <w:pPr>
        <w:pStyle w:val="Style16"/>
        <w:keepNext w:val="0"/>
        <w:keepLines w:val="0"/>
        <w:widowControl w:val="0"/>
        <w:shd w:val="clear" w:color="auto" w:fill="auto"/>
        <w:bidi w:val="0"/>
        <w:spacing w:before="0" w:after="0" w:line="240" w:lineRule="auto"/>
        <w:ind w:left="0" w:right="0" w:firstLine="0"/>
        <w:jc w:val="left"/>
      </w:pPr>
      <w:r>
        <w:rPr>
          <w:rStyle w:val="CharStyle17"/>
        </w:rPr>
        <w:t>Telefonní číslo: XXXXX</w:t>
      </w:r>
    </w:p>
    <w:p>
      <w:pPr>
        <w:pStyle w:val="Style16"/>
        <w:keepNext w:val="0"/>
        <w:keepLines w:val="0"/>
        <w:widowControl w:val="0"/>
        <w:shd w:val="clear" w:color="auto" w:fill="auto"/>
        <w:tabs>
          <w:tab w:pos="1464" w:val="left"/>
        </w:tabs>
        <w:bidi w:val="0"/>
        <w:spacing w:before="0" w:after="0" w:line="240" w:lineRule="auto"/>
        <w:ind w:left="0" w:right="0" w:firstLine="0"/>
        <w:jc w:val="left"/>
        <w:sectPr>
          <w:footnotePr>
            <w:pos w:val="pageBottom"/>
            <w:numFmt w:val="decimal"/>
            <w:numRestart w:val="continuous"/>
          </w:footnotePr>
          <w:type w:val="continuous"/>
          <w:pgSz w:w="11900" w:h="16840"/>
          <w:pgMar w:top="393" w:right="820" w:bottom="1147" w:left="654" w:header="0" w:footer="3" w:gutter="0"/>
          <w:cols w:space="720"/>
          <w:noEndnote/>
          <w:rtlGutter w:val="0"/>
          <w:docGrid w:linePitch="360"/>
        </w:sectPr>
      </w:pPr>
      <w:r>
        <w:rPr>
          <w:rStyle w:val="CharStyle17"/>
        </w:rPr>
        <w:t>E-mail:</w:t>
        <w:tab/>
        <w:t>XXXXX</w:t>
      </w:r>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1900" w:h="16840"/>
          <w:pgMar w:top="627" w:right="0" w:bottom="969" w:left="0" w:header="0" w:footer="3" w:gutter="0"/>
          <w:cols w:space="720"/>
          <w:noEndnote/>
          <w:rtlGutter w:val="0"/>
          <w:docGrid w:linePitch="360"/>
        </w:sectPr>
      </w:pPr>
    </w:p>
    <w:p>
      <w:pPr>
        <w:widowControl w:val="0"/>
        <w:spacing w:line="360" w:lineRule="exact"/>
      </w:pPr>
      <w:r>
        <w:drawing>
          <wp:anchor distT="0" distB="0" distL="0" distR="0" simplePos="0" relativeHeight="62914694" behindDoc="1" locked="0" layoutInCell="1" allowOverlap="1">
            <wp:simplePos x="0" y="0"/>
            <wp:positionH relativeFrom="page">
              <wp:posOffset>3302000</wp:posOffset>
            </wp:positionH>
            <wp:positionV relativeFrom="paragraph">
              <wp:posOffset>12700</wp:posOffset>
            </wp:positionV>
            <wp:extent cx="895985" cy="786130"/>
            <wp:wrapNone/>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0"/>
                    <a:stretch/>
                  </pic:blipFill>
                  <pic:spPr>
                    <a:xfrm>
                      <a:ext cx="895985" cy="786130"/>
                    </a:xfrm>
                    <a:prstGeom prst="rect"/>
                  </pic:spPr>
                </pic:pic>
              </a:graphicData>
            </a:graphic>
          </wp:anchor>
        </w:drawing>
      </w:r>
    </w:p>
    <w:p>
      <w:pPr>
        <w:widowControl w:val="0"/>
        <w:spacing w:line="360" w:lineRule="exact"/>
      </w:pPr>
    </w:p>
    <w:p>
      <w:pPr>
        <w:widowControl w:val="0"/>
        <w:spacing w:after="513" w:line="1" w:lineRule="exact"/>
      </w:pPr>
    </w:p>
    <w:p>
      <w:pPr>
        <w:widowControl w:val="0"/>
        <w:spacing w:line="1" w:lineRule="exact"/>
        <w:sectPr>
          <w:footnotePr>
            <w:pos w:val="pageBottom"/>
            <w:numFmt w:val="decimal"/>
            <w:numRestart w:val="continuous"/>
          </w:footnotePr>
          <w:type w:val="continuous"/>
          <w:pgSz w:w="11900" w:h="16840"/>
          <w:pgMar w:top="627" w:right="780" w:bottom="969" w:left="694" w:header="0" w:footer="3" w:gutter="0"/>
          <w:cols w:space="720"/>
          <w:noEndnote/>
          <w:rtlGutter w:val="0"/>
          <w:docGrid w:linePitch="360"/>
        </w:sectPr>
      </w:pPr>
    </w:p>
    <w:p>
      <w:pPr>
        <w:widowControl w:val="0"/>
        <w:spacing w:line="1" w:lineRule="exact"/>
      </w:pPr>
      <w:r>
        <w:drawing>
          <wp:anchor distT="0" distB="0" distL="114300" distR="114300" simplePos="0" relativeHeight="125829380" behindDoc="0" locked="0" layoutInCell="1" allowOverlap="1">
            <wp:simplePos x="0" y="0"/>
            <wp:positionH relativeFrom="page">
              <wp:posOffset>4819650</wp:posOffset>
            </wp:positionH>
            <wp:positionV relativeFrom="paragraph">
              <wp:posOffset>12700</wp:posOffset>
            </wp:positionV>
            <wp:extent cx="146050" cy="133985"/>
            <wp:wrapSquare wrapText="bothSides"/>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2"/>
                    <a:stretch/>
                  </pic:blipFill>
                  <pic:spPr>
                    <a:xfrm>
                      <a:ext cx="146050" cy="133985"/>
                    </a:xfrm>
                    <a:prstGeom prst="rect"/>
                  </pic:spPr>
                </pic:pic>
              </a:graphicData>
            </a:graphic>
          </wp:anchor>
        </w:drawing>
      </w:r>
      <w:r>
        <mc:AlternateContent>
          <mc:Choice Requires="wps">
            <w:drawing>
              <wp:anchor distT="0" distB="0" distL="114300" distR="114300" simplePos="0" relativeHeight="125829381" behindDoc="0" locked="0" layoutInCell="1" allowOverlap="1">
                <wp:simplePos x="0" y="0"/>
                <wp:positionH relativeFrom="page">
                  <wp:posOffset>4594225</wp:posOffset>
                </wp:positionH>
                <wp:positionV relativeFrom="paragraph">
                  <wp:posOffset>121920</wp:posOffset>
                </wp:positionV>
                <wp:extent cx="594360" cy="274320"/>
                <wp:wrapSquare wrapText="bothSides"/>
                <wp:docPr id="14" name="Shape 14"/>
                <a:graphic xmlns:a="http://schemas.openxmlformats.org/drawingml/2006/main">
                  <a:graphicData uri="http://schemas.microsoft.com/office/word/2010/wordprocessingShape">
                    <wps:wsp>
                      <wps:cNvSpPr txBox="1"/>
                      <wps:spPr>
                        <a:xfrm>
                          <a:ext cx="594360" cy="274320"/>
                        </a:xfrm>
                        <a:prstGeom prst="rect"/>
                        <a:noFill/>
                      </wps:spPr>
                      <wps:txbx>
                        <w:txbxContent>
                          <w:p>
                            <w:pPr>
                              <w:pStyle w:val="Style38"/>
                              <w:keepNext w:val="0"/>
                              <w:keepLines w:val="0"/>
                              <w:widowControl w:val="0"/>
                              <w:shd w:val="clear" w:color="auto" w:fill="auto"/>
                              <w:bidi w:val="0"/>
                              <w:spacing w:before="0" w:after="0"/>
                              <w:ind w:left="0" w:right="0" w:firstLine="0"/>
                              <w:jc w:val="center"/>
                            </w:pPr>
                            <w:r>
                              <w:rPr>
                                <w:rStyle w:val="CharStyle39"/>
                                <w:b/>
                                <w:bCs/>
                              </w:rPr>
                              <w:t>Kooperativa popitovna, a i,</w:t>
                              <w:br/>
                              <w:t>Vienna Insurance Group</w:t>
                              <w:br/>
                              <w:t>GanarMni řeplteUtvl</w:t>
                              <w:br/>
                              <w:t>Potóeim 665/21</w:t>
                              <w:br/>
                              <w:t>186 00 Praha 8</w:t>
                            </w:r>
                          </w:p>
                        </w:txbxContent>
                      </wps:txbx>
                      <wps:bodyPr lIns="0" tIns="0" rIns="0" bIns="0">
                        <a:noAutoFit/>
                      </wps:bodyPr>
                    </wps:wsp>
                  </a:graphicData>
                </a:graphic>
              </wp:anchor>
            </w:drawing>
          </mc:Choice>
          <mc:Fallback>
            <w:pict>
              <v:shape id="_x0000_s1040" type="#_x0000_t202" style="position:absolute;margin-left:361.75pt;margin-top:9.5999999999999996pt;width:46.800000000000004pt;height:21.600000000000001pt;z-index:-125829372;mso-wrap-distance-left:9.pt;mso-wrap-distance-right:9.pt;mso-position-horizontal-relative:page" filled="f" stroked="f">
                <v:textbox inset="0,0,0,0">
                  <w:txbxContent>
                    <w:p>
                      <w:pPr>
                        <w:pStyle w:val="Style38"/>
                        <w:keepNext w:val="0"/>
                        <w:keepLines w:val="0"/>
                        <w:widowControl w:val="0"/>
                        <w:shd w:val="clear" w:color="auto" w:fill="auto"/>
                        <w:bidi w:val="0"/>
                        <w:spacing w:before="0" w:after="0"/>
                        <w:ind w:left="0" w:right="0" w:firstLine="0"/>
                        <w:jc w:val="center"/>
                      </w:pPr>
                      <w:r>
                        <w:rPr>
                          <w:rStyle w:val="CharStyle39"/>
                          <w:b/>
                          <w:bCs/>
                        </w:rPr>
                        <w:t>Kooperativa popitovna, a i,</w:t>
                        <w:br/>
                        <w:t>Vienna Insurance Group</w:t>
                        <w:br/>
                        <w:t>GanarMni řeplteUtvl</w:t>
                        <w:br/>
                        <w:t>Potóeim 665/21</w:t>
                        <w:br/>
                        <w:t>186 00 Praha 8</w:t>
                      </w:r>
                    </w:p>
                  </w:txbxContent>
                </v:textbox>
                <w10:wrap type="square" anchorx="page"/>
              </v:shape>
            </w:pict>
          </mc:Fallback>
        </mc:AlternateContent>
      </w:r>
    </w:p>
    <w:p>
      <w:pPr>
        <w:pStyle w:val="Style16"/>
        <w:keepNext w:val="0"/>
        <w:keepLines w:val="0"/>
        <w:widowControl w:val="0"/>
        <w:shd w:val="clear" w:color="auto" w:fill="auto"/>
        <w:bidi w:val="0"/>
        <w:spacing w:before="0" w:after="0" w:line="240" w:lineRule="auto"/>
        <w:ind w:left="0" w:right="0" w:firstLine="0"/>
        <w:jc w:val="center"/>
      </w:pPr>
      <w:r>
        <w:rPr>
          <w:rStyle w:val="CharStyle17"/>
        </w:rPr>
        <w:t>Jiří Sýkora</w:t>
      </w:r>
    </w:p>
    <w:p>
      <w:pPr>
        <w:pStyle w:val="Style16"/>
        <w:keepNext w:val="0"/>
        <w:keepLines w:val="0"/>
        <w:widowControl w:val="0"/>
        <w:shd w:val="clear" w:color="auto" w:fill="auto"/>
        <w:bidi w:val="0"/>
        <w:spacing w:before="0" w:after="0" w:line="240" w:lineRule="auto"/>
        <w:ind w:left="0" w:right="0" w:firstLine="0"/>
        <w:jc w:val="center"/>
      </w:pPr>
      <w:r>
        <w:rPr>
          <w:rStyle w:val="CharStyle17"/>
        </w:rPr>
        <w:t>Člen představenstva</w:t>
      </w:r>
    </w:p>
    <w:p>
      <w:pPr>
        <w:pStyle w:val="Style16"/>
        <w:keepNext w:val="0"/>
        <w:keepLines w:val="0"/>
        <w:widowControl w:val="0"/>
        <w:shd w:val="clear" w:color="auto" w:fill="auto"/>
        <w:bidi w:val="0"/>
        <w:spacing w:before="0" w:after="0" w:line="254" w:lineRule="auto"/>
        <w:ind w:left="0" w:right="0" w:firstLine="0"/>
        <w:jc w:val="center"/>
        <w:sectPr>
          <w:footnotePr>
            <w:pos w:val="pageBottom"/>
            <w:numFmt w:val="decimal"/>
            <w:numRestart w:val="continuous"/>
          </w:footnotePr>
          <w:type w:val="continuous"/>
          <w:pgSz w:w="11900" w:h="16840"/>
          <w:pgMar w:top="627" w:right="1246" w:bottom="1069" w:left="4832" w:header="0" w:footer="3" w:gutter="0"/>
          <w:cols w:num="2" w:space="2715"/>
          <w:noEndnote/>
          <w:rtlGutter w:val="0"/>
          <w:docGrid w:linePitch="360"/>
        </w:sectPr>
      </w:pPr>
      <w:r>
        <w:rPr>
          <w:rStyle w:val="CharStyle17"/>
        </w:rPr>
        <w:t>Mgr. Filip Král</w:t>
        <w:br/>
        <w:t>Člen představenstva</w:t>
      </w:r>
    </w:p>
    <w:sectPr>
      <w:footnotePr>
        <w:pos w:val="pageBottom"/>
        <w:numFmt w:val="decimal"/>
        <w:numRestart w:val="continuous"/>
      </w:footnotePr>
      <w:type w:val="continuous"/>
      <w:pgSz w:w="11900" w:h="16840"/>
      <w:pgMar w:top="627" w:right="1246" w:bottom="1069" w:left="4832" w:header="0" w:footer="3" w:gutter="0"/>
      <w:cols w:num="2" w:space="2715"/>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464820</wp:posOffset>
              </wp:positionH>
              <wp:positionV relativeFrom="page">
                <wp:posOffset>10031730</wp:posOffset>
              </wp:positionV>
              <wp:extent cx="1981200" cy="79375"/>
              <wp:wrapNone/>
              <wp:docPr id="5" name="Shape 5"/>
              <a:graphic xmlns:a="http://schemas.openxmlformats.org/drawingml/2006/main">
                <a:graphicData uri="http://schemas.microsoft.com/office/word/2010/wordprocessingShape">
                  <wps:wsp>
                    <wps:cNvSpPr txBox="1"/>
                    <wps:spPr>
                      <a:xfrm>
                        <a:ext cx="1981200" cy="793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Style w:val="CharStyle12"/>
                              <w:rFonts w:ascii="Arial" w:eastAsia="Arial" w:hAnsi="Arial" w:cs="Arial"/>
                              <w:sz w:val="11"/>
                              <w:szCs w:val="11"/>
                            </w:rPr>
                            <w:t xml:space="preserve">Strana </w:t>
                          </w:r>
                          <w:fldSimple w:instr=" PAGE \* MERGEFORMAT ">
                            <w:r>
                              <w:rPr>
                                <w:rStyle w:val="CharStyle12"/>
                                <w:rFonts w:ascii="Arial" w:eastAsia="Arial" w:hAnsi="Arial" w:cs="Arial"/>
                                <w:sz w:val="11"/>
                                <w:szCs w:val="11"/>
                              </w:rPr>
                              <w:t>#</w:t>
                            </w:r>
                          </w:fldSimple>
                          <w:r>
                            <w:rPr>
                              <w:rStyle w:val="CharStyle12"/>
                              <w:rFonts w:ascii="Arial" w:eastAsia="Arial" w:hAnsi="Arial" w:cs="Arial"/>
                              <w:sz w:val="11"/>
                              <w:szCs w:val="11"/>
                            </w:rPr>
                            <w:t>/12. PS 8603656798 tisk KNZ 02. 06. 2025,15:06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6.600000000000001pt;margin-top:789.89999999999998pt;width:156.pt;height:6.25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1"/>
                        <w:szCs w:val="11"/>
                      </w:rPr>
                    </w:pPr>
                    <w:r>
                      <w:rPr>
                        <w:rStyle w:val="CharStyle12"/>
                        <w:rFonts w:ascii="Arial" w:eastAsia="Arial" w:hAnsi="Arial" w:cs="Arial"/>
                        <w:sz w:val="11"/>
                        <w:szCs w:val="11"/>
                      </w:rPr>
                      <w:t xml:space="preserve">Strana </w:t>
                    </w:r>
                    <w:fldSimple w:instr=" PAGE \* MERGEFORMAT ">
                      <w:r>
                        <w:rPr>
                          <w:rStyle w:val="CharStyle12"/>
                          <w:rFonts w:ascii="Arial" w:eastAsia="Arial" w:hAnsi="Arial" w:cs="Arial"/>
                          <w:sz w:val="11"/>
                          <w:szCs w:val="11"/>
                        </w:rPr>
                        <w:t>#</w:t>
                      </w:r>
                    </w:fldSimple>
                    <w:r>
                      <w:rPr>
                        <w:rStyle w:val="CharStyle12"/>
                        <w:rFonts w:ascii="Arial" w:eastAsia="Arial" w:hAnsi="Arial" w:cs="Arial"/>
                        <w:sz w:val="11"/>
                        <w:szCs w:val="11"/>
                      </w:rPr>
                      <w:t>/12. PS 8603656798 tisk KNZ 02. 06. 2025,15:06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455930</wp:posOffset>
              </wp:positionH>
              <wp:positionV relativeFrom="page">
                <wp:posOffset>9960610</wp:posOffset>
              </wp:positionV>
              <wp:extent cx="5532120" cy="0"/>
              <wp:wrapNone/>
              <wp:docPr id="7" name="Shape 7"/>
              <a:graphic xmlns:a="http://schemas.openxmlformats.org/drawingml/2006/main">
                <a:graphicData uri="http://schemas.microsoft.com/office/word/2010/wordprocessingShape">
                  <wps:wsp>
                    <wps:cNvCnPr/>
                    <wps:spPr>
                      <a:xfrm>
                        <a:ext cx="5532120" cy="0"/>
                      </a:xfrm>
                      <a:prstGeom prst="straightConnector1"/>
                      <a:ln w="12700">
                        <a:solidFill/>
                      </a:ln>
                    </wps:spPr>
                    <wps:bodyPr/>
                  </wps:wsp>
                </a:graphicData>
              </a:graphic>
            </wp:anchor>
          </w:drawing>
        </mc:Choice>
        <mc:Fallback>
          <w:pict>
            <v:shape o:spt="32" o:oned="true" path="m,l21600,21600e" style="position:absolute;margin-left:35.899999999999999pt;margin-top:784.30000000000007pt;width:435.60000000000002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rPr>
    </w:lvl>
  </w:abstractNum>
  <w:abstractNum w:abstractNumId="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abstractNum>
  <w:abstractNum w:abstractNumId="6">
    <w:multiLevelType w:val="multilevel"/>
    <w:lvl w:ilvl="0">
      <w:start w:val="1"/>
      <w:numFmt w:val="bullet"/>
      <w:lvlText w:val="•"/>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rPr>
    </w:lvl>
    <w:lvl w:ilvl="1">
      <w:start w:val="1"/>
      <w:numFmt w:val="decimal"/>
      <w:lvlText w:val="%1.%2"/>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rPr>
    </w:lvl>
  </w:abstractNum>
  <w:abstractNum w:abstractNumId="1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abstractNum>
  <w:abstractNum w:abstractNumId="12">
    <w:multiLevelType w:val="multilevel"/>
    <w:lvl w:ilvl="0">
      <w:start w:val="2"/>
      <w:numFmt w:val="decimal"/>
      <w:lvlText w:val="%1"/>
    </w:lvl>
    <w:lvl w:ilvl="1">
      <w:start w:val="1"/>
      <w:numFmt w:val="decimal"/>
      <w:lvlText w:val="%1.%2"/>
    </w:lvl>
    <w:lvl w:ilvl="2">
      <w:start w:val="1"/>
      <w:numFmt w:val="decimal"/>
      <w:lvlText w:val="%1.%2.%3"/>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lvl w:ilvl="3">
      <w:start w:val="1"/>
      <w:numFmt w:val="decimal"/>
      <w:lvlText w:val="%1.%2.%3.%4"/>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abstractNum>
  <w:abstractNum w:abstractNumId="1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rPr>
    </w:lvl>
  </w:abstractNum>
  <w:abstractNum w:abstractNumId="18">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rPr>
    </w:lvl>
    <w:lvl w:ilvl="1">
      <w:start w:val="1"/>
      <w:numFmt w:val="decimal"/>
      <w:lvlText w:val="%1.%2"/>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abstractNum>
  <w:abstractNum w:abstractNumId="2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abstractNum>
  <w:abstractNum w:abstractNumId="2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rPr>
    </w:lvl>
  </w:abstractNum>
  <w:abstractNum w:abstractNumId="26">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18"/>
        <w:szCs w:val="18"/>
        <w:u w:val="none"/>
        <w:shd w:val="clear" w:color="auto" w:fill="auto"/>
        <w:lang w:val="cs-CZ" w:eastAsia="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rPr>
  </w:style>
  <w:style w:type="character" w:customStyle="1" w:styleId="CharStyle3">
    <w:name w:val="Základní text (5)_"/>
    <w:basedOn w:val="DefaultParagraphFont"/>
    <w:link w:val="Style2"/>
    <w:rPr>
      <w:rFonts w:ascii="Arial" w:eastAsia="Arial" w:hAnsi="Arial" w:cs="Arial"/>
      <w:b w:val="0"/>
      <w:bCs w:val="0"/>
      <w:i w:val="0"/>
      <w:iCs w:val="0"/>
      <w:smallCaps w:val="0"/>
      <w:strike w:val="0"/>
      <w:sz w:val="11"/>
      <w:szCs w:val="11"/>
      <w:u w:val="none"/>
    </w:rPr>
  </w:style>
  <w:style w:type="character" w:customStyle="1" w:styleId="CharStyle5">
    <w:name w:val="Základní text (3)_"/>
    <w:basedOn w:val="DefaultParagraphFont"/>
    <w:link w:val="Style4"/>
    <w:rPr>
      <w:rFonts w:ascii="Arial" w:eastAsia="Arial" w:hAnsi="Arial" w:cs="Arial"/>
      <w:b/>
      <w:bCs/>
      <w:i w:val="0"/>
      <w:iCs w:val="0"/>
      <w:smallCaps w:val="0"/>
      <w:strike w:val="0"/>
      <w:sz w:val="20"/>
      <w:szCs w:val="20"/>
      <w:u w:val="none"/>
    </w:rPr>
  </w:style>
  <w:style w:type="character" w:customStyle="1" w:styleId="CharStyle7">
    <w:name w:val="Základní text (6)_"/>
    <w:basedOn w:val="DefaultParagraphFont"/>
    <w:link w:val="Style6"/>
    <w:rPr>
      <w:rFonts w:ascii="Arial" w:eastAsia="Arial" w:hAnsi="Arial" w:cs="Arial"/>
      <w:b w:val="0"/>
      <w:bCs w:val="0"/>
      <w:i w:val="0"/>
      <w:iCs w:val="0"/>
      <w:smallCaps w:val="0"/>
      <w:strike w:val="0"/>
      <w:sz w:val="15"/>
      <w:szCs w:val="15"/>
      <w:u w:val="none"/>
    </w:rPr>
  </w:style>
  <w:style w:type="character" w:customStyle="1" w:styleId="CharStyle9">
    <w:name w:val="Nadpis #1_"/>
    <w:basedOn w:val="DefaultParagraphFont"/>
    <w:link w:val="Style8"/>
    <w:rPr>
      <w:rFonts w:ascii="Arial" w:eastAsia="Arial" w:hAnsi="Arial" w:cs="Arial"/>
      <w:b/>
      <w:bCs/>
      <w:i w:val="0"/>
      <w:iCs w:val="0"/>
      <w:smallCaps w:val="0"/>
      <w:strike w:val="0"/>
      <w:sz w:val="30"/>
      <w:szCs w:val="30"/>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Základní text (2)_"/>
    <w:basedOn w:val="DefaultParagraphFont"/>
    <w:link w:val="Style14"/>
    <w:rPr>
      <w:rFonts w:ascii="Arial" w:eastAsia="Arial" w:hAnsi="Arial" w:cs="Arial"/>
      <w:b/>
      <w:bCs/>
      <w:i w:val="0"/>
      <w:iCs w:val="0"/>
      <w:smallCaps w:val="0"/>
      <w:strike w:val="0"/>
      <w:sz w:val="17"/>
      <w:szCs w:val="17"/>
      <w:u w:val="none"/>
    </w:rPr>
  </w:style>
  <w:style w:type="character" w:customStyle="1" w:styleId="CharStyle17">
    <w:name w:val="Základní text_"/>
    <w:basedOn w:val="DefaultParagraphFont"/>
    <w:link w:val="Style16"/>
    <w:rPr>
      <w:rFonts w:ascii="Calibri" w:eastAsia="Calibri" w:hAnsi="Calibri" w:cs="Calibri"/>
      <w:b w:val="0"/>
      <w:bCs w:val="0"/>
      <w:i w:val="0"/>
      <w:iCs w:val="0"/>
      <w:smallCaps w:val="0"/>
      <w:strike w:val="0"/>
      <w:sz w:val="18"/>
      <w:szCs w:val="18"/>
      <w:u w:val="none"/>
    </w:rPr>
  </w:style>
  <w:style w:type="character" w:customStyle="1" w:styleId="CharStyle20">
    <w:name w:val="Nadpis #2_"/>
    <w:basedOn w:val="DefaultParagraphFont"/>
    <w:link w:val="Style19"/>
    <w:rPr>
      <w:rFonts w:ascii="Arial" w:eastAsia="Arial" w:hAnsi="Arial" w:cs="Arial"/>
      <w:b/>
      <w:bCs/>
      <w:i w:val="0"/>
      <w:iCs w:val="0"/>
      <w:smallCaps w:val="0"/>
      <w:strike w:val="0"/>
      <w:sz w:val="17"/>
      <w:szCs w:val="17"/>
      <w:u w:val="none"/>
    </w:rPr>
  </w:style>
  <w:style w:type="character" w:customStyle="1" w:styleId="CharStyle26">
    <w:name w:val="Titulek tabulky_"/>
    <w:basedOn w:val="DefaultParagraphFont"/>
    <w:link w:val="Style25"/>
    <w:rPr>
      <w:rFonts w:ascii="Calibri" w:eastAsia="Calibri" w:hAnsi="Calibri" w:cs="Calibri"/>
      <w:b w:val="0"/>
      <w:bCs w:val="0"/>
      <w:i w:val="0"/>
      <w:iCs w:val="0"/>
      <w:smallCaps w:val="0"/>
      <w:strike w:val="0"/>
      <w:sz w:val="18"/>
      <w:szCs w:val="18"/>
      <w:u w:val="none"/>
    </w:rPr>
  </w:style>
  <w:style w:type="character" w:customStyle="1" w:styleId="CharStyle29">
    <w:name w:val="Jiné_"/>
    <w:basedOn w:val="DefaultParagraphFont"/>
    <w:link w:val="Style28"/>
    <w:rPr>
      <w:rFonts w:ascii="Calibri" w:eastAsia="Calibri" w:hAnsi="Calibri" w:cs="Calibri"/>
      <w:b w:val="0"/>
      <w:bCs w:val="0"/>
      <w:i w:val="0"/>
      <w:iCs w:val="0"/>
      <w:smallCaps w:val="0"/>
      <w:strike w:val="0"/>
      <w:sz w:val="18"/>
      <w:szCs w:val="18"/>
      <w:u w:val="none"/>
    </w:rPr>
  </w:style>
  <w:style w:type="character" w:customStyle="1" w:styleId="CharStyle34">
    <w:name w:val="Obsah_"/>
    <w:basedOn w:val="DefaultParagraphFont"/>
    <w:link w:val="Style33"/>
    <w:rPr>
      <w:rFonts w:ascii="Calibri" w:eastAsia="Calibri" w:hAnsi="Calibri" w:cs="Calibri"/>
      <w:b w:val="0"/>
      <w:bCs w:val="0"/>
      <w:i w:val="0"/>
      <w:iCs w:val="0"/>
      <w:smallCaps w:val="0"/>
      <w:strike w:val="0"/>
      <w:sz w:val="18"/>
      <w:szCs w:val="18"/>
      <w:u w:val="none"/>
    </w:rPr>
  </w:style>
  <w:style w:type="character" w:customStyle="1" w:styleId="CharStyle39">
    <w:name w:val="Základní text (4)_"/>
    <w:basedOn w:val="DefaultParagraphFont"/>
    <w:link w:val="Style38"/>
    <w:rPr>
      <w:rFonts w:ascii="Arial" w:eastAsia="Arial" w:hAnsi="Arial" w:cs="Arial"/>
      <w:b/>
      <w:bCs/>
      <w:i w:val="0"/>
      <w:iCs w:val="0"/>
      <w:smallCaps w:val="0"/>
      <w:strike w:val="0"/>
      <w:sz w:val="8"/>
      <w:szCs w:val="8"/>
      <w:u w:val="none"/>
    </w:rPr>
  </w:style>
  <w:style w:type="paragraph" w:customStyle="1" w:styleId="Style2">
    <w:name w:val="Základní text (5)"/>
    <w:basedOn w:val="Normal"/>
    <w:link w:val="CharStyle3"/>
    <w:pPr>
      <w:widowControl w:val="0"/>
      <w:shd w:val="clear" w:color="auto" w:fill="auto"/>
      <w:spacing w:line="336" w:lineRule="auto"/>
    </w:pPr>
    <w:rPr>
      <w:rFonts w:ascii="Arial" w:eastAsia="Arial" w:hAnsi="Arial" w:cs="Arial"/>
      <w:b w:val="0"/>
      <w:bCs w:val="0"/>
      <w:i w:val="0"/>
      <w:iCs w:val="0"/>
      <w:smallCaps w:val="0"/>
      <w:strike w:val="0"/>
      <w:sz w:val="11"/>
      <w:szCs w:val="11"/>
      <w:u w:val="none"/>
    </w:rPr>
  </w:style>
  <w:style w:type="paragraph" w:customStyle="1" w:styleId="Style4">
    <w:name w:val="Základní text (3)"/>
    <w:basedOn w:val="Normal"/>
    <w:link w:val="CharStyle5"/>
    <w:pPr>
      <w:widowControl w:val="0"/>
      <w:shd w:val="clear" w:color="auto" w:fill="auto"/>
    </w:pPr>
    <w:rPr>
      <w:rFonts w:ascii="Arial" w:eastAsia="Arial" w:hAnsi="Arial" w:cs="Arial"/>
      <w:b/>
      <w:bCs/>
      <w:i w:val="0"/>
      <w:iCs w:val="0"/>
      <w:smallCaps w:val="0"/>
      <w:strike w:val="0"/>
      <w:sz w:val="20"/>
      <w:szCs w:val="20"/>
      <w:u w:val="none"/>
    </w:rPr>
  </w:style>
  <w:style w:type="paragraph" w:customStyle="1" w:styleId="Style6">
    <w:name w:val="Základní text (6)"/>
    <w:basedOn w:val="Normal"/>
    <w:link w:val="CharStyle7"/>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8">
    <w:name w:val="Nadpis #1"/>
    <w:basedOn w:val="Normal"/>
    <w:link w:val="CharStyle9"/>
    <w:pPr>
      <w:widowControl w:val="0"/>
      <w:shd w:val="clear" w:color="auto" w:fill="auto"/>
      <w:spacing w:after="100"/>
      <w:outlineLvl w:val="0"/>
    </w:pPr>
    <w:rPr>
      <w:rFonts w:ascii="Arial" w:eastAsia="Arial" w:hAnsi="Arial" w:cs="Arial"/>
      <w:b/>
      <w:bCs/>
      <w:i w:val="0"/>
      <w:iCs w:val="0"/>
      <w:smallCaps w:val="0"/>
      <w:strike w:val="0"/>
      <w:sz w:val="30"/>
      <w:szCs w:val="30"/>
      <w:u w:val="none"/>
    </w:rPr>
  </w:style>
  <w:style w:type="paragraph" w:customStyle="1" w:styleId="Style11">
    <w:name w:val="Záhlaví nebo zápatí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Základní text (2)"/>
    <w:basedOn w:val="Normal"/>
    <w:link w:val="CharStyle15"/>
    <w:pPr>
      <w:widowControl w:val="0"/>
      <w:shd w:val="clear" w:color="auto" w:fill="auto"/>
      <w:spacing w:line="298" w:lineRule="auto"/>
    </w:pPr>
    <w:rPr>
      <w:rFonts w:ascii="Arial" w:eastAsia="Arial" w:hAnsi="Arial" w:cs="Arial"/>
      <w:b/>
      <w:bCs/>
      <w:i w:val="0"/>
      <w:iCs w:val="0"/>
      <w:smallCaps w:val="0"/>
      <w:strike w:val="0"/>
      <w:sz w:val="17"/>
      <w:szCs w:val="17"/>
      <w:u w:val="none"/>
    </w:rPr>
  </w:style>
  <w:style w:type="paragraph" w:customStyle="1" w:styleId="Style16">
    <w:name w:val="Základní text"/>
    <w:basedOn w:val="Normal"/>
    <w:link w:val="CharStyle17"/>
    <w:pPr>
      <w:widowControl w:val="0"/>
      <w:shd w:val="clear" w:color="auto" w:fill="auto"/>
      <w:spacing w:after="120" w:line="259" w:lineRule="auto"/>
    </w:pPr>
    <w:rPr>
      <w:rFonts w:ascii="Calibri" w:eastAsia="Calibri" w:hAnsi="Calibri" w:cs="Calibri"/>
      <w:b w:val="0"/>
      <w:bCs w:val="0"/>
      <w:i w:val="0"/>
      <w:iCs w:val="0"/>
      <w:smallCaps w:val="0"/>
      <w:strike w:val="0"/>
      <w:sz w:val="18"/>
      <w:szCs w:val="18"/>
      <w:u w:val="none"/>
    </w:rPr>
  </w:style>
  <w:style w:type="paragraph" w:customStyle="1" w:styleId="Style19">
    <w:name w:val="Nadpis #2"/>
    <w:basedOn w:val="Normal"/>
    <w:link w:val="CharStyle20"/>
    <w:pPr>
      <w:widowControl w:val="0"/>
      <w:shd w:val="clear" w:color="auto" w:fill="auto"/>
      <w:spacing w:line="293" w:lineRule="auto"/>
      <w:outlineLvl w:val="1"/>
    </w:pPr>
    <w:rPr>
      <w:rFonts w:ascii="Arial" w:eastAsia="Arial" w:hAnsi="Arial" w:cs="Arial"/>
      <w:b/>
      <w:bCs/>
      <w:i w:val="0"/>
      <w:iCs w:val="0"/>
      <w:smallCaps w:val="0"/>
      <w:strike w:val="0"/>
      <w:sz w:val="17"/>
      <w:szCs w:val="17"/>
      <w:u w:val="none"/>
    </w:rPr>
  </w:style>
  <w:style w:type="paragraph" w:customStyle="1" w:styleId="Style25">
    <w:name w:val="Titulek tabulky"/>
    <w:basedOn w:val="Normal"/>
    <w:link w:val="CharStyle26"/>
    <w:pPr>
      <w:widowControl w:val="0"/>
      <w:shd w:val="clear" w:color="auto" w:fill="auto"/>
    </w:pPr>
    <w:rPr>
      <w:rFonts w:ascii="Calibri" w:eastAsia="Calibri" w:hAnsi="Calibri" w:cs="Calibri"/>
      <w:b w:val="0"/>
      <w:bCs w:val="0"/>
      <w:i w:val="0"/>
      <w:iCs w:val="0"/>
      <w:smallCaps w:val="0"/>
      <w:strike w:val="0"/>
      <w:sz w:val="18"/>
      <w:szCs w:val="18"/>
      <w:u w:val="none"/>
    </w:rPr>
  </w:style>
  <w:style w:type="paragraph" w:customStyle="1" w:styleId="Style28">
    <w:name w:val="Jiné"/>
    <w:basedOn w:val="Normal"/>
    <w:link w:val="CharStyle29"/>
    <w:pPr>
      <w:widowControl w:val="0"/>
      <w:shd w:val="clear" w:color="auto" w:fill="auto"/>
      <w:spacing w:after="120" w:line="259" w:lineRule="auto"/>
    </w:pPr>
    <w:rPr>
      <w:rFonts w:ascii="Calibri" w:eastAsia="Calibri" w:hAnsi="Calibri" w:cs="Calibri"/>
      <w:b w:val="0"/>
      <w:bCs w:val="0"/>
      <w:i w:val="0"/>
      <w:iCs w:val="0"/>
      <w:smallCaps w:val="0"/>
      <w:strike w:val="0"/>
      <w:sz w:val="18"/>
      <w:szCs w:val="18"/>
      <w:u w:val="none"/>
    </w:rPr>
  </w:style>
  <w:style w:type="paragraph" w:customStyle="1" w:styleId="Style33">
    <w:name w:val="Obsah"/>
    <w:basedOn w:val="Normal"/>
    <w:link w:val="CharStyle34"/>
    <w:pPr>
      <w:widowControl w:val="0"/>
      <w:shd w:val="clear" w:color="auto" w:fill="auto"/>
      <w:spacing w:after="120"/>
    </w:pPr>
    <w:rPr>
      <w:rFonts w:ascii="Calibri" w:eastAsia="Calibri" w:hAnsi="Calibri" w:cs="Calibri"/>
      <w:b w:val="0"/>
      <w:bCs w:val="0"/>
      <w:i w:val="0"/>
      <w:iCs w:val="0"/>
      <w:smallCaps w:val="0"/>
      <w:strike w:val="0"/>
      <w:sz w:val="18"/>
      <w:szCs w:val="18"/>
      <w:u w:val="none"/>
    </w:rPr>
  </w:style>
  <w:style w:type="paragraph" w:customStyle="1" w:styleId="Style38">
    <w:name w:val="Základní text (4)"/>
    <w:basedOn w:val="Normal"/>
    <w:link w:val="CharStyle39"/>
    <w:pPr>
      <w:widowControl w:val="0"/>
      <w:shd w:val="clear" w:color="auto" w:fill="auto"/>
      <w:spacing w:line="211" w:lineRule="auto"/>
      <w:jc w:val="center"/>
    </w:pPr>
    <w:rPr>
      <w:rFonts w:ascii="Arial" w:eastAsia="Arial" w:hAnsi="Arial" w:cs="Arial"/>
      <w:b/>
      <w:bCs/>
      <w:i w:val="0"/>
      <w:iCs w:val="0"/>
      <w:smallCaps w:val="0"/>
      <w:strike w:val="0"/>
      <w:sz w:val="8"/>
      <w:szCs w:val="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s>
</file>