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2" w:type="dxa"/>
        <w:tblLook w:val="00A0" w:firstRow="1" w:lastRow="0" w:firstColumn="1" w:lastColumn="0" w:noHBand="0" w:noVBand="0"/>
      </w:tblPr>
      <w:tblGrid>
        <w:gridCol w:w="2552"/>
        <w:gridCol w:w="6660"/>
      </w:tblGrid>
      <w:tr w:rsidR="00BA5B0B" w:rsidRPr="00117892" w14:paraId="16B49FCF" w14:textId="77777777" w:rsidTr="00C07CE2">
        <w:tc>
          <w:tcPr>
            <w:tcW w:w="2552" w:type="dxa"/>
          </w:tcPr>
          <w:p w14:paraId="4F080187" w14:textId="77777777" w:rsidR="00BA5B0B" w:rsidRPr="00117892" w:rsidRDefault="00BA5B0B" w:rsidP="003E2A0C">
            <w:pPr>
              <w:spacing w:after="0" w:line="240" w:lineRule="auto"/>
              <w:jc w:val="both"/>
              <w:rPr>
                <w:sz w:val="20"/>
                <w:szCs w:val="20"/>
                <w:lang w:eastAsia="cs-CZ"/>
              </w:rPr>
            </w:pPr>
            <w:r w:rsidRPr="00117892">
              <w:rPr>
                <w:sz w:val="20"/>
                <w:szCs w:val="20"/>
                <w:lang w:eastAsia="cs-CZ"/>
              </w:rPr>
              <w:t>Společnost:</w:t>
            </w:r>
          </w:p>
        </w:tc>
        <w:tc>
          <w:tcPr>
            <w:tcW w:w="6660" w:type="dxa"/>
          </w:tcPr>
          <w:p w14:paraId="012F82AC" w14:textId="27B05187" w:rsidR="00BA5B0B" w:rsidRPr="00117892" w:rsidRDefault="00117892" w:rsidP="003E2A0C">
            <w:pPr>
              <w:spacing w:after="0" w:line="240" w:lineRule="auto"/>
              <w:jc w:val="both"/>
              <w:rPr>
                <w:b/>
                <w:sz w:val="20"/>
                <w:szCs w:val="20"/>
                <w:lang w:eastAsia="cs-CZ"/>
              </w:rPr>
            </w:pPr>
            <w:r>
              <w:rPr>
                <w:b/>
                <w:sz w:val="20"/>
                <w:szCs w:val="20"/>
                <w:lang w:eastAsia="cs-CZ"/>
              </w:rPr>
              <w:t>CHEIRÓN a.s.</w:t>
            </w:r>
          </w:p>
        </w:tc>
      </w:tr>
      <w:tr w:rsidR="00BA5B0B" w:rsidRPr="00117892" w14:paraId="5A97E502" w14:textId="77777777" w:rsidTr="00C07CE2">
        <w:tc>
          <w:tcPr>
            <w:tcW w:w="2552" w:type="dxa"/>
          </w:tcPr>
          <w:p w14:paraId="2A6378D5" w14:textId="77777777" w:rsidR="00BA5B0B" w:rsidRPr="00117892" w:rsidRDefault="00BA5B0B" w:rsidP="003E2A0C">
            <w:pPr>
              <w:spacing w:after="0" w:line="240" w:lineRule="auto"/>
              <w:jc w:val="both"/>
              <w:rPr>
                <w:sz w:val="20"/>
                <w:szCs w:val="20"/>
                <w:lang w:eastAsia="cs-CZ"/>
              </w:rPr>
            </w:pPr>
            <w:r w:rsidRPr="00117892">
              <w:rPr>
                <w:sz w:val="20"/>
                <w:szCs w:val="20"/>
                <w:lang w:eastAsia="cs-CZ"/>
              </w:rPr>
              <w:t>IČO:</w:t>
            </w:r>
          </w:p>
        </w:tc>
        <w:tc>
          <w:tcPr>
            <w:tcW w:w="6660" w:type="dxa"/>
          </w:tcPr>
          <w:p w14:paraId="451F3DEF" w14:textId="4AC09CC8" w:rsidR="00BA5B0B" w:rsidRPr="00117892" w:rsidRDefault="00117892" w:rsidP="003E2A0C">
            <w:pPr>
              <w:spacing w:after="0" w:line="240" w:lineRule="auto"/>
              <w:jc w:val="both"/>
              <w:rPr>
                <w:sz w:val="20"/>
                <w:szCs w:val="20"/>
                <w:lang w:eastAsia="cs-CZ"/>
              </w:rPr>
            </w:pPr>
            <w:r>
              <w:rPr>
                <w:sz w:val="20"/>
                <w:szCs w:val="20"/>
                <w:lang w:eastAsia="cs-CZ"/>
              </w:rPr>
              <w:t>27094987</w:t>
            </w:r>
          </w:p>
        </w:tc>
      </w:tr>
      <w:tr w:rsidR="00BA5B0B" w:rsidRPr="00117892" w14:paraId="1844E9CF" w14:textId="77777777" w:rsidTr="00C07CE2">
        <w:tc>
          <w:tcPr>
            <w:tcW w:w="2552" w:type="dxa"/>
          </w:tcPr>
          <w:p w14:paraId="10396488" w14:textId="77777777" w:rsidR="00BA5B0B" w:rsidRPr="00117892" w:rsidRDefault="00BA5B0B" w:rsidP="003E2A0C">
            <w:pPr>
              <w:spacing w:after="0" w:line="240" w:lineRule="auto"/>
              <w:jc w:val="both"/>
              <w:rPr>
                <w:sz w:val="20"/>
                <w:szCs w:val="20"/>
                <w:lang w:eastAsia="cs-CZ"/>
              </w:rPr>
            </w:pPr>
            <w:r w:rsidRPr="00117892">
              <w:rPr>
                <w:sz w:val="20"/>
                <w:szCs w:val="20"/>
                <w:lang w:eastAsia="cs-CZ"/>
              </w:rPr>
              <w:t>DIČ:</w:t>
            </w:r>
          </w:p>
        </w:tc>
        <w:tc>
          <w:tcPr>
            <w:tcW w:w="6660" w:type="dxa"/>
          </w:tcPr>
          <w:p w14:paraId="04D270FA" w14:textId="7CD359BC" w:rsidR="00BA5B0B" w:rsidRPr="00117892" w:rsidRDefault="00117892" w:rsidP="003E2A0C">
            <w:pPr>
              <w:spacing w:after="0" w:line="240" w:lineRule="auto"/>
              <w:jc w:val="both"/>
              <w:rPr>
                <w:sz w:val="20"/>
                <w:szCs w:val="20"/>
                <w:lang w:eastAsia="cs-CZ"/>
              </w:rPr>
            </w:pPr>
            <w:r>
              <w:rPr>
                <w:sz w:val="20"/>
                <w:szCs w:val="20"/>
                <w:lang w:eastAsia="cs-CZ"/>
              </w:rPr>
              <w:t>CZ27094987</w:t>
            </w:r>
          </w:p>
        </w:tc>
      </w:tr>
      <w:tr w:rsidR="00BA5B0B" w:rsidRPr="00117892" w14:paraId="4169B90F" w14:textId="77777777" w:rsidTr="00C07CE2">
        <w:tc>
          <w:tcPr>
            <w:tcW w:w="2552" w:type="dxa"/>
          </w:tcPr>
          <w:p w14:paraId="26CA6C83" w14:textId="77777777" w:rsidR="00BA5B0B" w:rsidRPr="00117892" w:rsidRDefault="00BA5B0B" w:rsidP="003E2A0C">
            <w:pPr>
              <w:spacing w:after="0" w:line="240" w:lineRule="auto"/>
              <w:jc w:val="both"/>
              <w:rPr>
                <w:sz w:val="20"/>
                <w:szCs w:val="20"/>
                <w:lang w:eastAsia="cs-CZ"/>
              </w:rPr>
            </w:pPr>
            <w:r w:rsidRPr="00117892">
              <w:rPr>
                <w:sz w:val="20"/>
                <w:szCs w:val="20"/>
                <w:lang w:eastAsia="cs-CZ"/>
              </w:rPr>
              <w:t>Se sídlem:</w:t>
            </w:r>
          </w:p>
        </w:tc>
        <w:tc>
          <w:tcPr>
            <w:tcW w:w="6660" w:type="dxa"/>
          </w:tcPr>
          <w:p w14:paraId="3EB1ADEA" w14:textId="04354FF7" w:rsidR="00BA5B0B" w:rsidRPr="00117892" w:rsidRDefault="00117892" w:rsidP="003E2A0C">
            <w:pPr>
              <w:spacing w:after="0" w:line="240" w:lineRule="auto"/>
              <w:jc w:val="both"/>
              <w:rPr>
                <w:sz w:val="20"/>
                <w:szCs w:val="20"/>
                <w:lang w:eastAsia="cs-CZ"/>
              </w:rPr>
            </w:pPr>
            <w:r>
              <w:rPr>
                <w:sz w:val="20"/>
                <w:szCs w:val="20"/>
                <w:lang w:eastAsia="cs-CZ"/>
              </w:rPr>
              <w:t xml:space="preserve">Praha 6, Břevnov, </w:t>
            </w:r>
            <w:proofErr w:type="spellStart"/>
            <w:r>
              <w:rPr>
                <w:sz w:val="20"/>
                <w:szCs w:val="20"/>
                <w:lang w:eastAsia="cs-CZ"/>
              </w:rPr>
              <w:t>Kukulova</w:t>
            </w:r>
            <w:proofErr w:type="spellEnd"/>
            <w:r>
              <w:rPr>
                <w:sz w:val="20"/>
                <w:szCs w:val="20"/>
                <w:lang w:eastAsia="cs-CZ"/>
              </w:rPr>
              <w:t xml:space="preserve"> 24, PSČ 169 00</w:t>
            </w:r>
          </w:p>
        </w:tc>
      </w:tr>
      <w:tr w:rsidR="00BA5B0B" w:rsidRPr="00117892" w14:paraId="7B2D79A3" w14:textId="77777777" w:rsidTr="00C07CE2">
        <w:tc>
          <w:tcPr>
            <w:tcW w:w="2552" w:type="dxa"/>
          </w:tcPr>
          <w:p w14:paraId="0FED4021" w14:textId="77777777" w:rsidR="00BA5B0B" w:rsidRPr="00117892" w:rsidRDefault="00BA5B0B" w:rsidP="003E2A0C">
            <w:pPr>
              <w:spacing w:after="0" w:line="240" w:lineRule="auto"/>
              <w:jc w:val="both"/>
              <w:rPr>
                <w:sz w:val="20"/>
                <w:szCs w:val="20"/>
                <w:lang w:eastAsia="cs-CZ"/>
              </w:rPr>
            </w:pPr>
            <w:r w:rsidRPr="00117892">
              <w:rPr>
                <w:sz w:val="20"/>
                <w:szCs w:val="20"/>
                <w:lang w:eastAsia="cs-CZ"/>
              </w:rPr>
              <w:t>Zastoupená:</w:t>
            </w:r>
          </w:p>
        </w:tc>
        <w:tc>
          <w:tcPr>
            <w:tcW w:w="6660" w:type="dxa"/>
          </w:tcPr>
          <w:p w14:paraId="1BC1F700" w14:textId="069301D5" w:rsidR="00BA5B0B" w:rsidRPr="00117892" w:rsidRDefault="00117892" w:rsidP="003E2A0C">
            <w:pPr>
              <w:spacing w:after="0" w:line="240" w:lineRule="auto"/>
              <w:jc w:val="both"/>
              <w:rPr>
                <w:sz w:val="20"/>
                <w:szCs w:val="20"/>
                <w:lang w:eastAsia="cs-CZ"/>
              </w:rPr>
            </w:pPr>
            <w:r>
              <w:rPr>
                <w:sz w:val="20"/>
                <w:szCs w:val="20"/>
                <w:lang w:eastAsia="cs-CZ"/>
              </w:rPr>
              <w:t>Ing. Jindřich Petřík, MBA, člen představenstva</w:t>
            </w:r>
          </w:p>
        </w:tc>
      </w:tr>
      <w:tr w:rsidR="00BA5B0B" w:rsidRPr="00117892" w14:paraId="6E5B4210" w14:textId="77777777" w:rsidTr="00C07CE2">
        <w:tc>
          <w:tcPr>
            <w:tcW w:w="2552" w:type="dxa"/>
          </w:tcPr>
          <w:p w14:paraId="1AA05CBA" w14:textId="77777777" w:rsidR="00BA5B0B" w:rsidRPr="00117892" w:rsidRDefault="00BA5B0B" w:rsidP="003E2A0C">
            <w:pPr>
              <w:spacing w:after="0" w:line="240" w:lineRule="auto"/>
              <w:jc w:val="both"/>
              <w:rPr>
                <w:sz w:val="20"/>
                <w:szCs w:val="20"/>
                <w:lang w:eastAsia="cs-CZ"/>
              </w:rPr>
            </w:pPr>
            <w:r w:rsidRPr="00117892">
              <w:rPr>
                <w:sz w:val="20"/>
                <w:szCs w:val="20"/>
                <w:lang w:eastAsia="cs-CZ"/>
              </w:rPr>
              <w:t>Bankovní spojení:</w:t>
            </w:r>
          </w:p>
        </w:tc>
        <w:tc>
          <w:tcPr>
            <w:tcW w:w="6660" w:type="dxa"/>
          </w:tcPr>
          <w:p w14:paraId="1511FE73" w14:textId="4845A618" w:rsidR="00BA5B0B" w:rsidRPr="00117892" w:rsidRDefault="00117892" w:rsidP="003E2A0C">
            <w:pPr>
              <w:spacing w:after="0" w:line="240" w:lineRule="auto"/>
              <w:jc w:val="both"/>
              <w:rPr>
                <w:sz w:val="20"/>
                <w:szCs w:val="20"/>
                <w:lang w:eastAsia="cs-CZ"/>
              </w:rPr>
            </w:pPr>
            <w:r>
              <w:rPr>
                <w:sz w:val="20"/>
                <w:szCs w:val="20"/>
                <w:lang w:eastAsia="cs-CZ"/>
              </w:rPr>
              <w:t>ČSOB a.s.</w:t>
            </w:r>
          </w:p>
        </w:tc>
      </w:tr>
      <w:tr w:rsidR="00BA5B0B" w:rsidRPr="00117892" w14:paraId="641F8069" w14:textId="77777777" w:rsidTr="00C07CE2">
        <w:tc>
          <w:tcPr>
            <w:tcW w:w="2552" w:type="dxa"/>
          </w:tcPr>
          <w:p w14:paraId="3E025A2C" w14:textId="77777777" w:rsidR="00BA5B0B" w:rsidRPr="00117892" w:rsidRDefault="00BA5B0B" w:rsidP="003E2A0C">
            <w:pPr>
              <w:spacing w:after="0" w:line="240" w:lineRule="auto"/>
              <w:jc w:val="both"/>
              <w:rPr>
                <w:sz w:val="20"/>
                <w:szCs w:val="20"/>
                <w:lang w:eastAsia="cs-CZ"/>
              </w:rPr>
            </w:pPr>
            <w:r w:rsidRPr="00117892">
              <w:rPr>
                <w:sz w:val="20"/>
                <w:szCs w:val="20"/>
                <w:lang w:eastAsia="cs-CZ"/>
              </w:rPr>
              <w:t>Číslo účtu:</w:t>
            </w:r>
          </w:p>
        </w:tc>
        <w:tc>
          <w:tcPr>
            <w:tcW w:w="6660" w:type="dxa"/>
          </w:tcPr>
          <w:p w14:paraId="7B4A1549" w14:textId="415424DE" w:rsidR="00BA5B0B" w:rsidRPr="00117892" w:rsidRDefault="00117892" w:rsidP="003E2A0C">
            <w:pPr>
              <w:spacing w:after="0" w:line="240" w:lineRule="auto"/>
              <w:jc w:val="both"/>
              <w:rPr>
                <w:sz w:val="20"/>
                <w:szCs w:val="20"/>
                <w:lang w:eastAsia="cs-CZ"/>
              </w:rPr>
            </w:pPr>
            <w:r>
              <w:rPr>
                <w:sz w:val="20"/>
                <w:szCs w:val="20"/>
                <w:lang w:eastAsia="cs-CZ"/>
              </w:rPr>
              <w:t>279233863/0300</w:t>
            </w:r>
          </w:p>
        </w:tc>
      </w:tr>
      <w:tr w:rsidR="00BA5B0B" w:rsidRPr="00D00C78" w14:paraId="15B0FF63" w14:textId="77777777" w:rsidTr="00C07CE2">
        <w:tc>
          <w:tcPr>
            <w:tcW w:w="9212" w:type="dxa"/>
            <w:gridSpan w:val="2"/>
          </w:tcPr>
          <w:p w14:paraId="278E35C1" w14:textId="728E4AA7" w:rsidR="00BA5B0B" w:rsidRPr="00117892" w:rsidRDefault="00BA5B0B" w:rsidP="003E2A0C">
            <w:pPr>
              <w:spacing w:after="0" w:line="240" w:lineRule="auto"/>
              <w:jc w:val="both"/>
              <w:rPr>
                <w:sz w:val="20"/>
                <w:szCs w:val="20"/>
                <w:lang w:eastAsia="cs-CZ"/>
              </w:rPr>
            </w:pPr>
            <w:r w:rsidRPr="00117892">
              <w:rPr>
                <w:sz w:val="20"/>
                <w:szCs w:val="20"/>
                <w:lang w:eastAsia="cs-CZ"/>
              </w:rPr>
              <w:t xml:space="preserve">Zapsaná v obchodním rejstříku </w:t>
            </w:r>
            <w:r w:rsidR="00117892">
              <w:rPr>
                <w:sz w:val="20"/>
                <w:szCs w:val="20"/>
                <w:lang w:eastAsia="cs-CZ"/>
              </w:rPr>
              <w:t>u Městského</w:t>
            </w:r>
            <w:r w:rsidRPr="00117892">
              <w:rPr>
                <w:sz w:val="20"/>
                <w:szCs w:val="20"/>
                <w:lang w:eastAsia="cs-CZ"/>
              </w:rPr>
              <w:t xml:space="preserve"> soudu v </w:t>
            </w:r>
            <w:r w:rsidR="00117892">
              <w:rPr>
                <w:sz w:val="20"/>
                <w:szCs w:val="20"/>
                <w:lang w:eastAsia="cs-CZ"/>
              </w:rPr>
              <w:t>Praze</w:t>
            </w:r>
            <w:r w:rsidRPr="00117892">
              <w:rPr>
                <w:sz w:val="20"/>
                <w:szCs w:val="20"/>
                <w:lang w:eastAsia="cs-CZ"/>
              </w:rPr>
              <w:t xml:space="preserve">, oddíl </w:t>
            </w:r>
            <w:r w:rsidR="00117892">
              <w:rPr>
                <w:sz w:val="20"/>
                <w:szCs w:val="20"/>
                <w:lang w:eastAsia="cs-CZ"/>
              </w:rPr>
              <w:t>B</w:t>
            </w:r>
            <w:r w:rsidRPr="00117892">
              <w:rPr>
                <w:sz w:val="20"/>
                <w:szCs w:val="20"/>
                <w:lang w:eastAsia="cs-CZ"/>
              </w:rPr>
              <w:t xml:space="preserve">, vložka </w:t>
            </w:r>
            <w:r w:rsidR="00117892">
              <w:rPr>
                <w:sz w:val="20"/>
                <w:szCs w:val="20"/>
                <w:lang w:eastAsia="cs-CZ"/>
              </w:rPr>
              <w:t>8964</w:t>
            </w:r>
          </w:p>
        </w:tc>
      </w:tr>
    </w:tbl>
    <w:p w14:paraId="42423D60" w14:textId="77777777" w:rsidR="00BA5B0B" w:rsidRPr="00B93854" w:rsidRDefault="00BA5B0B" w:rsidP="00BA5B0B">
      <w:pPr>
        <w:spacing w:after="0" w:line="240" w:lineRule="auto"/>
        <w:jc w:val="both"/>
        <w:rPr>
          <w:rFonts w:eastAsia="Times New Roman"/>
          <w:sz w:val="20"/>
          <w:szCs w:val="20"/>
          <w:lang w:eastAsia="cs-CZ"/>
        </w:rPr>
      </w:pPr>
    </w:p>
    <w:p w14:paraId="02395F80"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6E1159E2" w14:textId="77777777" w:rsidR="00BA5B0B" w:rsidRPr="00B93854" w:rsidRDefault="00BA5B0B" w:rsidP="00BA5B0B">
      <w:pPr>
        <w:spacing w:after="0" w:line="240" w:lineRule="auto"/>
        <w:rPr>
          <w:rFonts w:eastAsia="Times New Roman"/>
          <w:sz w:val="20"/>
          <w:szCs w:val="20"/>
          <w:lang w:eastAsia="cs-CZ"/>
        </w:rPr>
      </w:pPr>
    </w:p>
    <w:p w14:paraId="2AB22FA3" w14:textId="77777777" w:rsidR="00BA5B0B" w:rsidRPr="00B93854" w:rsidRDefault="00BA5B0B" w:rsidP="00BA5B0B">
      <w:pPr>
        <w:spacing w:after="0" w:line="240" w:lineRule="auto"/>
        <w:rPr>
          <w:rFonts w:eastAsia="Times New Roman"/>
          <w:sz w:val="20"/>
          <w:szCs w:val="20"/>
          <w:lang w:eastAsia="cs-CZ"/>
        </w:rPr>
      </w:pPr>
      <w:r w:rsidRPr="00B93854">
        <w:rPr>
          <w:rFonts w:eastAsia="Times New Roman"/>
          <w:sz w:val="20"/>
          <w:szCs w:val="20"/>
          <w:lang w:eastAsia="cs-CZ"/>
        </w:rPr>
        <w:t>a</w:t>
      </w:r>
    </w:p>
    <w:p w14:paraId="10DA466D" w14:textId="77777777" w:rsidR="00BA5B0B" w:rsidRPr="00B93854" w:rsidRDefault="00BA5B0B" w:rsidP="00BA5B0B">
      <w:pPr>
        <w:spacing w:after="0" w:line="240" w:lineRule="auto"/>
        <w:ind w:left="2552" w:hanging="2552"/>
        <w:rPr>
          <w:rFonts w:eastAsia="Times New Roman"/>
          <w:sz w:val="20"/>
          <w:szCs w:val="20"/>
          <w:lang w:eastAsia="cs-CZ"/>
        </w:rPr>
      </w:pPr>
    </w:p>
    <w:p w14:paraId="20CC7EA5" w14:textId="77777777" w:rsidR="00BA5B0B" w:rsidRPr="00B93854" w:rsidRDefault="00BA5B0B" w:rsidP="00BA5B0B">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60233883"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423BD8C0"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0CF70B74"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7C7F227A"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345A8B25" w14:textId="77777777" w:rsidR="00BA5B0B" w:rsidRPr="00B93854" w:rsidRDefault="00BA5B0B" w:rsidP="00BA5B0B">
      <w:pPr>
        <w:spacing w:after="0" w:line="240" w:lineRule="auto"/>
        <w:ind w:left="1844" w:firstLine="708"/>
        <w:rPr>
          <w:rFonts w:eastAsia="Times New Roman"/>
          <w:sz w:val="20"/>
          <w:szCs w:val="20"/>
          <w:lang w:eastAsia="cs-CZ"/>
        </w:rPr>
      </w:pPr>
      <w:r>
        <w:rPr>
          <w:sz w:val="20"/>
          <w:szCs w:val="20"/>
          <w:lang w:eastAsia="cs-CZ"/>
        </w:rPr>
        <w:t>Mgr. Daniel Marek</w:t>
      </w:r>
      <w:r w:rsidRPr="00B93854">
        <w:rPr>
          <w:rFonts w:eastAsia="Times New Roman"/>
          <w:sz w:val="20"/>
          <w:szCs w:val="20"/>
          <w:lang w:eastAsia="cs-CZ"/>
        </w:rPr>
        <w:t>, místopředseda představenstva</w:t>
      </w:r>
    </w:p>
    <w:p w14:paraId="1098E8C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5526E811"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50A1C2D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68BCBD2C" w14:textId="77777777" w:rsidR="00BA5B0B"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3854" w:rsidRDefault="00BA5B0B" w:rsidP="00BA5B0B">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6B73DA0C" w14:textId="09C3C08D" w:rsidR="00BA5B0B" w:rsidRDefault="00BA5B0B" w:rsidP="00BA5B0B">
      <w:pPr>
        <w:spacing w:after="0" w:line="240" w:lineRule="auto"/>
        <w:jc w:val="both"/>
        <w:rPr>
          <w:rFonts w:eastAsia="Times New Roman"/>
          <w:sz w:val="20"/>
          <w:szCs w:val="20"/>
          <w:lang w:eastAsia="cs-CZ"/>
        </w:rPr>
      </w:pPr>
      <w:r>
        <w:rPr>
          <w:rFonts w:eastAsia="Times New Roman"/>
          <w:sz w:val="20"/>
          <w:szCs w:val="20"/>
          <w:lang w:eastAsia="cs-CZ"/>
        </w:rPr>
        <w:t>prodávající a kupující společně jako „</w:t>
      </w:r>
      <w:r w:rsidRPr="00BF39DA">
        <w:rPr>
          <w:rFonts w:eastAsia="Times New Roman"/>
          <w:b/>
          <w:sz w:val="20"/>
          <w:szCs w:val="20"/>
          <w:lang w:eastAsia="cs-CZ"/>
        </w:rPr>
        <w:t>smluvní strany</w:t>
      </w:r>
      <w:r>
        <w:rPr>
          <w:rFonts w:eastAsia="Times New Roman"/>
          <w:sz w:val="20"/>
          <w:szCs w:val="20"/>
          <w:lang w:eastAsia="cs-CZ"/>
        </w:rPr>
        <w:t>“</w:t>
      </w:r>
    </w:p>
    <w:p w14:paraId="5680DC8B" w14:textId="77777777" w:rsidR="00BA5B0B" w:rsidRDefault="00BA5B0B" w:rsidP="00BA5B0B">
      <w:pPr>
        <w:spacing w:after="0" w:line="240" w:lineRule="auto"/>
        <w:jc w:val="both"/>
        <w:rPr>
          <w:rFonts w:eastAsia="Times New Roman"/>
          <w:sz w:val="20"/>
          <w:szCs w:val="20"/>
          <w:lang w:eastAsia="cs-CZ"/>
        </w:rPr>
      </w:pPr>
    </w:p>
    <w:p w14:paraId="10800EC6" w14:textId="77777777" w:rsidR="00C07CE2" w:rsidRDefault="00C07CE2" w:rsidP="00BA5B0B">
      <w:pPr>
        <w:spacing w:after="0" w:line="240" w:lineRule="auto"/>
        <w:jc w:val="both"/>
        <w:rPr>
          <w:rFonts w:eastAsia="Times New Roman"/>
          <w:sz w:val="20"/>
          <w:szCs w:val="20"/>
          <w:lang w:eastAsia="cs-CZ"/>
        </w:rPr>
      </w:pPr>
    </w:p>
    <w:p w14:paraId="299FD173"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se níže uvedeného dne, měsíce a roku dohodly, jak stanoví tato:</w:t>
      </w:r>
    </w:p>
    <w:p w14:paraId="7332E23F" w14:textId="77777777" w:rsidR="00BA5B0B" w:rsidRDefault="00BA5B0B" w:rsidP="00BA5B0B">
      <w:pPr>
        <w:spacing w:after="0" w:line="240" w:lineRule="auto"/>
        <w:jc w:val="both"/>
        <w:rPr>
          <w:rFonts w:eastAsia="Times New Roman"/>
          <w:sz w:val="20"/>
          <w:szCs w:val="20"/>
          <w:lang w:eastAsia="cs-CZ"/>
        </w:rPr>
      </w:pPr>
    </w:p>
    <w:p w14:paraId="3D775E24" w14:textId="77777777" w:rsidR="00C07CE2" w:rsidRDefault="00C07CE2" w:rsidP="00BA5B0B">
      <w:pPr>
        <w:spacing w:after="0" w:line="240" w:lineRule="auto"/>
        <w:jc w:val="both"/>
        <w:rPr>
          <w:rFonts w:eastAsia="Times New Roman"/>
          <w:sz w:val="20"/>
          <w:szCs w:val="20"/>
          <w:lang w:eastAsia="cs-CZ"/>
        </w:rPr>
      </w:pPr>
    </w:p>
    <w:p w14:paraId="64DF904F" w14:textId="77777777" w:rsidR="00BA5B0B" w:rsidRPr="0016146E" w:rsidRDefault="00BA5B0B" w:rsidP="00BA5B0B">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14:paraId="6FB020D5" w14:textId="77777777" w:rsidR="00BA5B0B" w:rsidRDefault="00BA5B0B" w:rsidP="00BA5B0B">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52E87F11" w14:textId="77777777" w:rsidR="00BA5B0B" w:rsidRPr="00310B7E" w:rsidRDefault="00BA5B0B" w:rsidP="00BA5B0B">
      <w:pPr>
        <w:spacing w:after="0" w:line="240" w:lineRule="auto"/>
        <w:jc w:val="center"/>
        <w:rPr>
          <w:rFonts w:eastAsia="Times New Roman"/>
          <w:snapToGrid w:val="0"/>
          <w:sz w:val="20"/>
          <w:szCs w:val="20"/>
          <w:lang w:eastAsia="cs-CZ"/>
        </w:rPr>
      </w:pPr>
    </w:p>
    <w:p w14:paraId="3C5F9A66"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Předmět smlouvy</w:t>
      </w:r>
    </w:p>
    <w:p w14:paraId="3AB3121F" w14:textId="542F5122" w:rsidR="00BA5B0B" w:rsidRPr="00310B7E" w:rsidRDefault="00BA5B0B" w:rsidP="00EB223B">
      <w:pPr>
        <w:pStyle w:val="Nadpis2"/>
        <w:keepNext w:val="0"/>
        <w:spacing w:after="60"/>
        <w:jc w:val="both"/>
        <w:rPr>
          <w:rFonts w:ascii="Verdana" w:hAnsi="Verdana"/>
          <w:sz w:val="20"/>
          <w:lang w:eastAsia="cs-CZ"/>
        </w:rPr>
      </w:pPr>
      <w:r w:rsidRPr="00310B7E">
        <w:rPr>
          <w:rFonts w:ascii="Verdana" w:hAnsi="Verdana"/>
          <w:sz w:val="20"/>
          <w:lang w:eastAsia="cs-CZ"/>
        </w:rPr>
        <w:t xml:space="preserve">Předmětem této smlouvy je závazek prodávajícího dodat kupujícímu nové a nepoužité zdravotnické zařízení: </w:t>
      </w:r>
      <w:r w:rsidR="00117892">
        <w:rPr>
          <w:rFonts w:ascii="Verdana" w:hAnsi="Verdana"/>
          <w:b/>
          <w:sz w:val="20"/>
          <w:lang w:eastAsia="cs-CZ"/>
        </w:rPr>
        <w:t xml:space="preserve">20 ks monitorů </w:t>
      </w:r>
      <w:proofErr w:type="spellStart"/>
      <w:r w:rsidR="00117892">
        <w:rPr>
          <w:rFonts w:ascii="Verdana" w:hAnsi="Verdana"/>
          <w:b/>
          <w:sz w:val="20"/>
          <w:lang w:eastAsia="cs-CZ"/>
        </w:rPr>
        <w:t>uMEC</w:t>
      </w:r>
      <w:proofErr w:type="spellEnd"/>
      <w:r w:rsidR="00117892">
        <w:rPr>
          <w:rFonts w:ascii="Verdana" w:hAnsi="Verdana"/>
          <w:b/>
          <w:sz w:val="20"/>
          <w:lang w:eastAsia="cs-CZ"/>
        </w:rPr>
        <w:t xml:space="preserve"> 120 + CMS </w:t>
      </w:r>
      <w:proofErr w:type="spellStart"/>
      <w:r w:rsidR="00117892">
        <w:rPr>
          <w:rFonts w:ascii="Verdana" w:hAnsi="Verdana"/>
          <w:b/>
          <w:sz w:val="20"/>
          <w:lang w:eastAsia="cs-CZ"/>
        </w:rPr>
        <w:t>BeneVision</w:t>
      </w:r>
      <w:proofErr w:type="spellEnd"/>
      <w:r w:rsidR="00117892">
        <w:rPr>
          <w:rFonts w:ascii="Verdana" w:hAnsi="Verdana"/>
          <w:b/>
          <w:sz w:val="20"/>
          <w:lang w:eastAsia="cs-CZ"/>
        </w:rPr>
        <w:t xml:space="preserve"> vč. příslušenství</w:t>
      </w:r>
      <w:r w:rsidR="00E83AA1" w:rsidRPr="00310B7E">
        <w:rPr>
          <w:rFonts w:ascii="Verdana" w:hAnsi="Verdana"/>
          <w:sz w:val="20"/>
          <w:lang w:eastAsia="cs-CZ"/>
        </w:rPr>
        <w:t xml:space="preserve"> </w:t>
      </w:r>
      <w:r w:rsidRPr="00310B7E">
        <w:rPr>
          <w:rFonts w:ascii="Verdana" w:hAnsi="Verdana"/>
          <w:sz w:val="20"/>
          <w:lang w:eastAsia="cs-CZ"/>
        </w:rPr>
        <w:t>(dále jen „</w:t>
      </w:r>
      <w:r w:rsidRPr="00310B7E">
        <w:rPr>
          <w:rFonts w:ascii="Verdana" w:hAnsi="Verdana"/>
          <w:b/>
          <w:sz w:val="20"/>
          <w:lang w:eastAsia="cs-CZ"/>
        </w:rPr>
        <w:t>zařízení</w:t>
      </w:r>
      <w:r w:rsidRPr="00310B7E">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02CB0BA7" w14:textId="42836F29"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Zařízení je blíže specifikováno v příloze č. 1 této smlouvy.</w:t>
      </w:r>
    </w:p>
    <w:p w14:paraId="428AB7B8" w14:textId="61AD09D1" w:rsidR="00BA5B0B" w:rsidRPr="00310B7E" w:rsidRDefault="00F9148E"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a zákonu č. 375/2022 Sb., o zdravotnických prostředcích a diagnostických zdravotnických prostředcích in vitro, ve znění pozdějších předpisů, a je vybaveno všemi potřebnými doklady a certifikáty.</w:t>
      </w:r>
    </w:p>
    <w:p w14:paraId="5EB6F49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dále prohlašuje, že má veškerá oprávnění, jakož i vybavení, k plnění povinností dle této smlouvy.</w:t>
      </w:r>
    </w:p>
    <w:p w14:paraId="2BD17702" w14:textId="5172B2B8" w:rsidR="00BA5B0B" w:rsidRPr="00310B7E" w:rsidRDefault="00BA5B0B" w:rsidP="00BA5B0B">
      <w:pPr>
        <w:pStyle w:val="Nadpis2"/>
        <w:keepNext w:val="0"/>
        <w:spacing w:after="60"/>
        <w:jc w:val="both"/>
        <w:rPr>
          <w:rFonts w:ascii="Verdana" w:hAnsi="Verdana"/>
          <w:sz w:val="20"/>
          <w:lang w:eastAsia="cs-CZ"/>
        </w:rPr>
      </w:pPr>
      <w:bookmarkStart w:id="0" w:name="_Hlk145589892"/>
      <w:r w:rsidRPr="00310B7E">
        <w:rPr>
          <w:rFonts w:ascii="Verdana" w:hAnsi="Verdana"/>
          <w:sz w:val="20"/>
          <w:lang w:eastAsia="cs-CZ"/>
        </w:rPr>
        <w:t xml:space="preserve">Tato smlouva je uzavírána na základě výběru dodavatele ve veřejné zakázce </w:t>
      </w:r>
      <w:r w:rsidR="00537557" w:rsidRPr="00537557">
        <w:rPr>
          <w:rFonts w:ascii="Verdana" w:hAnsi="Verdana"/>
          <w:sz w:val="20"/>
          <w:lang w:eastAsia="cs-CZ"/>
        </w:rPr>
        <w:t>malého rozsahu zadávané mimo režim zákona</w:t>
      </w:r>
      <w:r w:rsidRPr="00310B7E">
        <w:rPr>
          <w:rFonts w:ascii="Verdana" w:hAnsi="Verdana"/>
          <w:sz w:val="20"/>
          <w:lang w:eastAsia="cs-CZ"/>
        </w:rPr>
        <w:t xml:space="preserve"> č. 134/2016 Sb., o zadávání veřejných zakázek, ve </w:t>
      </w:r>
      <w:r w:rsidRPr="00310B7E">
        <w:rPr>
          <w:rFonts w:ascii="Verdana" w:hAnsi="Verdana"/>
          <w:sz w:val="20"/>
          <w:lang w:eastAsia="cs-CZ"/>
        </w:rPr>
        <w:lastRenderedPageBreak/>
        <w:t>znění pozdějších předpisů</w:t>
      </w:r>
      <w:r w:rsidR="001A1422" w:rsidRPr="00310B7E">
        <w:rPr>
          <w:rFonts w:ascii="Verdana" w:hAnsi="Verdana"/>
          <w:sz w:val="20"/>
          <w:lang w:eastAsia="cs-CZ"/>
        </w:rPr>
        <w:t xml:space="preserve"> s názvem </w:t>
      </w:r>
      <w:r w:rsidR="005274F7" w:rsidRPr="00E410CC">
        <w:rPr>
          <w:rFonts w:ascii="Verdana" w:hAnsi="Verdana"/>
          <w:b/>
          <w:bCs/>
          <w:sz w:val="20"/>
          <w:lang w:eastAsia="cs-CZ"/>
        </w:rPr>
        <w:t>„</w:t>
      </w:r>
      <w:r w:rsidR="00973EB3" w:rsidRPr="00973EB3">
        <w:rPr>
          <w:rFonts w:ascii="Verdana" w:hAnsi="Verdana"/>
          <w:b/>
          <w:bCs/>
          <w:sz w:val="20"/>
          <w:lang w:eastAsia="cs-CZ"/>
        </w:rPr>
        <w:t>Monitory vitálních funkcí pro ortopedii a urgentní příjem</w:t>
      </w:r>
      <w:r w:rsidR="005274F7" w:rsidRPr="00E410CC">
        <w:rPr>
          <w:rFonts w:ascii="Verdana" w:hAnsi="Verdana"/>
          <w:b/>
          <w:bCs/>
          <w:sz w:val="20"/>
          <w:lang w:eastAsia="cs-CZ"/>
        </w:rPr>
        <w:t>“</w:t>
      </w:r>
      <w:r w:rsidRPr="00310B7E">
        <w:rPr>
          <w:rFonts w:ascii="Verdana" w:hAnsi="Verdana"/>
          <w:sz w:val="20"/>
          <w:lang w:eastAsia="cs-CZ"/>
        </w:rPr>
        <w:t>. Prodávající prohlašuje, že měl před podáním své nabídky k dispozici požadavky kupujícího na rozsah dodávky dle této smlouvy, a to jako součást zadávací dokumentace. Prodávající tyto požadavky před podáním své nabídky s vynaložením odborné péče přezkoumal a na základě toho prohlašuje, že je schopen předmět plnění dle této smlouvy splnit.</w:t>
      </w:r>
    </w:p>
    <w:bookmarkEnd w:id="0"/>
    <w:p w14:paraId="1DCF45C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smluvního ujednání je zadávací dokumentace veřejné zakázky, jakož i závazky, přísliby či prohlášení, které prodávající uvedl ve své nabídce. V případě rozporu mezi ujednáním této smlouvy a obsahem nabídky prodávajícího či příloh této smlouvy, má vždy přednost ustanovení této smlouvy.</w:t>
      </w:r>
    </w:p>
    <w:p w14:paraId="33B45954" w14:textId="560AE96A" w:rsidR="00BA5B0B" w:rsidRPr="0062161C" w:rsidRDefault="00BA5B0B" w:rsidP="00BA5B0B">
      <w:pPr>
        <w:pStyle w:val="Nadpis2"/>
        <w:keepNext w:val="0"/>
        <w:spacing w:after="60"/>
        <w:jc w:val="both"/>
        <w:rPr>
          <w:rFonts w:ascii="Verdana" w:hAnsi="Verdana"/>
          <w:sz w:val="20"/>
          <w:lang w:eastAsia="cs-CZ"/>
        </w:rPr>
      </w:pPr>
      <w:r w:rsidRPr="0062161C">
        <w:rPr>
          <w:rFonts w:ascii="Verdana" w:hAnsi="Verdana"/>
          <w:sz w:val="20"/>
          <w:lang w:eastAsia="cs-CZ"/>
        </w:rPr>
        <w:t xml:space="preserve">V případě plnění části předmětu této smlouvy prostřednictvím poddodavatelů, je přílohou č. </w:t>
      </w:r>
      <w:r w:rsidR="00EB223B" w:rsidRPr="0062161C">
        <w:rPr>
          <w:rFonts w:ascii="Verdana" w:hAnsi="Verdana"/>
          <w:sz w:val="20"/>
          <w:lang w:eastAsia="cs-CZ"/>
        </w:rPr>
        <w:t>2</w:t>
      </w:r>
      <w:r w:rsidRPr="0062161C">
        <w:rPr>
          <w:rFonts w:ascii="Verdana" w:hAnsi="Verdana"/>
          <w:sz w:val="20"/>
          <w:lang w:eastAsia="cs-CZ"/>
        </w:rPr>
        <w:t xml:space="preserve"> této smlouvy seznam poddodavatelů.</w:t>
      </w:r>
    </w:p>
    <w:p w14:paraId="5E6C2F2E" w14:textId="77777777" w:rsidR="00BA5B0B" w:rsidRPr="0062161C" w:rsidRDefault="00BA5B0B" w:rsidP="00A96FBE">
      <w:pPr>
        <w:pStyle w:val="Nadpis1"/>
        <w:keepNext w:val="0"/>
        <w:keepLines w:val="0"/>
        <w:spacing w:before="200"/>
        <w:rPr>
          <w:rFonts w:ascii="Verdana" w:hAnsi="Verdana"/>
          <w:sz w:val="20"/>
        </w:rPr>
      </w:pPr>
      <w:r w:rsidRPr="0062161C">
        <w:rPr>
          <w:rFonts w:ascii="Verdana" w:hAnsi="Verdana"/>
          <w:sz w:val="20"/>
        </w:rPr>
        <w:t>Doba, místo a způsob dodání</w:t>
      </w:r>
    </w:p>
    <w:p w14:paraId="775ACDF3" w14:textId="54ACEA26" w:rsidR="00BA5B0B" w:rsidRPr="0062161C" w:rsidRDefault="00BA5B0B" w:rsidP="00EB223B">
      <w:pPr>
        <w:pStyle w:val="Nadpis2"/>
        <w:keepNext w:val="0"/>
        <w:tabs>
          <w:tab w:val="clear" w:pos="576"/>
          <w:tab w:val="num" w:pos="567"/>
        </w:tabs>
        <w:spacing w:after="60"/>
        <w:jc w:val="both"/>
        <w:rPr>
          <w:rFonts w:ascii="Verdana" w:hAnsi="Verdana"/>
          <w:sz w:val="20"/>
          <w:lang w:eastAsia="cs-CZ"/>
        </w:rPr>
      </w:pPr>
      <w:r w:rsidRPr="0062161C">
        <w:rPr>
          <w:rFonts w:ascii="Verdana" w:hAnsi="Verdana"/>
          <w:sz w:val="20"/>
          <w:lang w:eastAsia="cs-CZ"/>
        </w:rPr>
        <w:t xml:space="preserve">Prodávající se zavazuje dodat zařízení nejpozději do </w:t>
      </w:r>
      <w:r w:rsidR="00973EB3" w:rsidRPr="0062161C">
        <w:rPr>
          <w:rFonts w:ascii="Verdana" w:hAnsi="Verdana"/>
          <w:b/>
          <w:sz w:val="20"/>
          <w:lang w:eastAsia="cs-CZ"/>
        </w:rPr>
        <w:t>8 týdnů</w:t>
      </w:r>
      <w:r w:rsidR="005274F7" w:rsidRPr="0062161C">
        <w:rPr>
          <w:rFonts w:ascii="Verdana" w:hAnsi="Verdana"/>
          <w:sz w:val="20"/>
          <w:lang w:eastAsia="cs-CZ"/>
        </w:rPr>
        <w:t xml:space="preserve"> </w:t>
      </w:r>
      <w:r w:rsidRPr="0062161C">
        <w:rPr>
          <w:rFonts w:ascii="Verdana" w:hAnsi="Verdana"/>
          <w:sz w:val="20"/>
          <w:lang w:eastAsia="cs-CZ"/>
        </w:rPr>
        <w:t>od podpisu této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661E527C" w14:textId="77777777" w:rsidR="001F0289" w:rsidRPr="0062161C" w:rsidRDefault="00BA5B0B" w:rsidP="001F0289">
      <w:pPr>
        <w:pStyle w:val="Nadpis2"/>
        <w:keepNext w:val="0"/>
        <w:spacing w:after="60"/>
        <w:jc w:val="both"/>
        <w:rPr>
          <w:rFonts w:ascii="Verdana" w:hAnsi="Verdana"/>
          <w:sz w:val="20"/>
          <w:lang w:eastAsia="cs-CZ"/>
        </w:rPr>
      </w:pPr>
      <w:r w:rsidRPr="0062161C">
        <w:rPr>
          <w:rFonts w:ascii="Verdana" w:hAnsi="Verdana"/>
          <w:sz w:val="20"/>
          <w:lang w:eastAsia="cs-CZ"/>
        </w:rPr>
        <w:t xml:space="preserve">Místem dodání zařízení je sídlo kupujícího, konkrétně </w:t>
      </w:r>
      <w:r w:rsidR="00973EB3" w:rsidRPr="0062161C">
        <w:rPr>
          <w:rFonts w:ascii="Verdana" w:hAnsi="Verdana" w:cstheme="minorHAnsi"/>
          <w:b/>
          <w:bCs/>
          <w:sz w:val="20"/>
        </w:rPr>
        <w:t>Urgentní příjem a Ortopedické oddělení</w:t>
      </w:r>
      <w:r w:rsidR="005274F7" w:rsidRPr="0062161C">
        <w:rPr>
          <w:rFonts w:ascii="Verdana" w:hAnsi="Verdana"/>
          <w:sz w:val="20"/>
          <w:lang w:eastAsia="cs-CZ"/>
        </w:rPr>
        <w:t>.</w:t>
      </w:r>
    </w:p>
    <w:p w14:paraId="402D484D" w14:textId="14C3AA4D" w:rsidR="001F0289" w:rsidRPr="001F0289" w:rsidRDefault="001F0289" w:rsidP="001F0289">
      <w:pPr>
        <w:pStyle w:val="Nadpis2"/>
        <w:jc w:val="both"/>
        <w:rPr>
          <w:rFonts w:ascii="Verdana" w:hAnsi="Verdana"/>
          <w:sz w:val="20"/>
          <w:lang w:eastAsia="cs-CZ"/>
        </w:rPr>
      </w:pPr>
      <w:r w:rsidRPr="0062161C">
        <w:rPr>
          <w:rFonts w:ascii="Verdana" w:hAnsi="Verdana"/>
          <w:sz w:val="20"/>
          <w:lang w:eastAsia="cs-CZ"/>
        </w:rPr>
        <w:t xml:space="preserve">Součástí předmětu plnění je připojení zařízení do nemocničního informačního systému </w:t>
      </w:r>
      <w:r w:rsidR="003F712E" w:rsidRPr="0062161C">
        <w:rPr>
          <w:rFonts w:ascii="Verdana" w:hAnsi="Verdana"/>
          <w:sz w:val="20"/>
          <w:lang w:eastAsia="cs-CZ"/>
        </w:rPr>
        <w:t>kupujícího</w:t>
      </w:r>
      <w:r w:rsidRPr="0062161C">
        <w:rPr>
          <w:rFonts w:ascii="Verdana" w:hAnsi="Verdana"/>
          <w:sz w:val="20"/>
          <w:lang w:eastAsia="cs-CZ"/>
        </w:rPr>
        <w:t xml:space="preserve"> STAPRO FONS Enterprise (dále jen „</w:t>
      </w:r>
      <w:r w:rsidRPr="0062161C">
        <w:rPr>
          <w:rFonts w:ascii="Verdana" w:hAnsi="Verdana"/>
          <w:b/>
          <w:bCs/>
          <w:sz w:val="20"/>
          <w:lang w:eastAsia="cs-CZ"/>
        </w:rPr>
        <w:t>FONS</w:t>
      </w:r>
      <w:r w:rsidRPr="0062161C">
        <w:rPr>
          <w:rFonts w:ascii="Verdana" w:hAnsi="Verdana"/>
          <w:sz w:val="20"/>
          <w:lang w:eastAsia="cs-CZ"/>
        </w:rPr>
        <w:t>“). Připojení musí</w:t>
      </w:r>
      <w:r w:rsidRPr="001F0289">
        <w:rPr>
          <w:rFonts w:ascii="Verdana" w:hAnsi="Verdana"/>
          <w:sz w:val="20"/>
          <w:lang w:eastAsia="cs-CZ"/>
        </w:rPr>
        <w:t xml:space="preserve"> umožňovat přenos veškerých medicínských údajů, které je </w:t>
      </w:r>
      <w:r w:rsidR="003C3BBE">
        <w:rPr>
          <w:rFonts w:ascii="Verdana" w:hAnsi="Verdana"/>
          <w:sz w:val="20"/>
          <w:lang w:eastAsia="cs-CZ"/>
        </w:rPr>
        <w:t>zařízení</w:t>
      </w:r>
      <w:r w:rsidRPr="001F0289">
        <w:rPr>
          <w:rFonts w:ascii="Verdana" w:hAnsi="Verdana"/>
          <w:sz w:val="20"/>
          <w:lang w:eastAsia="cs-CZ"/>
        </w:rPr>
        <w:t xml:space="preserve"> schopn</w:t>
      </w:r>
      <w:r w:rsidR="003C3BBE">
        <w:rPr>
          <w:rFonts w:ascii="Verdana" w:hAnsi="Verdana"/>
          <w:sz w:val="20"/>
          <w:lang w:eastAsia="cs-CZ"/>
        </w:rPr>
        <w:t>o</w:t>
      </w:r>
      <w:r w:rsidRPr="001F0289">
        <w:rPr>
          <w:rFonts w:ascii="Verdana" w:hAnsi="Verdana"/>
          <w:sz w:val="20"/>
          <w:lang w:eastAsia="cs-CZ"/>
        </w:rPr>
        <w:t xml:space="preserve"> zobrazit (vytisknout) v minimálním rozsahu dle technické specifikace</w:t>
      </w:r>
      <w:r w:rsidR="00894AE5">
        <w:rPr>
          <w:rFonts w:ascii="Verdana" w:hAnsi="Verdana"/>
          <w:sz w:val="20"/>
          <w:lang w:eastAsia="cs-CZ"/>
        </w:rPr>
        <w:t>, která je přílohou č. 1 této smlouvy</w:t>
      </w:r>
      <w:r w:rsidRPr="001F0289">
        <w:rPr>
          <w:rFonts w:ascii="Verdana" w:hAnsi="Verdana"/>
          <w:sz w:val="20"/>
          <w:lang w:eastAsia="cs-CZ"/>
        </w:rPr>
        <w:t>,</w:t>
      </w:r>
      <w:r w:rsidR="00894AE5">
        <w:rPr>
          <w:rFonts w:ascii="Verdana" w:hAnsi="Verdana"/>
          <w:sz w:val="20"/>
          <w:lang w:eastAsia="cs-CZ"/>
        </w:rPr>
        <w:t xml:space="preserve"> a to</w:t>
      </w:r>
      <w:r w:rsidRPr="001F0289">
        <w:rPr>
          <w:rFonts w:ascii="Verdana" w:hAnsi="Verdana"/>
          <w:sz w:val="20"/>
          <w:lang w:eastAsia="cs-CZ"/>
        </w:rPr>
        <w:t xml:space="preserve"> ve strukturované podobě formou datové věty z</w:t>
      </w:r>
      <w:r w:rsidR="001B01C1">
        <w:rPr>
          <w:rFonts w:ascii="Verdana" w:hAnsi="Verdana"/>
          <w:sz w:val="20"/>
          <w:lang w:eastAsia="cs-CZ"/>
        </w:rPr>
        <w:t>e zařízení</w:t>
      </w:r>
      <w:r w:rsidRPr="001F0289">
        <w:rPr>
          <w:rFonts w:ascii="Verdana" w:hAnsi="Verdana"/>
          <w:sz w:val="20"/>
          <w:lang w:eastAsia="cs-CZ"/>
        </w:rPr>
        <w:t xml:space="preserve"> do FONS. Součástí připojení je dodávka </w:t>
      </w:r>
      <w:r w:rsidR="003C3BBE">
        <w:rPr>
          <w:rFonts w:ascii="Verdana" w:hAnsi="Verdana"/>
          <w:sz w:val="20"/>
          <w:lang w:eastAsia="cs-CZ"/>
        </w:rPr>
        <w:t>softwarových</w:t>
      </w:r>
      <w:r w:rsidRPr="001F0289">
        <w:rPr>
          <w:rFonts w:ascii="Verdana" w:hAnsi="Verdana"/>
          <w:sz w:val="20"/>
          <w:lang w:eastAsia="cs-CZ"/>
        </w:rPr>
        <w:t xml:space="preserve"> i </w:t>
      </w:r>
      <w:r w:rsidR="003C3BBE">
        <w:rPr>
          <w:rFonts w:ascii="Verdana" w:hAnsi="Verdana"/>
          <w:sz w:val="20"/>
          <w:lang w:eastAsia="cs-CZ"/>
        </w:rPr>
        <w:t>hardwarových</w:t>
      </w:r>
      <w:r w:rsidRPr="001F0289">
        <w:rPr>
          <w:rFonts w:ascii="Verdana" w:hAnsi="Verdana"/>
          <w:sz w:val="20"/>
          <w:lang w:eastAsia="cs-CZ"/>
        </w:rPr>
        <w:t xml:space="preserve"> komunikačních konektorů na straně </w:t>
      </w:r>
      <w:r w:rsidR="003C3BBE">
        <w:rPr>
          <w:rFonts w:ascii="Verdana" w:hAnsi="Verdana"/>
          <w:sz w:val="20"/>
          <w:lang w:eastAsia="cs-CZ"/>
        </w:rPr>
        <w:t>zařízení</w:t>
      </w:r>
      <w:r w:rsidRPr="001F0289">
        <w:rPr>
          <w:rFonts w:ascii="Verdana" w:hAnsi="Verdana"/>
          <w:sz w:val="20"/>
          <w:lang w:eastAsia="cs-CZ"/>
        </w:rPr>
        <w:t xml:space="preserve"> i na straně FONS. Cena připojení je zahrnuta v kupní ceně </w:t>
      </w:r>
      <w:r w:rsidR="003C3BBE">
        <w:rPr>
          <w:rFonts w:ascii="Verdana" w:hAnsi="Verdana"/>
          <w:sz w:val="20"/>
          <w:lang w:eastAsia="cs-CZ"/>
        </w:rPr>
        <w:t>zařízení</w:t>
      </w:r>
      <w:r w:rsidRPr="001F0289">
        <w:rPr>
          <w:rFonts w:ascii="Verdana" w:hAnsi="Verdana"/>
          <w:sz w:val="20"/>
          <w:lang w:eastAsia="cs-CZ"/>
        </w:rPr>
        <w:t xml:space="preserve">. Nad rámec kupní ceny </w:t>
      </w:r>
      <w:r w:rsidR="003C3BBE">
        <w:rPr>
          <w:rFonts w:ascii="Verdana" w:hAnsi="Verdana"/>
          <w:sz w:val="20"/>
          <w:lang w:eastAsia="cs-CZ"/>
        </w:rPr>
        <w:t>zařízení</w:t>
      </w:r>
      <w:r w:rsidRPr="001F0289">
        <w:rPr>
          <w:rFonts w:ascii="Verdana" w:hAnsi="Verdana"/>
          <w:sz w:val="20"/>
          <w:lang w:eastAsia="cs-CZ"/>
        </w:rPr>
        <w:t xml:space="preserve"> není </w:t>
      </w:r>
      <w:r w:rsidR="003F712E">
        <w:rPr>
          <w:rFonts w:ascii="Verdana" w:hAnsi="Verdana"/>
          <w:sz w:val="20"/>
          <w:lang w:eastAsia="cs-CZ"/>
        </w:rPr>
        <w:t>prodávající</w:t>
      </w:r>
      <w:r w:rsidRPr="001F0289">
        <w:rPr>
          <w:rFonts w:ascii="Verdana" w:hAnsi="Verdana"/>
          <w:sz w:val="20"/>
          <w:lang w:eastAsia="cs-CZ"/>
        </w:rPr>
        <w:t xml:space="preserve"> oprávněn požadovat jakékoliv dodatečné náklady na pořízení dalšího softwarového či hardwarového vybavení, jakož i dodatečné náklady na údržbu tohoto připojení, licenční poplatky apod.</w:t>
      </w:r>
    </w:p>
    <w:p w14:paraId="73A4EBCC" w14:textId="61AE7926" w:rsidR="001F0289" w:rsidRPr="001F0289" w:rsidRDefault="001F0289" w:rsidP="001F0289">
      <w:pPr>
        <w:pStyle w:val="Nadpis2"/>
        <w:jc w:val="both"/>
        <w:rPr>
          <w:rFonts w:ascii="Verdana" w:hAnsi="Verdana"/>
          <w:sz w:val="20"/>
          <w:lang w:eastAsia="cs-CZ"/>
        </w:rPr>
      </w:pPr>
      <w:r>
        <w:rPr>
          <w:rFonts w:ascii="Verdana" w:hAnsi="Verdana"/>
          <w:sz w:val="20"/>
          <w:lang w:eastAsia="cs-CZ"/>
        </w:rPr>
        <w:t>Prodávající bere na vědomí, že p</w:t>
      </w:r>
      <w:r w:rsidRPr="001F0289">
        <w:rPr>
          <w:rFonts w:ascii="Verdana" w:hAnsi="Verdana"/>
          <w:sz w:val="20"/>
          <w:lang w:eastAsia="cs-CZ"/>
        </w:rPr>
        <w:t xml:space="preserve">řipojení do FONS musí zůstat funkční po dobu životnosti </w:t>
      </w:r>
      <w:r>
        <w:rPr>
          <w:rFonts w:ascii="Verdana" w:hAnsi="Verdana"/>
          <w:sz w:val="20"/>
          <w:lang w:eastAsia="cs-CZ"/>
        </w:rPr>
        <w:t>zařízení</w:t>
      </w:r>
      <w:r w:rsidRPr="001F0289">
        <w:rPr>
          <w:rFonts w:ascii="Verdana" w:hAnsi="Verdana"/>
          <w:sz w:val="20"/>
          <w:lang w:eastAsia="cs-CZ"/>
        </w:rPr>
        <w:t xml:space="preserve">, nejméně po dobu 8 let od dodání </w:t>
      </w:r>
      <w:r>
        <w:rPr>
          <w:rFonts w:ascii="Verdana" w:hAnsi="Verdana"/>
          <w:sz w:val="20"/>
          <w:lang w:eastAsia="cs-CZ"/>
        </w:rPr>
        <w:t>zařízení</w:t>
      </w:r>
      <w:r w:rsidRPr="001F0289">
        <w:rPr>
          <w:rFonts w:ascii="Verdana" w:hAnsi="Verdana"/>
          <w:sz w:val="20"/>
          <w:lang w:eastAsia="cs-CZ"/>
        </w:rPr>
        <w:t xml:space="preserve">, a to i v případě aktualizace software </w:t>
      </w:r>
      <w:r>
        <w:rPr>
          <w:rFonts w:ascii="Verdana" w:hAnsi="Verdana"/>
          <w:sz w:val="20"/>
          <w:lang w:eastAsia="cs-CZ"/>
        </w:rPr>
        <w:t>zařízení</w:t>
      </w:r>
      <w:r w:rsidRPr="001F0289">
        <w:rPr>
          <w:rFonts w:ascii="Verdana" w:hAnsi="Verdana"/>
          <w:sz w:val="20"/>
          <w:lang w:eastAsia="cs-CZ"/>
        </w:rPr>
        <w:t xml:space="preserve"> či aktualizace FONS.</w:t>
      </w:r>
    </w:p>
    <w:p w14:paraId="11BC8ACC" w14:textId="720B2E25" w:rsidR="00973EB3" w:rsidRPr="00973EB3" w:rsidRDefault="00BA5B0B" w:rsidP="00973EB3">
      <w:pPr>
        <w:pStyle w:val="Nadpis2"/>
        <w:keepNext w:val="0"/>
        <w:spacing w:after="60"/>
        <w:jc w:val="both"/>
        <w:rPr>
          <w:rFonts w:ascii="Verdana" w:hAnsi="Verdana"/>
          <w:sz w:val="20"/>
          <w:lang w:eastAsia="cs-CZ"/>
        </w:rPr>
      </w:pPr>
      <w:r w:rsidRPr="00310B7E">
        <w:rPr>
          <w:rFonts w:ascii="Verdana" w:hAnsi="Verdana"/>
          <w:sz w:val="20"/>
          <w:lang w:eastAsia="cs-CZ"/>
        </w:rPr>
        <w:t xml:space="preserve">Součástí předmětu plnění je </w:t>
      </w:r>
      <w:r w:rsidR="00973EB3">
        <w:rPr>
          <w:rFonts w:ascii="Verdana" w:hAnsi="Verdana"/>
          <w:sz w:val="20"/>
          <w:lang w:eastAsia="cs-CZ"/>
        </w:rPr>
        <w:t xml:space="preserve">rovněž </w:t>
      </w:r>
      <w:r w:rsidRPr="00310B7E">
        <w:rPr>
          <w:rFonts w:ascii="Verdana" w:hAnsi="Verdana"/>
          <w:sz w:val="20"/>
          <w:lang w:eastAsia="cs-CZ"/>
        </w:rPr>
        <w:t>doprava zařízení do místa plnění,</w:t>
      </w:r>
      <w:r w:rsidR="005E37B1" w:rsidRPr="00310B7E">
        <w:rPr>
          <w:rFonts w:ascii="Verdana" w:hAnsi="Verdana"/>
          <w:sz w:val="20"/>
          <w:lang w:eastAsia="cs-CZ"/>
        </w:rPr>
        <w:t xml:space="preserve"> pojištění přepravy,</w:t>
      </w:r>
      <w:r w:rsidRPr="00310B7E">
        <w:rPr>
          <w:rFonts w:ascii="Verdana" w:hAnsi="Verdana"/>
          <w:sz w:val="20"/>
          <w:lang w:eastAsia="cs-CZ"/>
        </w:rPr>
        <w:t xml:space="preserve"> </w:t>
      </w:r>
      <w:r w:rsidR="001C5274" w:rsidRPr="00310B7E">
        <w:rPr>
          <w:rFonts w:ascii="Verdana" w:hAnsi="Verdana" w:cstheme="minorHAnsi"/>
          <w:sz w:val="20"/>
        </w:rPr>
        <w:t>veškeré poplatky spojené s dovozem zařízení, cla, daně, dovozní a vývozní přirážky, licenční a veškeré další poplatky spojené s dodávkou zařízení až do jejího funkčního předání v místě plnění,</w:t>
      </w:r>
      <w:r w:rsidR="001C5274" w:rsidRPr="00310B7E">
        <w:rPr>
          <w:rFonts w:ascii="Verdana" w:hAnsi="Verdana"/>
          <w:sz w:val="20"/>
          <w:lang w:eastAsia="cs-CZ"/>
        </w:rPr>
        <w:t xml:space="preserve"> </w:t>
      </w:r>
      <w:r w:rsidRPr="00310B7E">
        <w:rPr>
          <w:rFonts w:ascii="Verdana" w:hAnsi="Verdana"/>
          <w:sz w:val="20"/>
          <w:lang w:eastAsia="cs-CZ"/>
        </w:rPr>
        <w:t>kompletace</w:t>
      </w:r>
      <w:r w:rsidR="001C5274" w:rsidRPr="00310B7E">
        <w:rPr>
          <w:rFonts w:ascii="Verdana" w:hAnsi="Verdana"/>
          <w:sz w:val="20"/>
          <w:lang w:eastAsia="cs-CZ"/>
        </w:rPr>
        <w:t xml:space="preserve"> </w:t>
      </w:r>
      <w:r w:rsidR="00E01D97" w:rsidRPr="00310B7E">
        <w:rPr>
          <w:rFonts w:ascii="Verdana" w:hAnsi="Verdana"/>
          <w:sz w:val="20"/>
          <w:lang w:eastAsia="cs-CZ"/>
        </w:rPr>
        <w:t>veškerých</w:t>
      </w:r>
      <w:r w:rsidR="001C5274" w:rsidRPr="00310B7E">
        <w:rPr>
          <w:rFonts w:ascii="Verdana" w:hAnsi="Verdana"/>
          <w:sz w:val="20"/>
          <w:lang w:eastAsia="cs-CZ"/>
        </w:rPr>
        <w:t xml:space="preserve"> </w:t>
      </w:r>
      <w:r w:rsidR="001C5274" w:rsidRPr="00310B7E">
        <w:rPr>
          <w:rFonts w:ascii="Verdana" w:hAnsi="Verdana" w:cstheme="minorHAnsi"/>
          <w:sz w:val="20"/>
        </w:rPr>
        <w:t>komponent potřebn</w:t>
      </w:r>
      <w:r w:rsidR="00E01D97" w:rsidRPr="00310B7E">
        <w:rPr>
          <w:rFonts w:ascii="Verdana" w:hAnsi="Verdana" w:cstheme="minorHAnsi"/>
          <w:sz w:val="20"/>
        </w:rPr>
        <w:t>ých</w:t>
      </w:r>
      <w:r w:rsidR="001C5274" w:rsidRPr="00310B7E">
        <w:rPr>
          <w:rFonts w:ascii="Verdana" w:hAnsi="Verdana" w:cstheme="minorHAnsi"/>
          <w:sz w:val="20"/>
        </w:rPr>
        <w:t xml:space="preserve"> pro instalaci zařízení</w:t>
      </w:r>
      <w:r w:rsidRPr="00310B7E">
        <w:rPr>
          <w:rFonts w:ascii="Verdana" w:hAnsi="Verdana"/>
          <w:sz w:val="20"/>
          <w:lang w:eastAsia="cs-CZ"/>
        </w:rPr>
        <w:t>, montáž, instalace, uvedení do provozu s předvedením funkčnosti, instruktáž personálu, likvidace obalů a odpadu, provádění bezplatného záručního servisu a předepsaných bezpečnostně technických prohlídek v průběhu záruční doby.</w:t>
      </w:r>
    </w:p>
    <w:p w14:paraId="70195B60" w14:textId="77777777" w:rsidR="005E37B1" w:rsidRPr="00310B7E" w:rsidRDefault="005E37B1" w:rsidP="005E37B1">
      <w:pPr>
        <w:pStyle w:val="Nadpis2"/>
        <w:keepNext w:val="0"/>
        <w:spacing w:after="60"/>
        <w:jc w:val="both"/>
        <w:rPr>
          <w:rFonts w:ascii="Verdana" w:hAnsi="Verdana"/>
          <w:sz w:val="20"/>
          <w:lang w:eastAsia="cs-CZ"/>
        </w:rPr>
      </w:pPr>
      <w:r w:rsidRPr="00310B7E">
        <w:rPr>
          <w:rFonts w:ascii="Verdana" w:hAnsi="Verdana"/>
          <w:sz w:val="20"/>
          <w:lang w:eastAsia="cs-CZ"/>
        </w:rPr>
        <w:t>Součástí dodávky přístrojového vybavení je dále:</w:t>
      </w:r>
    </w:p>
    <w:p w14:paraId="17D3553C" w14:textId="5C44F7D3"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 xml:space="preserve">návod k použití </w:t>
      </w:r>
      <w:r w:rsidR="00DA14A2" w:rsidRPr="00310B7E">
        <w:rPr>
          <w:rFonts w:ascii="Verdana" w:hAnsi="Verdana"/>
          <w:sz w:val="20"/>
          <w:lang w:eastAsia="cs-CZ"/>
        </w:rPr>
        <w:t xml:space="preserve">a technická dokumentace </w:t>
      </w:r>
      <w:r w:rsidRPr="00310B7E">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prohlášení o shodě</w:t>
      </w:r>
      <w:r w:rsidR="00DA14A2" w:rsidRPr="00310B7E">
        <w:rPr>
          <w:rFonts w:ascii="Verdana" w:hAnsi="Verdana" w:cstheme="minorHAnsi"/>
          <w:sz w:val="20"/>
        </w:rPr>
        <w:t xml:space="preserve">, tj. ES prohlášení o shodě (CE </w:t>
      </w:r>
      <w:proofErr w:type="spellStart"/>
      <w:r w:rsidR="00DA14A2" w:rsidRPr="00310B7E">
        <w:rPr>
          <w:rFonts w:ascii="Verdana" w:hAnsi="Verdana" w:cstheme="minorHAnsi"/>
          <w:sz w:val="20"/>
        </w:rPr>
        <w:t>Conformity</w:t>
      </w:r>
      <w:proofErr w:type="spellEnd"/>
      <w:r w:rsidR="00DA14A2" w:rsidRPr="00310B7E">
        <w:rPr>
          <w:rFonts w:ascii="Verdana" w:hAnsi="Verdana" w:cstheme="minorHAnsi"/>
          <w:sz w:val="20"/>
        </w:rPr>
        <w:t xml:space="preserve"> </w:t>
      </w:r>
      <w:proofErr w:type="spellStart"/>
      <w:r w:rsidR="00DA14A2" w:rsidRPr="00310B7E">
        <w:rPr>
          <w:rFonts w:ascii="Verdana" w:hAnsi="Verdana" w:cstheme="minorHAnsi"/>
          <w:sz w:val="20"/>
        </w:rPr>
        <w:t>Declaration</w:t>
      </w:r>
      <w:proofErr w:type="spellEnd"/>
      <w:r w:rsidR="00DA14A2" w:rsidRPr="00310B7E">
        <w:rPr>
          <w:rFonts w:ascii="Verdana" w:hAnsi="Verdana"/>
          <w:sz w:val="20"/>
          <w:lang w:eastAsia="cs-CZ"/>
        </w:rPr>
        <w:t>).</w:t>
      </w:r>
    </w:p>
    <w:p w14:paraId="21798CE1" w14:textId="652702FD"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příslušná dokumentace dle zákona č. 375/2022 Sb., o zdravotnických prostředcích a diagnostických zdravotnických prostředcích in vitro, případně doklady dle zákona 263/2016 Sb., pokud jsou tyto doklady pro provoz nezbytné.</w:t>
      </w:r>
    </w:p>
    <w:p w14:paraId="334FCF15" w14:textId="77777777"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lastRenderedPageBreak/>
        <w:t>zaškolení obsluhy ve smyslu zákona č. 375/2022 Sb., o zdravotnických prostředcích a diagnostických zdravotnických prostředcích in vitro, v platném znění.</w:t>
      </w:r>
    </w:p>
    <w:p w14:paraId="5FDE596C" w14:textId="4F1E626A"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doklady pro zdravotnické prostředky (dodací listy, předávací protokoly, protokoly o zaškolení obsluhy.</w:t>
      </w:r>
    </w:p>
    <w:p w14:paraId="6E398B57" w14:textId="77777777"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doklad osvědčující způsobilost k prodeji, distribuci a servisu zdravotnických prostředků dle zákona č. 375/2022 Sb., o zdravotnických prostředcích a diagnostických zdravotnických prostředcích in vitro v platném znění</w:t>
      </w:r>
    </w:p>
    <w:p w14:paraId="79F25854" w14:textId="4CF5551C"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zajištění servisu osobou splňující podmínky zákona č. 375/2022 Sb., o zdravotnických prostředcích a diagnostických zdravotnických prostředcích in vitro, v platném znění.</w:t>
      </w:r>
    </w:p>
    <w:p w14:paraId="10C081B9" w14:textId="291EF6DF" w:rsidR="00BA5B0B" w:rsidRDefault="00BA5B0B" w:rsidP="00BA5B0B">
      <w:pPr>
        <w:pStyle w:val="Nadpis2"/>
        <w:keepNext w:val="0"/>
        <w:spacing w:after="60"/>
        <w:jc w:val="both"/>
        <w:rPr>
          <w:rFonts w:ascii="Verdana" w:hAnsi="Verdana"/>
          <w:i/>
          <w:sz w:val="20"/>
          <w:lang w:eastAsia="cs-CZ"/>
        </w:rPr>
      </w:pPr>
      <w:r w:rsidRPr="00310B7E">
        <w:rPr>
          <w:rFonts w:ascii="Verdana" w:hAnsi="Verdana"/>
          <w:sz w:val="20"/>
          <w:lang w:eastAsia="cs-CZ"/>
        </w:rPr>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310B7E">
        <w:rPr>
          <w:rFonts w:ascii="Verdana" w:hAnsi="Verdana"/>
          <w:i/>
          <w:sz w:val="20"/>
          <w:lang w:eastAsia="cs-CZ"/>
        </w:rPr>
        <w:t>„Zařízení splňuje výrobcem uváděné parametry, je plně funkční a bezpečné pro použití při poskytování zdravotních služeb pracovníky kupujícího.“</w:t>
      </w:r>
    </w:p>
    <w:p w14:paraId="48263581" w14:textId="4061B9B0" w:rsidR="009434BB" w:rsidRPr="00310B7E" w:rsidRDefault="009434BB" w:rsidP="009434B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w:t>
      </w:r>
      <w:r>
        <w:rPr>
          <w:rFonts w:ascii="Verdana" w:hAnsi="Verdana"/>
          <w:sz w:val="20"/>
          <w:lang w:eastAsia="cs-CZ"/>
        </w:rPr>
        <w:t xml:space="preserve"> převzetí a </w:t>
      </w:r>
      <w:r w:rsidR="0000253D">
        <w:rPr>
          <w:rFonts w:ascii="Verdana" w:hAnsi="Verdana"/>
          <w:sz w:val="20"/>
          <w:lang w:eastAsia="cs-CZ"/>
        </w:rPr>
        <w:t>dohledu</w:t>
      </w:r>
      <w:r w:rsidR="002E4F1A">
        <w:rPr>
          <w:rFonts w:ascii="Verdana" w:hAnsi="Verdana"/>
          <w:sz w:val="20"/>
          <w:lang w:eastAsia="cs-CZ"/>
        </w:rPr>
        <w:t xml:space="preserve"> při </w:t>
      </w:r>
      <w:r>
        <w:rPr>
          <w:rFonts w:ascii="Verdana" w:hAnsi="Verdana"/>
          <w:sz w:val="20"/>
          <w:lang w:eastAsia="cs-CZ"/>
        </w:rPr>
        <w:t>instalaci zařízení</w:t>
      </w:r>
      <w:r w:rsidRPr="00310B7E">
        <w:rPr>
          <w:rFonts w:ascii="Verdana" w:hAnsi="Verdana"/>
          <w:sz w:val="20"/>
          <w:lang w:eastAsia="cs-CZ"/>
        </w:rPr>
        <w:t xml:space="preserve"> na straně kupujícího je:</w:t>
      </w:r>
    </w:p>
    <w:p w14:paraId="7CDF7578" w14:textId="3496C7F9"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23AA741B" w14:textId="44A622ED"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06328BB1" w14:textId="600BED94" w:rsidR="009434BB" w:rsidRPr="00C77920" w:rsidRDefault="009434BB" w:rsidP="00C77920">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443D570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Kupující je oprávněn odmítnout převzetí zařízení v případě:</w:t>
      </w:r>
    </w:p>
    <w:p w14:paraId="0040393B"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výskytu vad zařízení nebo jeho částí,</w:t>
      </w:r>
    </w:p>
    <w:p w14:paraId="3AE03AD1"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nesplnění všech povinností prodávajícího vztahujících se k předání zařízení dle této smlouvy.</w:t>
      </w:r>
    </w:p>
    <w:p w14:paraId="473D281D"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6D21258"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Kupní cena a platební podmínky</w:t>
      </w:r>
    </w:p>
    <w:p w14:paraId="041691CA" w14:textId="3E56F146"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 xml:space="preserve">Celková kupní cena zařízení činí </w:t>
      </w:r>
      <w:r w:rsidR="00117892">
        <w:rPr>
          <w:rFonts w:ascii="Verdana" w:hAnsi="Verdana"/>
          <w:b/>
          <w:sz w:val="20"/>
          <w:lang w:eastAsia="cs-CZ"/>
        </w:rPr>
        <w:t>861.196,-</w:t>
      </w:r>
      <w:r w:rsidRPr="00310B7E">
        <w:rPr>
          <w:rFonts w:ascii="Verdana" w:hAnsi="Verdana"/>
          <w:b/>
          <w:sz w:val="20"/>
          <w:lang w:eastAsia="cs-CZ"/>
        </w:rPr>
        <w:t xml:space="preserve"> Kč bez DPH</w:t>
      </w:r>
      <w:r w:rsidRPr="00310B7E">
        <w:rPr>
          <w:rFonts w:ascii="Verdana" w:hAnsi="Verdana"/>
          <w:sz w:val="20"/>
          <w:lang w:eastAsia="cs-CZ"/>
        </w:rPr>
        <w:t xml:space="preserve">, DPH </w:t>
      </w:r>
      <w:r w:rsidR="00117892">
        <w:rPr>
          <w:rFonts w:ascii="Verdana" w:hAnsi="Verdana"/>
          <w:sz w:val="20"/>
          <w:lang w:eastAsia="cs-CZ"/>
        </w:rPr>
        <w:t>21</w:t>
      </w:r>
      <w:r w:rsidRPr="00310B7E">
        <w:rPr>
          <w:rFonts w:ascii="Verdana" w:hAnsi="Verdana"/>
          <w:sz w:val="20"/>
          <w:lang w:eastAsia="cs-CZ"/>
        </w:rPr>
        <w:t xml:space="preserve"> % je </w:t>
      </w:r>
      <w:r w:rsidR="00117892">
        <w:rPr>
          <w:rFonts w:ascii="Verdana" w:hAnsi="Verdana"/>
          <w:sz w:val="20"/>
          <w:lang w:eastAsia="cs-CZ"/>
        </w:rPr>
        <w:t>180.851,16,-</w:t>
      </w:r>
      <w:r w:rsidRPr="00310B7E">
        <w:rPr>
          <w:rFonts w:ascii="Verdana" w:hAnsi="Verdana"/>
          <w:sz w:val="20"/>
          <w:lang w:eastAsia="cs-CZ"/>
        </w:rPr>
        <w:t xml:space="preserve"> Kč, kupní cena vč. DPH činí </w:t>
      </w:r>
      <w:r w:rsidR="00117892">
        <w:rPr>
          <w:rFonts w:ascii="Verdana" w:hAnsi="Verdana"/>
          <w:sz w:val="20"/>
          <w:lang w:eastAsia="cs-CZ"/>
        </w:rPr>
        <w:t>1.042.047,16,-</w:t>
      </w:r>
      <w:r w:rsidRPr="00310B7E">
        <w:rPr>
          <w:rFonts w:ascii="Verdana" w:hAnsi="Verdana"/>
          <w:sz w:val="20"/>
          <w:lang w:eastAsia="cs-CZ"/>
        </w:rPr>
        <w:t xml:space="preserve"> Kč. Prodávající ručí za uplatnění správné sazby DPH vztahující se na dodávku zařízení dle této smlouvy.</w:t>
      </w:r>
    </w:p>
    <w:p w14:paraId="70E3A15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provádění bezplatného záručního servisu a předepsaných bezpečnostně technických prohlídek v průběhu záruční doby a případné další náklady související s plněním předmětu této smlouvy.</w:t>
      </w:r>
    </w:p>
    <w:p w14:paraId="67B2425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Úhrada kupní ceny bude kupujícím provedena bezhotovostním převodem nebo vkladem na účet prodávajícího uvedený v záhlaví této smlouvy, a to na základě faktury vystavené </w:t>
      </w:r>
      <w:r w:rsidRPr="00310B7E">
        <w:rPr>
          <w:rFonts w:ascii="Verdana" w:hAnsi="Verdana"/>
          <w:sz w:val="20"/>
          <w:lang w:eastAsia="cs-CZ"/>
        </w:rPr>
        <w:lastRenderedPageBreak/>
        <w:t>prodávajícím v souladu s dodacím listem. Kupující je oprávněn pozdržet úhradu kupní ceny až do doby úplného odstranění všech vad zařízení.</w:t>
      </w:r>
    </w:p>
    <w:p w14:paraId="3CA8615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Splatnost faktury je do </w:t>
      </w:r>
      <w:r w:rsidRPr="00310B7E">
        <w:rPr>
          <w:rFonts w:ascii="Verdana" w:hAnsi="Verdana"/>
          <w:b/>
          <w:sz w:val="20"/>
          <w:lang w:eastAsia="cs-CZ"/>
        </w:rPr>
        <w:t>30 dnů</w:t>
      </w:r>
      <w:r w:rsidRPr="00310B7E">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V případě prodlení kupujícího s úhradou kupní ceny či její části je prodávající oprávněn požadovat zaplacení úroku z prodlení v souladu s ustanovením </w:t>
      </w:r>
      <w:r w:rsidR="00B71FE7" w:rsidRPr="00310B7E">
        <w:rPr>
          <w:rFonts w:ascii="Verdana" w:hAnsi="Verdana"/>
          <w:sz w:val="20"/>
          <w:lang w:eastAsia="cs-CZ"/>
        </w:rPr>
        <w:br/>
      </w:r>
      <w:r w:rsidRPr="00310B7E">
        <w:rPr>
          <w:rFonts w:ascii="Verdana" w:hAnsi="Verdana"/>
          <w:sz w:val="20"/>
          <w:lang w:eastAsia="cs-CZ"/>
        </w:rPr>
        <w:t>§ 1970 občanského zákoníku.</w:t>
      </w:r>
    </w:p>
    <w:p w14:paraId="7A4494F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14:paraId="5881A033"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Odpovědnost za vady, záruka za jakost</w:t>
      </w:r>
    </w:p>
    <w:p w14:paraId="7FEBAAE0" w14:textId="77777777"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Není-li uvedeno jinak, řídí se práva a povinnosti smluvních stran z vadného plnění příslušnými ustanoveními občanského zákoníku.</w:t>
      </w:r>
    </w:p>
    <w:p w14:paraId="0F07583A" w14:textId="77777777" w:rsidR="00BA5B0B" w:rsidRPr="00310B7E" w:rsidRDefault="00BA5B0B" w:rsidP="00BA5B0B">
      <w:pPr>
        <w:pStyle w:val="Nadpis2"/>
        <w:keepNext w:val="0"/>
        <w:spacing w:after="60"/>
        <w:jc w:val="both"/>
        <w:rPr>
          <w:rFonts w:ascii="Verdana" w:hAnsi="Verdana"/>
          <w:sz w:val="20"/>
          <w:lang w:eastAsia="cs-CZ"/>
        </w:rPr>
      </w:pPr>
      <w:r w:rsidRPr="0062161C">
        <w:rPr>
          <w:rFonts w:ascii="Verdana" w:hAnsi="Verdana"/>
          <w:sz w:val="20"/>
          <w:lang w:eastAsia="cs-CZ"/>
        </w:rPr>
        <w:t xml:space="preserve">Na dodané zařízení poskytuje prodávající záruku za jakost v délce </w:t>
      </w:r>
      <w:r w:rsidRPr="0062161C">
        <w:rPr>
          <w:rFonts w:ascii="Verdana" w:hAnsi="Verdana"/>
          <w:b/>
          <w:sz w:val="20"/>
          <w:lang w:eastAsia="cs-CZ"/>
        </w:rPr>
        <w:t>24 měsíců</w:t>
      </w:r>
      <w:r w:rsidRPr="0062161C">
        <w:rPr>
          <w:rFonts w:ascii="Verdana" w:hAnsi="Verdana"/>
          <w:sz w:val="20"/>
          <w:lang w:eastAsia="cs-CZ"/>
        </w:rPr>
        <w:t>.</w:t>
      </w:r>
      <w:r w:rsidRPr="00310B7E">
        <w:rPr>
          <w:rFonts w:ascii="Verdana" w:hAnsi="Verdana"/>
          <w:sz w:val="20"/>
          <w:lang w:eastAsia="cs-CZ"/>
        </w:rPr>
        <w:t xml:space="preserve">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záruční době se prodávající zavazuje k servisní reakci nejpozději do 48 hodin od oznámení vad kupujícím (písemně, emailem, faxem či telefonicky) a uvést zařízení do provozu nejpozději do dalších 48 hodin. Jestliže se prodávajícímu nepodaří zařízení uvést do provozu ve výše uvedené lhůtě, zavazuje se prodávající v záruční době zapůjčit kupujícímu do bezplatného užívání náhradní zařízení srovnatelných parametrů, a to po celou dobu nutné opravy.</w:t>
      </w:r>
    </w:p>
    <w:p w14:paraId="7FC5F52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Náklady spojené s odstraňováním vad zařízení, za které odpovídá prodávající, hradí v plné výši prodávající (cestovné, náhradní díly, materiál, apod.).</w:t>
      </w:r>
    </w:p>
    <w:p w14:paraId="1A84F07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2CF6043"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Servis</w:t>
      </w:r>
    </w:p>
    <w:p w14:paraId="76965172" w14:textId="5DF61B4C" w:rsidR="00537557" w:rsidRDefault="00537557" w:rsidP="00537557">
      <w:pPr>
        <w:pStyle w:val="Nadpis2"/>
        <w:keepNext w:val="0"/>
        <w:spacing w:after="60"/>
        <w:jc w:val="both"/>
        <w:rPr>
          <w:rFonts w:ascii="Verdana" w:hAnsi="Verdana"/>
          <w:sz w:val="20"/>
          <w:lang w:eastAsia="cs-CZ"/>
        </w:rPr>
      </w:pPr>
      <w:r w:rsidRPr="001729C2">
        <w:rPr>
          <w:rFonts w:ascii="Verdana" w:hAnsi="Verdana"/>
          <w:sz w:val="20"/>
          <w:lang w:eastAsia="cs-CZ"/>
        </w:rPr>
        <w:t>Prodávající se zavazuje zajišťovat v záruční době bezplatn</w:t>
      </w:r>
      <w:r>
        <w:rPr>
          <w:rFonts w:ascii="Verdana" w:hAnsi="Verdana"/>
          <w:sz w:val="20"/>
          <w:lang w:eastAsia="cs-CZ"/>
        </w:rPr>
        <w:t xml:space="preserve">ě servisní služby na zařízení, zahrnující </w:t>
      </w:r>
      <w:r w:rsidRPr="001729C2">
        <w:rPr>
          <w:rFonts w:ascii="Verdana" w:hAnsi="Verdana"/>
          <w:sz w:val="20"/>
          <w:lang w:eastAsia="cs-CZ"/>
        </w:rPr>
        <w:t xml:space="preserve">pravidelné bezpečnostně technické kontroly (PBTK) </w:t>
      </w:r>
      <w:r>
        <w:rPr>
          <w:rFonts w:ascii="Verdana" w:hAnsi="Verdana"/>
          <w:sz w:val="20"/>
          <w:lang w:eastAsia="cs-CZ"/>
        </w:rPr>
        <w:t xml:space="preserve">a případné další pravidelné technické prohlídky, revize či validace zařízení, a to v rozsahu stanoveném příslušnými </w:t>
      </w:r>
      <w:r w:rsidRPr="001729C2">
        <w:rPr>
          <w:rFonts w:ascii="Verdana" w:hAnsi="Verdana"/>
          <w:sz w:val="20"/>
          <w:lang w:eastAsia="cs-CZ"/>
        </w:rPr>
        <w:t>právní</w:t>
      </w:r>
      <w:r>
        <w:rPr>
          <w:rFonts w:ascii="Verdana" w:hAnsi="Verdana"/>
          <w:sz w:val="20"/>
          <w:lang w:eastAsia="cs-CZ"/>
        </w:rPr>
        <w:t xml:space="preserve">mi předpisy a </w:t>
      </w:r>
      <w:r w:rsidRPr="001729C2">
        <w:rPr>
          <w:rFonts w:ascii="Verdana" w:hAnsi="Verdana"/>
          <w:sz w:val="20"/>
          <w:lang w:eastAsia="cs-CZ"/>
        </w:rPr>
        <w:t>doporučení</w:t>
      </w:r>
      <w:r>
        <w:rPr>
          <w:rFonts w:ascii="Verdana" w:hAnsi="Verdana"/>
          <w:sz w:val="20"/>
          <w:lang w:eastAsia="cs-CZ"/>
        </w:rPr>
        <w:t>mi výrobce</w:t>
      </w:r>
      <w:r w:rsidR="001F0289">
        <w:rPr>
          <w:rFonts w:ascii="Verdana" w:hAnsi="Verdana"/>
          <w:sz w:val="20"/>
          <w:lang w:eastAsia="cs-CZ"/>
        </w:rPr>
        <w:t xml:space="preserve">. Prodávající se dále v záruční době zavazuje zajišťovat </w:t>
      </w:r>
      <w:r w:rsidR="001F0289" w:rsidRPr="001F0289">
        <w:rPr>
          <w:rFonts w:ascii="Verdana" w:hAnsi="Verdana"/>
          <w:sz w:val="20"/>
          <w:lang w:eastAsia="cs-CZ"/>
        </w:rPr>
        <w:t xml:space="preserve">poskytování servisní podpory k </w:t>
      </w:r>
      <w:r w:rsidR="001F0289">
        <w:rPr>
          <w:rFonts w:ascii="Verdana" w:hAnsi="Verdana"/>
          <w:sz w:val="20"/>
          <w:lang w:eastAsia="cs-CZ"/>
        </w:rPr>
        <w:t>zařízení</w:t>
      </w:r>
      <w:r w:rsidR="001F0289" w:rsidRPr="001F0289">
        <w:rPr>
          <w:rFonts w:ascii="Verdana" w:hAnsi="Verdana"/>
          <w:sz w:val="20"/>
          <w:lang w:eastAsia="cs-CZ"/>
        </w:rPr>
        <w:t xml:space="preserve"> (pravidelné aktualizace </w:t>
      </w:r>
      <w:r w:rsidR="001F0289">
        <w:rPr>
          <w:rFonts w:ascii="Verdana" w:hAnsi="Verdana"/>
          <w:sz w:val="20"/>
          <w:lang w:eastAsia="cs-CZ"/>
        </w:rPr>
        <w:t>softwaru</w:t>
      </w:r>
      <w:r w:rsidR="001F0289" w:rsidRPr="001F0289">
        <w:rPr>
          <w:rFonts w:ascii="Verdana" w:hAnsi="Verdana"/>
          <w:sz w:val="20"/>
          <w:lang w:eastAsia="cs-CZ"/>
        </w:rPr>
        <w:t xml:space="preserve"> a bezpečnostní aktualizace)</w:t>
      </w:r>
      <w:r w:rsidR="002C4A46">
        <w:rPr>
          <w:rFonts w:ascii="Verdana" w:hAnsi="Verdana"/>
          <w:sz w:val="20"/>
          <w:lang w:eastAsia="cs-CZ"/>
        </w:rPr>
        <w:t>.</w:t>
      </w:r>
    </w:p>
    <w:p w14:paraId="7FBF6CF5" w14:textId="75AC165F" w:rsidR="00537557" w:rsidRPr="00C66F95" w:rsidRDefault="00537557" w:rsidP="00537557">
      <w:pPr>
        <w:pStyle w:val="Nadpis2"/>
        <w:keepNext w:val="0"/>
        <w:spacing w:after="60"/>
        <w:jc w:val="both"/>
        <w:rPr>
          <w:rFonts w:ascii="Verdana" w:hAnsi="Verdana"/>
          <w:sz w:val="20"/>
          <w:lang w:eastAsia="cs-CZ"/>
        </w:rPr>
      </w:pPr>
      <w:r>
        <w:rPr>
          <w:rFonts w:ascii="Verdana" w:hAnsi="Verdana"/>
          <w:sz w:val="20"/>
          <w:lang w:eastAsia="cs-CZ"/>
        </w:rPr>
        <w:t xml:space="preserve">Prodávající se dále zavazuje zajišťovat po dobu 6 let </w:t>
      </w:r>
      <w:r w:rsidRPr="00C66F95">
        <w:rPr>
          <w:rFonts w:ascii="Verdana" w:hAnsi="Verdana"/>
          <w:sz w:val="20"/>
          <w:lang w:eastAsia="cs-CZ"/>
        </w:rPr>
        <w:t xml:space="preserve">ode dne uplynutí záruky za jakost </w:t>
      </w:r>
      <w:r>
        <w:rPr>
          <w:rFonts w:ascii="Verdana" w:hAnsi="Verdana"/>
          <w:sz w:val="20"/>
          <w:lang w:eastAsia="cs-CZ"/>
        </w:rPr>
        <w:t>servisní služby</w:t>
      </w:r>
      <w:r w:rsidRPr="00C66F95">
        <w:rPr>
          <w:rFonts w:ascii="Verdana" w:hAnsi="Verdana"/>
          <w:sz w:val="20"/>
          <w:lang w:eastAsia="cs-CZ"/>
        </w:rPr>
        <w:t xml:space="preserve"> </w:t>
      </w:r>
      <w:r>
        <w:rPr>
          <w:rFonts w:ascii="Verdana" w:hAnsi="Verdana"/>
          <w:sz w:val="20"/>
          <w:lang w:eastAsia="cs-CZ"/>
        </w:rPr>
        <w:t xml:space="preserve">na zařízení zahrnující pouze </w:t>
      </w:r>
      <w:r w:rsidRPr="001729C2">
        <w:rPr>
          <w:rFonts w:ascii="Verdana" w:hAnsi="Verdana"/>
          <w:sz w:val="20"/>
          <w:lang w:eastAsia="cs-CZ"/>
        </w:rPr>
        <w:t>pravideln</w:t>
      </w:r>
      <w:r>
        <w:rPr>
          <w:rFonts w:ascii="Verdana" w:hAnsi="Verdana"/>
          <w:sz w:val="20"/>
          <w:lang w:eastAsia="cs-CZ"/>
        </w:rPr>
        <w:t>é</w:t>
      </w:r>
      <w:r w:rsidRPr="001729C2">
        <w:rPr>
          <w:rFonts w:ascii="Verdana" w:hAnsi="Verdana"/>
          <w:sz w:val="20"/>
          <w:lang w:eastAsia="cs-CZ"/>
        </w:rPr>
        <w:t xml:space="preserve"> bezpečnostně technick</w:t>
      </w:r>
      <w:r>
        <w:rPr>
          <w:rFonts w:ascii="Verdana" w:hAnsi="Verdana"/>
          <w:sz w:val="20"/>
          <w:lang w:eastAsia="cs-CZ"/>
        </w:rPr>
        <w:t>é</w:t>
      </w:r>
      <w:r w:rsidRPr="001729C2">
        <w:rPr>
          <w:rFonts w:ascii="Verdana" w:hAnsi="Verdana"/>
          <w:sz w:val="20"/>
          <w:lang w:eastAsia="cs-CZ"/>
        </w:rPr>
        <w:t xml:space="preserve"> kontrol</w:t>
      </w:r>
      <w:r>
        <w:rPr>
          <w:rFonts w:ascii="Verdana" w:hAnsi="Verdana"/>
          <w:sz w:val="20"/>
          <w:lang w:eastAsia="cs-CZ"/>
        </w:rPr>
        <w:t>y</w:t>
      </w:r>
      <w:r w:rsidRPr="001729C2">
        <w:rPr>
          <w:rFonts w:ascii="Verdana" w:hAnsi="Verdana"/>
          <w:sz w:val="20"/>
          <w:lang w:eastAsia="cs-CZ"/>
        </w:rPr>
        <w:t xml:space="preserve"> </w:t>
      </w:r>
      <w:r w:rsidRPr="001729C2">
        <w:rPr>
          <w:rFonts w:ascii="Verdana" w:hAnsi="Verdana"/>
          <w:sz w:val="20"/>
          <w:lang w:eastAsia="cs-CZ"/>
        </w:rPr>
        <w:lastRenderedPageBreak/>
        <w:t>(PBTK)</w:t>
      </w:r>
      <w:r w:rsidR="001F0289">
        <w:rPr>
          <w:rFonts w:ascii="Verdana" w:hAnsi="Verdana"/>
          <w:sz w:val="20"/>
          <w:lang w:eastAsia="cs-CZ"/>
        </w:rPr>
        <w:t xml:space="preserve"> a </w:t>
      </w:r>
      <w:r w:rsidR="001F0289" w:rsidRPr="001F0289">
        <w:rPr>
          <w:rFonts w:ascii="Verdana" w:hAnsi="Verdana"/>
          <w:sz w:val="20"/>
          <w:lang w:eastAsia="cs-CZ"/>
        </w:rPr>
        <w:t xml:space="preserve">poskytování servisní podpory k </w:t>
      </w:r>
      <w:r w:rsidR="001F0289">
        <w:rPr>
          <w:rFonts w:ascii="Verdana" w:hAnsi="Verdana"/>
          <w:sz w:val="20"/>
          <w:lang w:eastAsia="cs-CZ"/>
        </w:rPr>
        <w:t>zařízení</w:t>
      </w:r>
      <w:r w:rsidR="001F0289" w:rsidRPr="001F0289">
        <w:rPr>
          <w:rFonts w:ascii="Verdana" w:hAnsi="Verdana"/>
          <w:sz w:val="20"/>
          <w:lang w:eastAsia="cs-CZ"/>
        </w:rPr>
        <w:t xml:space="preserve"> (pravidelné aktualizace </w:t>
      </w:r>
      <w:r w:rsidR="001F0289">
        <w:rPr>
          <w:rFonts w:ascii="Verdana" w:hAnsi="Verdana"/>
          <w:sz w:val="20"/>
          <w:lang w:eastAsia="cs-CZ"/>
        </w:rPr>
        <w:t>softwaru</w:t>
      </w:r>
      <w:r w:rsidR="001F0289" w:rsidRPr="001F0289">
        <w:rPr>
          <w:rFonts w:ascii="Verdana" w:hAnsi="Verdana"/>
          <w:sz w:val="20"/>
          <w:lang w:eastAsia="cs-CZ"/>
        </w:rPr>
        <w:t xml:space="preserve"> a bezpečnostní aktualizace</w:t>
      </w:r>
      <w:r w:rsidR="00A16FE7">
        <w:rPr>
          <w:rFonts w:ascii="Verdana" w:hAnsi="Verdana"/>
          <w:sz w:val="20"/>
          <w:lang w:eastAsia="cs-CZ"/>
        </w:rPr>
        <w:t xml:space="preserve"> bez zbytečného odkladu po jejich vydání</w:t>
      </w:r>
      <w:r w:rsidR="001F0289" w:rsidRPr="001F0289">
        <w:rPr>
          <w:rFonts w:ascii="Verdana" w:hAnsi="Verdana"/>
          <w:sz w:val="20"/>
          <w:lang w:eastAsia="cs-CZ"/>
        </w:rPr>
        <w:t>)</w:t>
      </w:r>
      <w:r>
        <w:rPr>
          <w:rFonts w:ascii="Verdana" w:hAnsi="Verdana"/>
          <w:sz w:val="20"/>
          <w:lang w:eastAsia="cs-CZ"/>
        </w:rPr>
        <w:t xml:space="preserve">, a to </w:t>
      </w:r>
      <w:r w:rsidRPr="00C66F95">
        <w:rPr>
          <w:rFonts w:ascii="Verdana" w:hAnsi="Verdana"/>
          <w:sz w:val="20"/>
          <w:lang w:eastAsia="cs-CZ"/>
        </w:rPr>
        <w:t xml:space="preserve">za paušální úhradu </w:t>
      </w:r>
      <w:r w:rsidRPr="00117892">
        <w:rPr>
          <w:rFonts w:ascii="Verdana" w:hAnsi="Verdana"/>
          <w:sz w:val="20"/>
          <w:lang w:eastAsia="cs-CZ"/>
        </w:rPr>
        <w:t xml:space="preserve">ve výši </w:t>
      </w:r>
      <w:r w:rsidR="00117892" w:rsidRPr="00C06212">
        <w:rPr>
          <w:rFonts w:ascii="Verdana" w:hAnsi="Verdana"/>
          <w:b/>
          <w:bCs/>
          <w:sz w:val="20"/>
          <w:lang w:eastAsia="cs-CZ"/>
        </w:rPr>
        <w:t>28.000,-</w:t>
      </w:r>
      <w:r w:rsidRPr="00C06212">
        <w:rPr>
          <w:rFonts w:ascii="Verdana" w:hAnsi="Verdana"/>
          <w:b/>
          <w:bCs/>
          <w:sz w:val="20"/>
          <w:lang w:eastAsia="cs-CZ"/>
        </w:rPr>
        <w:t xml:space="preserve"> Kč ročně</w:t>
      </w:r>
      <w:r w:rsidRPr="00117892">
        <w:rPr>
          <w:rFonts w:ascii="Verdana" w:hAnsi="Verdana"/>
          <w:sz w:val="20"/>
          <w:lang w:eastAsia="cs-CZ"/>
        </w:rPr>
        <w:t>. Tato částka zahrnuje veškeré náklady spojené s prováděním</w:t>
      </w:r>
      <w:r w:rsidRPr="00C66F95">
        <w:rPr>
          <w:rFonts w:ascii="Verdana" w:hAnsi="Verdana"/>
          <w:sz w:val="20"/>
          <w:lang w:eastAsia="cs-CZ"/>
        </w:rPr>
        <w:t xml:space="preserve"> </w:t>
      </w:r>
      <w:r>
        <w:rPr>
          <w:rFonts w:ascii="Verdana" w:hAnsi="Verdana"/>
          <w:sz w:val="20"/>
          <w:lang w:eastAsia="cs-CZ"/>
        </w:rPr>
        <w:t>těchto servisních služeb</w:t>
      </w:r>
      <w:r w:rsidRPr="00C66F95">
        <w:rPr>
          <w:rFonts w:ascii="Verdana" w:hAnsi="Verdana"/>
          <w:sz w:val="20"/>
          <w:lang w:eastAsia="cs-CZ"/>
        </w:rPr>
        <w:t xml:space="preserve"> včetně práce technika, dopravy a </w:t>
      </w:r>
      <w:r>
        <w:rPr>
          <w:rFonts w:ascii="Verdana" w:hAnsi="Verdana"/>
          <w:sz w:val="20"/>
          <w:lang w:eastAsia="cs-CZ"/>
        </w:rPr>
        <w:t>ztrátového času na cestě</w:t>
      </w:r>
      <w:r w:rsidRPr="00C66F95">
        <w:rPr>
          <w:rFonts w:ascii="Verdana" w:hAnsi="Verdana"/>
          <w:sz w:val="20"/>
          <w:lang w:eastAsia="cs-CZ"/>
        </w:rPr>
        <w:t xml:space="preserve">. </w:t>
      </w:r>
    </w:p>
    <w:p w14:paraId="6DC3FE98" w14:textId="77777777" w:rsidR="00537557" w:rsidRDefault="00537557" w:rsidP="00537557">
      <w:pPr>
        <w:pStyle w:val="Nadpis2"/>
        <w:keepNext w:val="0"/>
        <w:spacing w:after="60"/>
        <w:jc w:val="both"/>
        <w:rPr>
          <w:rFonts w:ascii="Verdana" w:hAnsi="Verdana"/>
          <w:sz w:val="20"/>
          <w:lang w:eastAsia="cs-CZ"/>
        </w:rPr>
      </w:pPr>
      <w:r>
        <w:rPr>
          <w:rFonts w:ascii="Verdana" w:hAnsi="Verdana"/>
          <w:sz w:val="20"/>
          <w:lang w:eastAsia="cs-CZ"/>
        </w:rPr>
        <w:t>Prodávající se dále zavazuje zajišťovat po dobu 8 let od dodání zařízení mimozáruční servis zařízení, včetně oprav zařízení, či dodávek náhradních dílů.</w:t>
      </w:r>
    </w:p>
    <w:p w14:paraId="130AF659" w14:textId="77777777" w:rsidR="00537557" w:rsidRDefault="00537557" w:rsidP="00537557">
      <w:pPr>
        <w:pStyle w:val="Nadpis2"/>
        <w:keepNext w:val="0"/>
        <w:spacing w:after="60"/>
        <w:jc w:val="both"/>
        <w:rPr>
          <w:rFonts w:ascii="Verdana" w:hAnsi="Verdana"/>
          <w:sz w:val="20"/>
          <w:lang w:eastAsia="cs-CZ"/>
        </w:rPr>
      </w:pPr>
      <w:r>
        <w:rPr>
          <w:rFonts w:ascii="Verdana" w:hAnsi="Verdana"/>
          <w:sz w:val="20"/>
          <w:lang w:eastAsia="cs-CZ"/>
        </w:rPr>
        <w:t>Cena za provádění mimozáručního servisu není zahrnuta v ceně zařízení a bude hrazena kupujícím samostatně. Splatnost faktur</w:t>
      </w:r>
      <w:r w:rsidRPr="002B5AA8">
        <w:rPr>
          <w:rFonts w:ascii="Verdana" w:hAnsi="Verdana"/>
          <w:sz w:val="20"/>
          <w:lang w:eastAsia="cs-CZ"/>
        </w:rPr>
        <w:t xml:space="preserve"> za </w:t>
      </w:r>
      <w:r>
        <w:rPr>
          <w:rFonts w:ascii="Verdana" w:hAnsi="Verdana"/>
          <w:sz w:val="20"/>
          <w:lang w:eastAsia="cs-CZ"/>
        </w:rPr>
        <w:t xml:space="preserve">provádění mimozáručního servisu zařízení je do </w:t>
      </w:r>
      <w:r w:rsidRPr="002B5AA8">
        <w:rPr>
          <w:rFonts w:ascii="Verdana" w:hAnsi="Verdana"/>
          <w:sz w:val="20"/>
          <w:lang w:eastAsia="cs-CZ"/>
        </w:rPr>
        <w:t>30 dnů od jejího doručení kupujícímu.</w:t>
      </w:r>
    </w:p>
    <w:p w14:paraId="269961D1" w14:textId="77777777" w:rsidR="00537557" w:rsidRPr="00DB44C2" w:rsidRDefault="00537557" w:rsidP="00537557">
      <w:pPr>
        <w:pStyle w:val="Nadpis2"/>
        <w:keepNext w:val="0"/>
        <w:spacing w:after="60"/>
        <w:jc w:val="both"/>
        <w:rPr>
          <w:rFonts w:ascii="Verdana" w:hAnsi="Verdana"/>
          <w:sz w:val="20"/>
          <w:lang w:eastAsia="cs-CZ"/>
        </w:rPr>
      </w:pPr>
      <w:r>
        <w:rPr>
          <w:rFonts w:ascii="Verdana" w:hAnsi="Verdana"/>
          <w:sz w:val="20"/>
          <w:lang w:eastAsia="cs-CZ"/>
        </w:rPr>
        <w:t>O p</w:t>
      </w:r>
      <w:r w:rsidRPr="00DB44C2">
        <w:rPr>
          <w:rFonts w:ascii="Verdana" w:hAnsi="Verdana"/>
          <w:sz w:val="20"/>
          <w:lang w:eastAsia="cs-CZ"/>
        </w:rPr>
        <w:t>rovedené</w:t>
      </w:r>
      <w:r>
        <w:rPr>
          <w:rFonts w:ascii="Verdana" w:hAnsi="Verdana"/>
          <w:sz w:val="20"/>
          <w:lang w:eastAsia="cs-CZ"/>
        </w:rPr>
        <w:t xml:space="preserve"> servisní službě </w:t>
      </w:r>
      <w:r w:rsidRPr="00DB44C2">
        <w:rPr>
          <w:rFonts w:ascii="Verdana" w:hAnsi="Verdana"/>
          <w:sz w:val="20"/>
          <w:lang w:eastAsia="cs-CZ"/>
        </w:rPr>
        <w:t xml:space="preserve">bude vyhotoven písemný záznam (servisní list) </w:t>
      </w:r>
      <w:r>
        <w:rPr>
          <w:rFonts w:ascii="Verdana" w:hAnsi="Verdana"/>
          <w:sz w:val="20"/>
          <w:lang w:eastAsia="cs-CZ"/>
        </w:rPr>
        <w:t>potvrzený zástupci obou smluvních stran. Součástí servisního listu bude popis poskytnutých servisních služeb a soupis případně použitých náhradních dílů.</w:t>
      </w:r>
    </w:p>
    <w:p w14:paraId="7C286892"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kupujícího je:</w:t>
      </w:r>
    </w:p>
    <w:p w14:paraId="3540A56C" w14:textId="1734CF93"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0C16E7CB" w14:textId="57EF6CFB"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65C71C21" w14:textId="2AC80EE0"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228EFF79"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prodávajícího je:</w:t>
      </w:r>
    </w:p>
    <w:p w14:paraId="62EB847F" w14:textId="157B0052" w:rsidR="00BA5B0B" w:rsidRPr="00117892" w:rsidRDefault="00BA5B0B" w:rsidP="00BA5B0B">
      <w:pPr>
        <w:pStyle w:val="Nadpis2"/>
        <w:keepNext w:val="0"/>
        <w:numPr>
          <w:ilvl w:val="0"/>
          <w:numId w:val="0"/>
        </w:numPr>
        <w:spacing w:after="60"/>
        <w:ind w:left="567"/>
        <w:jc w:val="both"/>
        <w:rPr>
          <w:rFonts w:ascii="Verdana" w:hAnsi="Verdana"/>
          <w:sz w:val="20"/>
          <w:lang w:eastAsia="cs-CZ"/>
        </w:rPr>
      </w:pPr>
      <w:r w:rsidRPr="00117892">
        <w:rPr>
          <w:rFonts w:ascii="Verdana" w:hAnsi="Verdana"/>
          <w:sz w:val="20"/>
          <w:lang w:eastAsia="cs-CZ"/>
        </w:rPr>
        <w:t>Jméno a příjmení:</w:t>
      </w:r>
      <w:r w:rsidRPr="00117892">
        <w:rPr>
          <w:rFonts w:ascii="Verdana" w:hAnsi="Verdana"/>
          <w:sz w:val="20"/>
          <w:lang w:eastAsia="cs-CZ"/>
        </w:rPr>
        <w:tab/>
      </w:r>
    </w:p>
    <w:p w14:paraId="0046D72E" w14:textId="6237E5E2" w:rsidR="00BA5B0B" w:rsidRPr="00117892" w:rsidRDefault="00BA5B0B" w:rsidP="00BA5B0B">
      <w:pPr>
        <w:pStyle w:val="Nadpis2"/>
        <w:keepNext w:val="0"/>
        <w:numPr>
          <w:ilvl w:val="0"/>
          <w:numId w:val="0"/>
        </w:numPr>
        <w:spacing w:after="60"/>
        <w:ind w:left="567"/>
        <w:jc w:val="both"/>
        <w:rPr>
          <w:rFonts w:ascii="Verdana" w:hAnsi="Verdana"/>
          <w:sz w:val="20"/>
          <w:lang w:eastAsia="cs-CZ"/>
        </w:rPr>
      </w:pPr>
      <w:r w:rsidRPr="00117892">
        <w:rPr>
          <w:rFonts w:ascii="Verdana" w:hAnsi="Verdana"/>
          <w:sz w:val="20"/>
          <w:lang w:eastAsia="cs-CZ"/>
        </w:rPr>
        <w:t>tel:</w:t>
      </w:r>
      <w:r w:rsidRPr="00117892">
        <w:rPr>
          <w:rFonts w:ascii="Verdana" w:hAnsi="Verdana"/>
          <w:sz w:val="20"/>
          <w:lang w:eastAsia="cs-CZ"/>
        </w:rPr>
        <w:tab/>
      </w:r>
      <w:r w:rsidRPr="00117892">
        <w:rPr>
          <w:rFonts w:ascii="Verdana" w:hAnsi="Verdana"/>
          <w:sz w:val="20"/>
          <w:lang w:eastAsia="cs-CZ"/>
        </w:rPr>
        <w:tab/>
      </w:r>
      <w:r w:rsidRPr="00117892">
        <w:rPr>
          <w:rFonts w:ascii="Verdana" w:hAnsi="Verdana"/>
          <w:sz w:val="20"/>
          <w:lang w:eastAsia="cs-CZ"/>
        </w:rPr>
        <w:tab/>
      </w:r>
    </w:p>
    <w:p w14:paraId="38B9A76C" w14:textId="79E85CAA"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117892">
        <w:rPr>
          <w:rFonts w:ascii="Verdana" w:hAnsi="Verdana"/>
          <w:sz w:val="20"/>
          <w:lang w:eastAsia="cs-CZ"/>
        </w:rPr>
        <w:t>email:</w:t>
      </w:r>
      <w:r w:rsidRPr="00117892">
        <w:rPr>
          <w:rFonts w:ascii="Verdana" w:hAnsi="Verdana"/>
          <w:sz w:val="20"/>
          <w:lang w:eastAsia="cs-CZ"/>
        </w:rPr>
        <w:tab/>
      </w:r>
      <w:r w:rsidRPr="00117892">
        <w:rPr>
          <w:rFonts w:ascii="Verdana" w:hAnsi="Verdana"/>
          <w:sz w:val="20"/>
          <w:lang w:eastAsia="cs-CZ"/>
        </w:rPr>
        <w:tab/>
      </w:r>
      <w:r w:rsidRPr="00117892">
        <w:rPr>
          <w:rFonts w:ascii="Verdana" w:hAnsi="Verdana"/>
          <w:sz w:val="20"/>
          <w:lang w:eastAsia="cs-CZ"/>
        </w:rPr>
        <w:tab/>
      </w:r>
    </w:p>
    <w:p w14:paraId="4558BE6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Ke změně údajů o kontaktních osobách postačí písemné oznámení doručené druhé smluvní straně.</w:t>
      </w:r>
    </w:p>
    <w:p w14:paraId="72B5F2DF"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Obecná ustanovení</w:t>
      </w:r>
    </w:p>
    <w:p w14:paraId="49333F09" w14:textId="4F6B90D6" w:rsidR="00BA5B0B" w:rsidRPr="00310B7E" w:rsidRDefault="00BA5B0B" w:rsidP="00670EF8">
      <w:pPr>
        <w:pStyle w:val="Nadpis2"/>
        <w:keepNext w:val="0"/>
        <w:spacing w:after="60"/>
        <w:jc w:val="both"/>
        <w:rPr>
          <w:rFonts w:ascii="Verdana" w:hAnsi="Verdana"/>
          <w:sz w:val="20"/>
        </w:rPr>
      </w:pPr>
      <w:r w:rsidRPr="00310B7E">
        <w:rPr>
          <w:rFonts w:ascii="Verdana" w:hAnsi="Verdana"/>
          <w:sz w:val="20"/>
        </w:rPr>
        <w:t>Smluvní strany se zavazují zachovávat mlčenlivost o všech skutečnostech, o kterých se dozvěděl</w:t>
      </w:r>
      <w:r w:rsidR="00205A65" w:rsidRPr="00310B7E">
        <w:rPr>
          <w:rFonts w:ascii="Verdana" w:hAnsi="Verdana"/>
          <w:sz w:val="20"/>
        </w:rPr>
        <w:t>y</w:t>
      </w:r>
      <w:r w:rsidRPr="00310B7E">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prodlení prodávajícího s plněním závazků dle této smlouvy je prodávající povinen každý den prodlení zaplatit kupujícímu smluvní pokutu ve výši 0,05% z kupní ceny zařízení bez DPH, kterého se prodlení týká. Zaplacením smluvní pokuty není dotčen nárok kupujícího na náhradu škody v plné výši.</w:t>
      </w:r>
    </w:p>
    <w:p w14:paraId="4E394C9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50.000,- Kč za každý jednotlivý případ porušení.</w:t>
      </w:r>
    </w:p>
    <w:p w14:paraId="06E4E861" w14:textId="29D4A4DA" w:rsidR="0038078B" w:rsidRPr="00537557" w:rsidRDefault="00BA5B0B" w:rsidP="00E879C9">
      <w:pPr>
        <w:pStyle w:val="Nadpis2"/>
        <w:keepNext w:val="0"/>
        <w:spacing w:after="60"/>
        <w:jc w:val="both"/>
        <w:rPr>
          <w:rFonts w:ascii="Verdana" w:hAnsi="Verdana"/>
          <w:sz w:val="20"/>
          <w:lang w:eastAsia="cs-CZ"/>
        </w:rPr>
      </w:pPr>
      <w:r w:rsidRPr="00310B7E">
        <w:rPr>
          <w:rFonts w:ascii="Verdana" w:hAnsi="Verdana"/>
          <w:sz w:val="20"/>
          <w:lang w:eastAsia="cs-CZ"/>
        </w:rPr>
        <w:lastRenderedPageBreak/>
        <w:t>Prodávající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zařízení nebo služeb z veřejných výdajů nebo z veřejné finanční podpory.</w:t>
      </w:r>
    </w:p>
    <w:p w14:paraId="4DE6F2D5"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Závěrečná ustanovení</w:t>
      </w:r>
    </w:p>
    <w:p w14:paraId="2FFEBCC8" w14:textId="77777777" w:rsidR="00BA5B0B" w:rsidRPr="00310B7E" w:rsidRDefault="00BA5B0B" w:rsidP="00670EF8">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Jakékoli změny a doplňky této smlouvy jsou možné pouze ve formě písemných, podepsaných oprávněnými zástupci obou smluvních stran. Smluvní strany vylučují změnu této smlouvy jinou formou.</w:t>
      </w:r>
    </w:p>
    <w:p w14:paraId="552E99E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nabývá platnosti dnem jejího podpisu a účinnosti dnem uveřejnění v registru smluv.</w:t>
      </w:r>
    </w:p>
    <w:p w14:paraId="77D380A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310B7E" w:rsidRDefault="00BA5B0B" w:rsidP="00BA5B0B">
      <w:pPr>
        <w:tabs>
          <w:tab w:val="left" w:pos="567"/>
        </w:tabs>
        <w:spacing w:after="0" w:line="240" w:lineRule="auto"/>
        <w:jc w:val="both"/>
        <w:rPr>
          <w:snapToGrid w:val="0"/>
          <w:sz w:val="20"/>
          <w:szCs w:val="20"/>
          <w:lang w:eastAsia="cs-CZ"/>
        </w:rPr>
      </w:pPr>
    </w:p>
    <w:p w14:paraId="195594F1" w14:textId="77777777" w:rsidR="00BA5B0B" w:rsidRPr="00310B7E" w:rsidRDefault="00BA5B0B" w:rsidP="00BA5B0B">
      <w:pPr>
        <w:tabs>
          <w:tab w:val="left" w:pos="567"/>
        </w:tabs>
        <w:spacing w:after="0" w:line="240" w:lineRule="auto"/>
        <w:jc w:val="both"/>
        <w:rPr>
          <w:snapToGrid w:val="0"/>
          <w:sz w:val="20"/>
          <w:szCs w:val="20"/>
          <w:lang w:eastAsia="cs-CZ"/>
        </w:rPr>
      </w:pPr>
      <w:r w:rsidRPr="00310B7E">
        <w:rPr>
          <w:snapToGrid w:val="0"/>
          <w:sz w:val="20"/>
          <w:szCs w:val="20"/>
          <w:lang w:eastAsia="cs-CZ"/>
        </w:rPr>
        <w:t>Přílohy</w:t>
      </w:r>
    </w:p>
    <w:p w14:paraId="033FA8D0" w14:textId="4BD92FB3" w:rsidR="00BA5B0B" w:rsidRPr="00310B7E"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310B7E">
        <w:rPr>
          <w:snapToGrid w:val="0"/>
          <w:sz w:val="20"/>
          <w:szCs w:val="20"/>
          <w:lang w:eastAsia="cs-CZ"/>
        </w:rPr>
        <w:t>technická specifikace zařízení</w:t>
      </w:r>
    </w:p>
    <w:p w14:paraId="22506946" w14:textId="77777777" w:rsidR="00BA5B0B" w:rsidRPr="0062161C"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62161C">
        <w:rPr>
          <w:snapToGrid w:val="0"/>
          <w:sz w:val="20"/>
          <w:szCs w:val="20"/>
          <w:lang w:eastAsia="cs-CZ"/>
        </w:rPr>
        <w:t>seznam poddodavatelů / čestné prohlášení o nevyužití poddodavatele</w:t>
      </w:r>
    </w:p>
    <w:p w14:paraId="0A520C39" w14:textId="77777777" w:rsidR="00BA5B0B" w:rsidRPr="00310B7E" w:rsidRDefault="00BA5B0B" w:rsidP="00BA5B0B">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310B7E" w14:paraId="1E3038EF" w14:textId="77777777" w:rsidTr="00C07CE2">
        <w:trPr>
          <w:jc w:val="center"/>
        </w:trPr>
        <w:tc>
          <w:tcPr>
            <w:tcW w:w="4535" w:type="dxa"/>
          </w:tcPr>
          <w:p w14:paraId="3D15B90B" w14:textId="43BE7516" w:rsidR="00BA5B0B" w:rsidRPr="00117892" w:rsidRDefault="00BA5B0B" w:rsidP="003E2A0C">
            <w:pPr>
              <w:spacing w:after="0" w:line="240" w:lineRule="auto"/>
              <w:rPr>
                <w:sz w:val="20"/>
                <w:szCs w:val="20"/>
                <w:lang w:eastAsia="cs-CZ"/>
              </w:rPr>
            </w:pPr>
            <w:r w:rsidRPr="00117892">
              <w:rPr>
                <w:sz w:val="20"/>
                <w:szCs w:val="20"/>
                <w:lang w:eastAsia="cs-CZ"/>
              </w:rPr>
              <w:t>V </w:t>
            </w:r>
            <w:r w:rsidR="00117892" w:rsidRPr="00117892">
              <w:rPr>
                <w:sz w:val="20"/>
                <w:szCs w:val="20"/>
                <w:lang w:eastAsia="cs-CZ"/>
              </w:rPr>
              <w:t>Praze</w:t>
            </w:r>
            <w:r w:rsidRPr="00117892">
              <w:rPr>
                <w:sz w:val="20"/>
                <w:szCs w:val="20"/>
                <w:lang w:eastAsia="cs-CZ"/>
              </w:rPr>
              <w:t xml:space="preserve"> dne _______________</w:t>
            </w:r>
          </w:p>
        </w:tc>
        <w:tc>
          <w:tcPr>
            <w:tcW w:w="4535" w:type="dxa"/>
          </w:tcPr>
          <w:p w14:paraId="0568BD3B" w14:textId="77777777" w:rsidR="00BA5B0B" w:rsidRPr="00310B7E" w:rsidRDefault="00BA5B0B" w:rsidP="003E2A0C">
            <w:pPr>
              <w:spacing w:after="0" w:line="240" w:lineRule="auto"/>
              <w:rPr>
                <w:sz w:val="20"/>
                <w:szCs w:val="20"/>
                <w:lang w:eastAsia="cs-CZ"/>
              </w:rPr>
            </w:pPr>
            <w:r w:rsidRPr="00117892">
              <w:rPr>
                <w:sz w:val="20"/>
                <w:szCs w:val="20"/>
                <w:lang w:eastAsia="cs-CZ"/>
              </w:rPr>
              <w:t>V Mladé Boleslavi dne ________________</w:t>
            </w:r>
          </w:p>
        </w:tc>
      </w:tr>
      <w:tr w:rsidR="00BA5B0B" w:rsidRPr="00310B7E" w14:paraId="4F7138A5" w14:textId="77777777" w:rsidTr="00C07CE2">
        <w:trPr>
          <w:trHeight w:val="120"/>
          <w:jc w:val="center"/>
        </w:trPr>
        <w:tc>
          <w:tcPr>
            <w:tcW w:w="4535" w:type="dxa"/>
          </w:tcPr>
          <w:p w14:paraId="3B04DAA7" w14:textId="77777777" w:rsidR="00BA5B0B" w:rsidRPr="00310B7E" w:rsidRDefault="00BA5B0B" w:rsidP="003E2A0C">
            <w:pPr>
              <w:spacing w:after="0" w:line="240" w:lineRule="auto"/>
              <w:jc w:val="center"/>
              <w:rPr>
                <w:sz w:val="20"/>
                <w:szCs w:val="20"/>
                <w:lang w:eastAsia="cs-CZ"/>
              </w:rPr>
            </w:pPr>
          </w:p>
          <w:p w14:paraId="3049CCA5" w14:textId="77777777" w:rsidR="00BA5B0B" w:rsidRPr="00310B7E" w:rsidRDefault="00BA5B0B" w:rsidP="00537557">
            <w:pPr>
              <w:spacing w:after="0" w:line="240" w:lineRule="auto"/>
              <w:rPr>
                <w:sz w:val="20"/>
                <w:szCs w:val="20"/>
                <w:lang w:eastAsia="cs-CZ"/>
              </w:rPr>
            </w:pPr>
          </w:p>
          <w:p w14:paraId="7CC6D600" w14:textId="77777777" w:rsidR="00AE6EE7" w:rsidRPr="00310B7E" w:rsidRDefault="00AE6EE7" w:rsidP="003E2A0C">
            <w:pPr>
              <w:spacing w:after="0" w:line="240" w:lineRule="auto"/>
              <w:jc w:val="center"/>
              <w:rPr>
                <w:sz w:val="20"/>
                <w:szCs w:val="20"/>
                <w:lang w:eastAsia="cs-CZ"/>
              </w:rPr>
            </w:pPr>
          </w:p>
          <w:p w14:paraId="1A3CA272"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w:t>
            </w:r>
          </w:p>
          <w:p w14:paraId="0519BC0E" w14:textId="77777777" w:rsidR="00BA5B0B" w:rsidRDefault="00117892" w:rsidP="003E2A0C">
            <w:pPr>
              <w:spacing w:after="0" w:line="240" w:lineRule="auto"/>
              <w:jc w:val="center"/>
              <w:rPr>
                <w:b/>
                <w:sz w:val="20"/>
                <w:szCs w:val="20"/>
                <w:lang w:eastAsia="cs-CZ"/>
              </w:rPr>
            </w:pPr>
            <w:r>
              <w:rPr>
                <w:b/>
                <w:sz w:val="20"/>
                <w:szCs w:val="20"/>
                <w:lang w:eastAsia="cs-CZ"/>
              </w:rPr>
              <w:t>CHEIRÓN a.s.</w:t>
            </w:r>
          </w:p>
          <w:p w14:paraId="4A4B5C6F" w14:textId="44AF536B" w:rsidR="00117892" w:rsidRPr="00117892" w:rsidRDefault="00117892" w:rsidP="003E2A0C">
            <w:pPr>
              <w:spacing w:after="0" w:line="240" w:lineRule="auto"/>
              <w:jc w:val="center"/>
              <w:rPr>
                <w:bCs/>
                <w:sz w:val="20"/>
                <w:szCs w:val="20"/>
                <w:lang w:eastAsia="cs-CZ"/>
              </w:rPr>
            </w:pPr>
            <w:r w:rsidRPr="00117892">
              <w:rPr>
                <w:bCs/>
                <w:sz w:val="20"/>
                <w:szCs w:val="20"/>
                <w:lang w:eastAsia="cs-CZ"/>
              </w:rPr>
              <w:t>Ing. Jindřich Petřík</w:t>
            </w:r>
            <w:r>
              <w:rPr>
                <w:bCs/>
                <w:sz w:val="20"/>
                <w:szCs w:val="20"/>
                <w:lang w:eastAsia="cs-CZ"/>
              </w:rPr>
              <w:t>, MBA</w:t>
            </w:r>
          </w:p>
          <w:p w14:paraId="2330B45A" w14:textId="055EE096" w:rsidR="00117892" w:rsidRPr="00310B7E" w:rsidRDefault="00117892" w:rsidP="003E2A0C">
            <w:pPr>
              <w:spacing w:after="0" w:line="240" w:lineRule="auto"/>
              <w:jc w:val="center"/>
              <w:rPr>
                <w:b/>
                <w:sz w:val="20"/>
                <w:szCs w:val="20"/>
                <w:lang w:eastAsia="cs-CZ"/>
              </w:rPr>
            </w:pPr>
            <w:r w:rsidRPr="00117892">
              <w:rPr>
                <w:bCs/>
                <w:sz w:val="20"/>
                <w:szCs w:val="20"/>
                <w:lang w:eastAsia="cs-CZ"/>
              </w:rPr>
              <w:t>člen představenstva</w:t>
            </w:r>
          </w:p>
        </w:tc>
        <w:tc>
          <w:tcPr>
            <w:tcW w:w="4535" w:type="dxa"/>
          </w:tcPr>
          <w:p w14:paraId="1E83985F" w14:textId="77777777" w:rsidR="00BA5B0B" w:rsidRPr="00310B7E" w:rsidRDefault="00BA5B0B" w:rsidP="003E2A0C">
            <w:pPr>
              <w:spacing w:after="0" w:line="240" w:lineRule="auto"/>
              <w:jc w:val="center"/>
              <w:rPr>
                <w:sz w:val="20"/>
                <w:szCs w:val="20"/>
                <w:lang w:eastAsia="cs-CZ"/>
              </w:rPr>
            </w:pPr>
          </w:p>
          <w:p w14:paraId="77C3894B" w14:textId="77777777" w:rsidR="00BA5B0B" w:rsidRPr="00310B7E" w:rsidRDefault="00BA5B0B" w:rsidP="003E2A0C">
            <w:pPr>
              <w:spacing w:after="0" w:line="240" w:lineRule="auto"/>
              <w:jc w:val="center"/>
              <w:rPr>
                <w:sz w:val="20"/>
                <w:szCs w:val="20"/>
                <w:lang w:eastAsia="cs-CZ"/>
              </w:rPr>
            </w:pPr>
          </w:p>
          <w:p w14:paraId="1658DFC2" w14:textId="77777777" w:rsidR="00C07CE2" w:rsidRPr="00310B7E" w:rsidRDefault="00C07CE2" w:rsidP="00537557">
            <w:pPr>
              <w:spacing w:after="0" w:line="240" w:lineRule="auto"/>
              <w:rPr>
                <w:sz w:val="20"/>
                <w:szCs w:val="20"/>
                <w:lang w:eastAsia="cs-CZ"/>
              </w:rPr>
            </w:pPr>
          </w:p>
          <w:p w14:paraId="290D1749"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w:t>
            </w:r>
          </w:p>
          <w:p w14:paraId="7643147F" w14:textId="77777777" w:rsidR="00BA5B0B" w:rsidRPr="00310B7E" w:rsidRDefault="00BA5B0B" w:rsidP="003E2A0C">
            <w:pPr>
              <w:spacing w:after="0" w:line="240" w:lineRule="auto"/>
              <w:jc w:val="center"/>
              <w:rPr>
                <w:b/>
                <w:sz w:val="20"/>
                <w:szCs w:val="20"/>
                <w:lang w:eastAsia="cs-CZ"/>
              </w:rPr>
            </w:pPr>
            <w:r w:rsidRPr="00310B7E">
              <w:rPr>
                <w:b/>
                <w:sz w:val="20"/>
                <w:szCs w:val="20"/>
                <w:lang w:eastAsia="cs-CZ"/>
              </w:rPr>
              <w:t>Oblastní nemocnice Mladá Boleslav, a.s., nemocnice Středočeského kraje</w:t>
            </w:r>
          </w:p>
          <w:p w14:paraId="06764932"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JUDr. Ladislav Řípa</w:t>
            </w:r>
          </w:p>
          <w:p w14:paraId="02E2BCCA"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předseda představenstva</w:t>
            </w:r>
          </w:p>
        </w:tc>
      </w:tr>
      <w:tr w:rsidR="00BA5B0B" w:rsidRPr="00310B7E" w14:paraId="7E9CC1FF" w14:textId="77777777" w:rsidTr="00C07CE2">
        <w:trPr>
          <w:trHeight w:val="120"/>
          <w:jc w:val="center"/>
        </w:trPr>
        <w:tc>
          <w:tcPr>
            <w:tcW w:w="4535" w:type="dxa"/>
          </w:tcPr>
          <w:p w14:paraId="4596F2AD" w14:textId="77777777" w:rsidR="00BA5B0B" w:rsidRPr="00310B7E" w:rsidRDefault="00BA5B0B" w:rsidP="003E2A0C">
            <w:pPr>
              <w:spacing w:after="0" w:line="240" w:lineRule="auto"/>
              <w:jc w:val="center"/>
              <w:rPr>
                <w:sz w:val="20"/>
                <w:szCs w:val="20"/>
                <w:lang w:eastAsia="cs-CZ"/>
              </w:rPr>
            </w:pPr>
          </w:p>
        </w:tc>
        <w:tc>
          <w:tcPr>
            <w:tcW w:w="4535" w:type="dxa"/>
          </w:tcPr>
          <w:p w14:paraId="364B0736" w14:textId="77777777" w:rsidR="00C07CE2" w:rsidRPr="00310B7E" w:rsidRDefault="00C07CE2" w:rsidP="00537557">
            <w:pPr>
              <w:spacing w:after="0" w:line="240" w:lineRule="auto"/>
              <w:rPr>
                <w:sz w:val="20"/>
                <w:szCs w:val="20"/>
                <w:lang w:eastAsia="cs-CZ"/>
              </w:rPr>
            </w:pPr>
          </w:p>
          <w:p w14:paraId="3E09E598" w14:textId="77777777" w:rsidR="00BA5B0B" w:rsidRPr="00310B7E" w:rsidRDefault="00BA5B0B" w:rsidP="003E2A0C">
            <w:pPr>
              <w:spacing w:after="0" w:line="240" w:lineRule="auto"/>
              <w:jc w:val="center"/>
              <w:rPr>
                <w:sz w:val="20"/>
                <w:szCs w:val="20"/>
                <w:lang w:eastAsia="cs-CZ"/>
              </w:rPr>
            </w:pPr>
          </w:p>
          <w:p w14:paraId="1CB9D92E"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w:t>
            </w:r>
          </w:p>
          <w:p w14:paraId="20CD6ED6" w14:textId="77777777" w:rsidR="00BA5B0B" w:rsidRPr="00310B7E" w:rsidRDefault="00BA5B0B" w:rsidP="003E2A0C">
            <w:pPr>
              <w:spacing w:after="0" w:line="240" w:lineRule="auto"/>
              <w:jc w:val="center"/>
              <w:rPr>
                <w:b/>
                <w:sz w:val="20"/>
                <w:szCs w:val="20"/>
                <w:lang w:eastAsia="cs-CZ"/>
              </w:rPr>
            </w:pPr>
            <w:r w:rsidRPr="00310B7E">
              <w:rPr>
                <w:b/>
                <w:sz w:val="20"/>
                <w:szCs w:val="20"/>
                <w:lang w:eastAsia="cs-CZ"/>
              </w:rPr>
              <w:t>Oblastní nemocnice Mladá Boleslav, a.s., nemocnice Středočeského kraje</w:t>
            </w:r>
          </w:p>
          <w:p w14:paraId="0421D945"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Mgr. Daniel Marek</w:t>
            </w:r>
          </w:p>
          <w:p w14:paraId="2198D128"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místopředseda představenstva</w:t>
            </w:r>
          </w:p>
        </w:tc>
      </w:tr>
    </w:tbl>
    <w:p w14:paraId="5ECB4500" w14:textId="77777777" w:rsidR="00BA5B0B" w:rsidRPr="0081473C" w:rsidRDefault="00BA5B0B" w:rsidP="00C07CE2">
      <w:pPr>
        <w:spacing w:after="60" w:line="240" w:lineRule="auto"/>
        <w:jc w:val="both"/>
        <w:rPr>
          <w:rFonts w:eastAsia="Times New Roman"/>
          <w:snapToGrid w:val="0"/>
          <w:sz w:val="16"/>
          <w:szCs w:val="20"/>
          <w:lang w:eastAsia="cs-CZ"/>
        </w:rPr>
      </w:pPr>
    </w:p>
    <w:sectPr w:rsidR="00BA5B0B" w:rsidRPr="0081473C" w:rsidSect="0062161C">
      <w:headerReference w:type="default" r:id="rId7"/>
      <w:footerReference w:type="even" r:id="rId8"/>
      <w:footerReference w:type="default" r:id="rId9"/>
      <w:pgSz w:w="11906" w:h="16838" w:code="9"/>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5E700" w14:textId="77777777" w:rsidR="00875E0F" w:rsidRDefault="00875E0F">
      <w:pPr>
        <w:spacing w:after="0" w:line="240" w:lineRule="auto"/>
      </w:pPr>
      <w:r>
        <w:separator/>
      </w:r>
    </w:p>
  </w:endnote>
  <w:endnote w:type="continuationSeparator" w:id="0">
    <w:p w14:paraId="41FD671B" w14:textId="77777777" w:rsidR="00875E0F" w:rsidRDefault="00875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8C91" w14:textId="77777777" w:rsidR="002F21CC"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2F21CC" w:rsidRDefault="002F21CC" w:rsidP="00A57CF7">
    <w:pPr>
      <w:pStyle w:val="Zpat"/>
      <w:ind w:right="360"/>
    </w:pPr>
  </w:p>
  <w:p w14:paraId="3C9CD798" w14:textId="77777777" w:rsidR="002F21CC" w:rsidRDefault="002F21CC"/>
  <w:p w14:paraId="6807AC52" w14:textId="77777777" w:rsidR="002F21CC" w:rsidRDefault="002F21C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6A9C" w14:textId="77777777" w:rsidR="002F21CC"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Pr="004C74C4">
        <w:rPr>
          <w:rStyle w:val="slostrnky"/>
          <w:noProof/>
          <w:sz w:val="18"/>
          <w:szCs w:val="18"/>
        </w:rPr>
        <w:t>6</w:t>
      </w:r>
    </w:fldSimple>
    <w:r w:rsidRPr="00E45928">
      <w:rPr>
        <w:rStyle w:val="slostrnky"/>
        <w:sz w:val="18"/>
        <w:szCs w:val="18"/>
      </w:rPr>
      <w:t xml:space="preserve"> </w:t>
    </w:r>
  </w:p>
  <w:p w14:paraId="6902D54F" w14:textId="77777777" w:rsidR="002F21CC"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18806"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5E947" w14:textId="77777777" w:rsidR="00875E0F" w:rsidRDefault="00875E0F">
      <w:pPr>
        <w:spacing w:after="0" w:line="240" w:lineRule="auto"/>
      </w:pPr>
      <w:r>
        <w:separator/>
      </w:r>
    </w:p>
  </w:footnote>
  <w:footnote w:type="continuationSeparator" w:id="0">
    <w:p w14:paraId="72677DE7" w14:textId="77777777" w:rsidR="00875E0F" w:rsidRDefault="00875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FF5E" w14:textId="4B665DEE" w:rsidR="002F21CC"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39288998">
    <w:abstractNumId w:val="2"/>
  </w:num>
  <w:num w:numId="2" w16cid:durableId="1785539638">
    <w:abstractNumId w:val="0"/>
  </w:num>
  <w:num w:numId="3" w16cid:durableId="1322810255">
    <w:abstractNumId w:val="3"/>
  </w:num>
  <w:num w:numId="4" w16cid:durableId="1603798971">
    <w:abstractNumId w:val="1"/>
  </w:num>
  <w:num w:numId="5" w16cid:durableId="490755205">
    <w:abstractNumId w:val="2"/>
  </w:num>
  <w:num w:numId="6" w16cid:durableId="776826165">
    <w:abstractNumId w:val="2"/>
  </w:num>
  <w:num w:numId="7" w16cid:durableId="1909800867">
    <w:abstractNumId w:val="2"/>
  </w:num>
  <w:num w:numId="8" w16cid:durableId="697586919">
    <w:abstractNumId w:val="2"/>
  </w:num>
  <w:num w:numId="9" w16cid:durableId="1704943166">
    <w:abstractNumId w:val="2"/>
  </w:num>
  <w:num w:numId="10" w16cid:durableId="110898741">
    <w:abstractNumId w:val="2"/>
  </w:num>
  <w:num w:numId="11" w16cid:durableId="611134694">
    <w:abstractNumId w:val="2"/>
  </w:num>
  <w:num w:numId="12" w16cid:durableId="1208956459">
    <w:abstractNumId w:val="2"/>
  </w:num>
  <w:num w:numId="13" w16cid:durableId="2111119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0178E"/>
    <w:rsid w:val="0000253D"/>
    <w:rsid w:val="000633E0"/>
    <w:rsid w:val="00100E37"/>
    <w:rsid w:val="00116FDB"/>
    <w:rsid w:val="00117892"/>
    <w:rsid w:val="00126B86"/>
    <w:rsid w:val="00193F11"/>
    <w:rsid w:val="001A1422"/>
    <w:rsid w:val="001A59F8"/>
    <w:rsid w:val="001B01C1"/>
    <w:rsid w:val="001C0F26"/>
    <w:rsid w:val="001C5274"/>
    <w:rsid w:val="001F0289"/>
    <w:rsid w:val="00205A65"/>
    <w:rsid w:val="00242559"/>
    <w:rsid w:val="00275C2F"/>
    <w:rsid w:val="002C4A46"/>
    <w:rsid w:val="002E4F1A"/>
    <w:rsid w:val="002F21CC"/>
    <w:rsid w:val="002F684C"/>
    <w:rsid w:val="00310B7E"/>
    <w:rsid w:val="003532D7"/>
    <w:rsid w:val="0037153A"/>
    <w:rsid w:val="0038078B"/>
    <w:rsid w:val="003956C2"/>
    <w:rsid w:val="003B0747"/>
    <w:rsid w:val="003B6DCE"/>
    <w:rsid w:val="003C3BBE"/>
    <w:rsid w:val="003F712E"/>
    <w:rsid w:val="004034E4"/>
    <w:rsid w:val="005274F7"/>
    <w:rsid w:val="00537557"/>
    <w:rsid w:val="005512BC"/>
    <w:rsid w:val="0058095A"/>
    <w:rsid w:val="005818E5"/>
    <w:rsid w:val="005D7ED6"/>
    <w:rsid w:val="005E37B1"/>
    <w:rsid w:val="0062161C"/>
    <w:rsid w:val="00670EF8"/>
    <w:rsid w:val="00673ED8"/>
    <w:rsid w:val="00682605"/>
    <w:rsid w:val="006C2F57"/>
    <w:rsid w:val="006F5596"/>
    <w:rsid w:val="007168B7"/>
    <w:rsid w:val="00717DB3"/>
    <w:rsid w:val="00742088"/>
    <w:rsid w:val="007424EF"/>
    <w:rsid w:val="007748CE"/>
    <w:rsid w:val="007B69F7"/>
    <w:rsid w:val="007C768C"/>
    <w:rsid w:val="00805185"/>
    <w:rsid w:val="00836A8D"/>
    <w:rsid w:val="00860B73"/>
    <w:rsid w:val="00875E0F"/>
    <w:rsid w:val="00894AE5"/>
    <w:rsid w:val="008E63A2"/>
    <w:rsid w:val="009106BB"/>
    <w:rsid w:val="009227B0"/>
    <w:rsid w:val="009434BB"/>
    <w:rsid w:val="00967F91"/>
    <w:rsid w:val="00973EB3"/>
    <w:rsid w:val="00A1457B"/>
    <w:rsid w:val="00A16FE7"/>
    <w:rsid w:val="00A654A7"/>
    <w:rsid w:val="00A9335E"/>
    <w:rsid w:val="00A96FBE"/>
    <w:rsid w:val="00AD6E91"/>
    <w:rsid w:val="00AE6EE7"/>
    <w:rsid w:val="00B07FA2"/>
    <w:rsid w:val="00B33DE7"/>
    <w:rsid w:val="00B610EE"/>
    <w:rsid w:val="00B71FE7"/>
    <w:rsid w:val="00B86CB2"/>
    <w:rsid w:val="00BA5B0B"/>
    <w:rsid w:val="00BF404F"/>
    <w:rsid w:val="00C06212"/>
    <w:rsid w:val="00C07CE2"/>
    <w:rsid w:val="00C316AB"/>
    <w:rsid w:val="00C517C6"/>
    <w:rsid w:val="00C61332"/>
    <w:rsid w:val="00C77920"/>
    <w:rsid w:val="00C80A8F"/>
    <w:rsid w:val="00CC3F81"/>
    <w:rsid w:val="00D1706C"/>
    <w:rsid w:val="00D20446"/>
    <w:rsid w:val="00D33A8F"/>
    <w:rsid w:val="00DA14A2"/>
    <w:rsid w:val="00DB1CC8"/>
    <w:rsid w:val="00DB5548"/>
    <w:rsid w:val="00DF1415"/>
    <w:rsid w:val="00E01D97"/>
    <w:rsid w:val="00E410CC"/>
    <w:rsid w:val="00E63B14"/>
    <w:rsid w:val="00E82070"/>
    <w:rsid w:val="00E83540"/>
    <w:rsid w:val="00E83AA1"/>
    <w:rsid w:val="00E879C9"/>
    <w:rsid w:val="00EB223B"/>
    <w:rsid w:val="00ED7EC7"/>
    <w:rsid w:val="00F3270B"/>
    <w:rsid w:val="00F55EB3"/>
    <w:rsid w:val="00F9148E"/>
    <w:rsid w:val="00F952E3"/>
    <w:rsid w:val="00FE78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 w:id="13396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2672</Words>
  <Characters>15771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Kučera Ondřej | ONMB</cp:lastModifiedBy>
  <cp:revision>7</cp:revision>
  <cp:lastPrinted>2025-04-23T10:13:00Z</cp:lastPrinted>
  <dcterms:created xsi:type="dcterms:W3CDTF">2025-04-23T10:02:00Z</dcterms:created>
  <dcterms:modified xsi:type="dcterms:W3CDTF">2025-06-10T08:05:00Z</dcterms:modified>
</cp:coreProperties>
</file>