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71432" w:rsidRPr="00F7529D" w14:paraId="152219D3" w14:textId="77777777" w:rsidTr="3011D7A3">
        <w:tc>
          <w:tcPr>
            <w:tcW w:w="4531" w:type="dxa"/>
          </w:tcPr>
          <w:p w14:paraId="6415A3E2" w14:textId="7815129D" w:rsidR="00061A58" w:rsidRPr="00F7529D" w:rsidRDefault="003A21A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Dodatek č. </w:t>
            </w:r>
            <w:r w:rsidR="002D209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1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ke Sm</w:t>
            </w:r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louv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ě </w:t>
            </w:r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o 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ob</w:t>
            </w:r>
            <w:r w:rsidR="003A0A55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jemovém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bonusu </w:t>
            </w:r>
          </w:p>
          <w:p w14:paraId="2D3CFBD4" w14:textId="5F3FCC9E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při dodávkách léčivých přípravků</w:t>
            </w:r>
          </w:p>
          <w:p w14:paraId="12493719" w14:textId="19F2517F" w:rsidR="003A21AF" w:rsidRPr="00F7529D" w:rsidRDefault="00FA5475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Dodatek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5F288475" w14:textId="77777777" w:rsidR="00FA5475" w:rsidRPr="00F7529D" w:rsidRDefault="00FA5475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5EBF35A" w14:textId="002D2672" w:rsidR="008D3ED1" w:rsidRPr="00F7529D" w:rsidRDefault="008D3ED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strany:</w:t>
            </w:r>
          </w:p>
          <w:p w14:paraId="1863D97E" w14:textId="77777777" w:rsidR="008D3ED1" w:rsidRPr="00F7529D" w:rsidRDefault="008D3ED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BC11A07" w14:textId="6132CD82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7A10487E" w14:textId="6489530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sídlem: </w:t>
            </w:r>
            <w:r w:rsidR="00891E1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Purkyňova 212</w:t>
            </w:r>
            <w:r w:rsidR="00FD166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1/3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Praha 1, PSČ: 110 00</w:t>
            </w:r>
          </w:p>
          <w:p w14:paraId="5DBA14B0" w14:textId="034277C1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IČO: 480 25 976</w:t>
            </w:r>
          </w:p>
          <w:p w14:paraId="46B89B26" w14:textId="27F8DC8A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DIČ: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CZ 480 25 976</w:t>
            </w:r>
          </w:p>
          <w:p w14:paraId="3324DA45" w14:textId="42D5B885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zapsaná v obchodním rejstříku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vedeném u Městského soudu v Praze, </w:t>
            </w:r>
            <w:proofErr w:type="spellStart"/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sp.zn</w:t>
            </w:r>
            <w:proofErr w:type="spellEnd"/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C 14176</w:t>
            </w:r>
          </w:p>
          <w:p w14:paraId="2CD1EC24" w14:textId="77777777" w:rsidR="0011747D" w:rsidRDefault="00061A58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zastoupen</w:t>
            </w:r>
            <w:r w:rsidR="001F46DC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í: Diego Basso a Jarmila </w:t>
            </w:r>
            <w:proofErr w:type="spellStart"/>
            <w:r w:rsidR="001F46DC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Csóková</w:t>
            </w:r>
            <w:proofErr w:type="spellEnd"/>
            <w:r w:rsidR="001F46DC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jednatelé</w:t>
            </w:r>
          </w:p>
          <w:p w14:paraId="27D65E43" w14:textId="5AF15735" w:rsidR="00061A58" w:rsidRPr="00F7529D" w:rsidRDefault="00061A58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5EAF7F8" w14:textId="1BD01453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2AC3C1B" w14:textId="77777777" w:rsidR="008D3ED1" w:rsidRPr="00F7529D" w:rsidRDefault="008D3ED1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E61A6A0" w14:textId="77777777" w:rsidR="003D4150" w:rsidRPr="00F7529D" w:rsidRDefault="003D4150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0E76EA2" w14:textId="77777777" w:rsidR="005E3A76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jako dodavatel na straně jedné </w:t>
            </w:r>
          </w:p>
          <w:p w14:paraId="0237D7D0" w14:textId="24252ACB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dodavatel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335EFD90" w14:textId="77777777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E323D3A" w14:textId="6FF8C631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</w:t>
            </w:r>
          </w:p>
          <w:p w14:paraId="35D83CB7" w14:textId="77777777" w:rsidR="005E3A76" w:rsidRPr="00F7529D" w:rsidRDefault="005E3A76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850440B" w14:textId="77777777" w:rsidR="003A146C" w:rsidRDefault="003A146C" w:rsidP="00AD255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3A146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Nemocnice Blansko</w:t>
            </w:r>
          </w:p>
          <w:p w14:paraId="5963BA9F" w14:textId="6604703D" w:rsidR="00D54538" w:rsidRPr="00BE59D8" w:rsidRDefault="00FF4351" w:rsidP="00D545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 xml:space="preserve">sídlem: </w:t>
            </w:r>
            <w:r w:rsidR="00D54538" w:rsidRPr="00BE59D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Sadová 1596/33, Blansko</w:t>
            </w:r>
          </w:p>
          <w:p w14:paraId="14740752" w14:textId="460357A3" w:rsidR="00FF4351" w:rsidRPr="00BE59D8" w:rsidRDefault="00FF4351" w:rsidP="00D545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 xml:space="preserve">PSČ: </w:t>
            </w:r>
            <w:r w:rsidR="00D54538" w:rsidRPr="00BE59D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678 31</w:t>
            </w:r>
          </w:p>
          <w:p w14:paraId="42499A8C" w14:textId="3F4ABF7A" w:rsidR="00FF4351" w:rsidRPr="00BE59D8" w:rsidRDefault="00FF4351" w:rsidP="00FF4351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 xml:space="preserve">IČO: </w:t>
            </w:r>
            <w:r w:rsidR="00024349" w:rsidRPr="00BE59D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00386634</w:t>
            </w:r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ab/>
            </w:r>
          </w:p>
          <w:p w14:paraId="1CBACAD2" w14:textId="1631AC83" w:rsidR="00FF4351" w:rsidRPr="00F7529D" w:rsidRDefault="00FF4351" w:rsidP="00FF4351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 xml:space="preserve">DIČ: </w:t>
            </w:r>
            <w:r w:rsidR="000F636B" w:rsidRPr="00BE59D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ab/>
              <w:t>CZ</w:t>
            </w:r>
            <w:r w:rsidR="00024349" w:rsidRPr="00BE59D8">
              <w:rPr>
                <w:lang w:val="cs-CZ"/>
              </w:rPr>
              <w:t xml:space="preserve"> </w:t>
            </w:r>
            <w:r w:rsidR="00024349" w:rsidRPr="00BE59D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00386634</w:t>
            </w:r>
          </w:p>
          <w:p w14:paraId="38DA7667" w14:textId="4A7507F2" w:rsidR="00FF4351" w:rsidRDefault="00FF4351" w:rsidP="00FF435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sz w:val="22"/>
                <w:szCs w:val="22"/>
                <w:lang w:val="cs-CZ"/>
              </w:rPr>
              <w:t xml:space="preserve">číslo účtu: </w:t>
            </w:r>
            <w:r w:rsidR="00024349" w:rsidRPr="0002434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632109514/0600</w:t>
            </w:r>
          </w:p>
          <w:p w14:paraId="6BF2E601" w14:textId="77777777" w:rsidR="00BE59D8" w:rsidRPr="00BE59D8" w:rsidRDefault="00BE59D8" w:rsidP="00BE59D8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 xml:space="preserve">zapsána v obchodním rejstříku vedeném Krajským soudem v Brně, vložka </w:t>
            </w:r>
            <w:proofErr w:type="spellStart"/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>Pr</w:t>
            </w:r>
            <w:proofErr w:type="spellEnd"/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 xml:space="preserve"> č. 1603</w:t>
            </w:r>
          </w:p>
          <w:p w14:paraId="3CEEC363" w14:textId="606E9758" w:rsidR="00041E5A" w:rsidRDefault="00BE59D8" w:rsidP="00BE59D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BE59D8">
              <w:rPr>
                <w:rFonts w:ascii="Arial" w:hAnsi="Arial" w:cs="Arial"/>
                <w:sz w:val="22"/>
                <w:szCs w:val="22"/>
                <w:lang w:val="cs-CZ"/>
              </w:rPr>
              <w:t>zastoupená: MUDr. Vladimírou Danihelkovou, MBA, ředitelkou</w:t>
            </w:r>
          </w:p>
          <w:p w14:paraId="39B59905" w14:textId="77777777" w:rsidR="00D02321" w:rsidRPr="00F7529D" w:rsidRDefault="00D02321" w:rsidP="00D02321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C634E51" w14:textId="77777777" w:rsidR="005E3A76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jako odběratel na straně druhé </w:t>
            </w:r>
          </w:p>
          <w:p w14:paraId="4109454C" w14:textId="14729FA6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odběratel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“). </w:t>
            </w:r>
          </w:p>
          <w:p w14:paraId="1BB4422A" w14:textId="22D7E3BC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D5AF8A8" w14:textId="2E698098" w:rsidR="00061A58" w:rsidRPr="00F7529D" w:rsidRDefault="005E3A76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(o</w:t>
            </w:r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dběratel a dodavatel společně dále jako „</w:t>
            </w:r>
            <w:r w:rsidR="00061A58"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smluvní strany</w:t>
            </w:r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)</w:t>
            </w:r>
          </w:p>
          <w:p w14:paraId="784ACC1A" w14:textId="77777777" w:rsidR="00061A58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4F2B7B9" w14:textId="77777777" w:rsidR="007137BD" w:rsidRDefault="007137BD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8CBEF4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8B8434C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62D0A5A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DAB20A1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6C2D8A3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EDCA1AC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406A7B9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9DA4743" w14:textId="77777777" w:rsidR="00BE59D8" w:rsidRPr="00F7529D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DE23AAB" w14:textId="77777777" w:rsidR="00061A58" w:rsidRPr="00F7529D" w:rsidRDefault="00061A58" w:rsidP="00F71432">
            <w:pPr>
              <w:pBdr>
                <w:top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AF186F0" w14:textId="6884EC9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 se dohodly takto:</w:t>
            </w:r>
          </w:p>
          <w:p w14:paraId="4E755377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ED296B3" w14:textId="77777777" w:rsidR="00061A58" w:rsidRPr="00F7529D" w:rsidRDefault="00061A58" w:rsidP="00F71432">
            <w:pPr>
              <w:pBdr>
                <w:bottom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FDC547B" w14:textId="77777777" w:rsidR="0070730B" w:rsidRPr="00F7529D" w:rsidRDefault="0070730B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90629F8" w14:textId="62855389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I.</w:t>
            </w:r>
          </w:p>
          <w:p w14:paraId="5C84EEA0" w14:textId="77777777" w:rsidR="00061A58" w:rsidRPr="00F7529D" w:rsidRDefault="00061A58" w:rsidP="00F71432">
            <w:pPr>
              <w:pStyle w:val="Nadpis1"/>
              <w:contextualSpacing/>
              <w:outlineLvl w:val="0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>Úvodní ustanovení</w:t>
            </w:r>
          </w:p>
          <w:p w14:paraId="72C360AA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2D463D9" w14:textId="7FAA9D70" w:rsidR="008D3ED1" w:rsidRPr="00F7529D" w:rsidRDefault="008D3ED1" w:rsidP="008D3ED1">
            <w:pPr>
              <w:pStyle w:val="Zkladntext2"/>
              <w:numPr>
                <w:ilvl w:val="0"/>
                <w:numId w:val="4"/>
              </w:numPr>
              <w:ind w:left="318" w:hanging="318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spolu dne </w:t>
            </w:r>
            <w:r w:rsidR="001147D0" w:rsidRPr="009B5AD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21</w:t>
            </w:r>
            <w:r w:rsidR="00DB154B" w:rsidRPr="009B5AD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.3.2024</w:t>
            </w:r>
            <w:r w:rsidR="00041E5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uzavřely Smlouvu o objemovém bonusu při dodávkách léčivých přípravků 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Smlouva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“), v souladu s § 1746 odst. 2 zákona č. 89/2012 Sb., občanský zákoník, ve znění pozdějších předpisů 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občanský zákoník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“).</w:t>
            </w:r>
          </w:p>
          <w:p w14:paraId="27623AE7" w14:textId="77777777" w:rsidR="00D06DD4" w:rsidRDefault="00D06DD4" w:rsidP="0003114E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FA9F288" w14:textId="77777777" w:rsidR="00B42CC3" w:rsidRPr="00F7529D" w:rsidRDefault="00B42CC3" w:rsidP="0003114E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D8B650D" w14:textId="56A49605" w:rsidR="00061A58" w:rsidRPr="00F7529D" w:rsidRDefault="008D3ED1" w:rsidP="002E531E">
            <w:pPr>
              <w:pStyle w:val="Zkladntext2"/>
              <w:numPr>
                <w:ilvl w:val="0"/>
                <w:numId w:val="4"/>
              </w:numPr>
              <w:tabs>
                <w:tab w:val="num" w:pos="306"/>
              </w:tabs>
              <w:ind w:left="306" w:hanging="306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se proto v souladu s čl. VI. odst. 6 Smlouvy rozhodly uzavřít tento písemný číslovaný </w:t>
            </w:r>
            <w:r w:rsidR="0035609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odatek. </w:t>
            </w:r>
          </w:p>
          <w:p w14:paraId="1FEDA797" w14:textId="77777777" w:rsidR="00F07A0C" w:rsidRPr="00F7529D" w:rsidRDefault="00F07A0C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CCF71E6" w14:textId="77777777" w:rsidR="008F1F45" w:rsidRDefault="008F1F45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F7AEA56" w14:textId="77777777" w:rsidR="00B42CC3" w:rsidRPr="00F7529D" w:rsidRDefault="00B42CC3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7B05387" w14:textId="77777777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II.</w:t>
            </w:r>
          </w:p>
          <w:p w14:paraId="0281378A" w14:textId="3E57559D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Předmět </w:t>
            </w:r>
            <w:r w:rsidR="002E531E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Dodatku</w:t>
            </w:r>
          </w:p>
          <w:p w14:paraId="6EB11BAB" w14:textId="77777777" w:rsidR="00C176FB" w:rsidRPr="007133BC" w:rsidRDefault="00C176FB" w:rsidP="003368EA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550B21D" w14:textId="77777777" w:rsidR="00C176FB" w:rsidRPr="007133BC" w:rsidRDefault="00C176FB" w:rsidP="00C176FB">
            <w:pPr>
              <w:pStyle w:val="Zkladntext2"/>
              <w:numPr>
                <w:ilvl w:val="0"/>
                <w:numId w:val="1"/>
              </w:numPr>
              <w:tabs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7133BC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 se dohodly, že článek III odst. 10 Smlouvy se mění následovně:</w:t>
            </w:r>
          </w:p>
          <w:p w14:paraId="43CDE105" w14:textId="77777777" w:rsidR="00C176FB" w:rsidRPr="007133BC" w:rsidRDefault="00C176FB" w:rsidP="007133BC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C3E5887" w14:textId="77777777" w:rsidR="00C176FB" w:rsidRPr="007133BC" w:rsidRDefault="00C176FB" w:rsidP="007133BC">
            <w:pPr>
              <w:pStyle w:val="Zkladntext2"/>
              <w:ind w:left="311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</w:pP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„10. Smluvní strany mohou vzájemně komunikovat elektronickým způsobem, tj. zasíláním zpráv na e-mailovou adresu druhé smluvní strany, a to na e-mailové adresy zde uvedené:</w:t>
            </w:r>
          </w:p>
          <w:p w14:paraId="0ED71979" w14:textId="6C0D4538" w:rsidR="00C176FB" w:rsidRPr="007133BC" w:rsidRDefault="00C176FB" w:rsidP="007133BC">
            <w:pPr>
              <w:pStyle w:val="Zkladntext2"/>
              <w:ind w:left="311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</w:pP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Dodavatel: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DD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xxxxxxxxxxxxxxxxxxx</w:t>
            </w:r>
            <w:proofErr w:type="spellEnd"/>
            <w:r w:rsidR="008E1DD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DD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xxxxxxxxxxxxxxxxxx</w:t>
            </w:r>
            <w:proofErr w:type="spellEnd"/>
          </w:p>
          <w:p w14:paraId="4A392FAB" w14:textId="2611880D" w:rsidR="003567DF" w:rsidRDefault="00DC05F3" w:rsidP="003368EA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213A7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Odběratel</w:t>
            </w:r>
            <w:r w:rsidR="00C176FB" w:rsidRPr="00213A7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 xml:space="preserve">: </w:t>
            </w:r>
            <w:proofErr w:type="spellStart"/>
            <w:r w:rsidR="008E1DD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xxxxxxxxxxxxxxxxxxx</w:t>
            </w:r>
            <w:proofErr w:type="spellEnd"/>
          </w:p>
          <w:p w14:paraId="7C0900EC" w14:textId="3CBA180B" w:rsidR="007133BC" w:rsidRDefault="00C176FB" w:rsidP="003368EA">
            <w:pPr>
              <w:pStyle w:val="Zkladntext2"/>
              <w:ind w:left="311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</w:pP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Elektronickou komunikaci považují obě smluvní strany za komunikaci v písemn</w:t>
            </w:r>
            <w:r w:rsidR="00EF61F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é</w:t>
            </w: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 xml:space="preserve"> formě.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“</w:t>
            </w: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33ACAFE0" w14:textId="77777777" w:rsidR="00556E32" w:rsidRDefault="00556E32" w:rsidP="003368EA">
            <w:pPr>
              <w:pStyle w:val="Zkladntext2"/>
              <w:ind w:left="311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</w:pPr>
          </w:p>
          <w:p w14:paraId="00516D82" w14:textId="77777777" w:rsidR="00556E32" w:rsidRPr="003368EA" w:rsidRDefault="00556E32" w:rsidP="003368EA">
            <w:pPr>
              <w:pStyle w:val="Zkladntext2"/>
              <w:ind w:left="311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</w:pPr>
          </w:p>
          <w:p w14:paraId="319052B6" w14:textId="77777777" w:rsidR="007133BC" w:rsidRDefault="007133BC" w:rsidP="00CF4B46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F55B0D9" w14:textId="1380C845" w:rsidR="00622113" w:rsidRPr="00CF4B46" w:rsidRDefault="00622113" w:rsidP="00622113">
            <w:pPr>
              <w:pStyle w:val="Zkladntext2"/>
              <w:numPr>
                <w:ilvl w:val="0"/>
                <w:numId w:val="1"/>
              </w:numPr>
              <w:tabs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1F46DC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 </w:t>
            </w:r>
            <w:r w:rsidRPr="001D093E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Smluvní strany se dále dohodly, že od 1. 1. 2025 se změní příloha č. 1 Smlouvy nazvaná „Vzor a výpočet obchodního zvýhodnění“, a to tak, že příloha č. 1 Smlouvy se od 1. 1. 2025 nahrazuje novou přílohou č. 1 Smlouvy, která je uvedena v Příloze č. 1 tohoto Dodatku.</w:t>
            </w:r>
          </w:p>
          <w:p w14:paraId="5CBB0497" w14:textId="77777777" w:rsidR="002F33B8" w:rsidRPr="007133BC" w:rsidRDefault="002F33B8" w:rsidP="007133B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665C126" w14:textId="77777777" w:rsidR="002F33B8" w:rsidRDefault="002F33B8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C6218B6" w14:textId="77777777" w:rsidR="00B2253A" w:rsidRDefault="00B2253A" w:rsidP="00556E3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AE3FC83" w14:textId="77777777" w:rsidR="00135F0D" w:rsidRDefault="00135F0D" w:rsidP="00556E3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B248E07" w14:textId="77777777" w:rsidR="00135F0D" w:rsidRPr="00556E32" w:rsidRDefault="00135F0D" w:rsidP="00556E3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492836E" w14:textId="77777777" w:rsidR="00B2253A" w:rsidRDefault="00B2253A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B466CDD" w14:textId="77777777" w:rsidR="00135F0D" w:rsidRDefault="00135F0D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673C5A3" w14:textId="77777777" w:rsidR="00135F0D" w:rsidRDefault="00135F0D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8095B9C" w14:textId="1C850A7E" w:rsidR="00741823" w:rsidRPr="00622113" w:rsidRDefault="00741823" w:rsidP="18595AF6">
            <w:pPr>
              <w:pStyle w:val="Zkladntext2"/>
              <w:numPr>
                <w:ilvl w:val="0"/>
                <w:numId w:val="1"/>
              </w:numPr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18595AF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 se dále dohodly, že od 1. 1. 2025 se stanou součástí Smlouvy nové podmínky obchodní spolupráce, jejichž znění tvoří přílohu č.</w:t>
            </w:r>
            <w:r w:rsidR="2F2DBCD6" w:rsidRPr="18595AF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</w:t>
            </w:r>
            <w:r w:rsidRPr="18595AF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tohoto Dodatku.</w:t>
            </w:r>
          </w:p>
          <w:p w14:paraId="2EC57E71" w14:textId="77777777" w:rsidR="002F33B8" w:rsidRPr="00CF4B46" w:rsidRDefault="002F33B8" w:rsidP="00CF4B46">
            <w:pPr>
              <w:tabs>
                <w:tab w:val="num" w:pos="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521BA42" w14:textId="77777777" w:rsidR="00622113" w:rsidRPr="00F7529D" w:rsidRDefault="00622113" w:rsidP="00F71432">
            <w:pPr>
              <w:pStyle w:val="Odstavecseseznamem"/>
              <w:tabs>
                <w:tab w:val="num" w:pos="0"/>
              </w:tabs>
              <w:ind w:left="311" w:hanging="311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4512D9E" w14:textId="77777777" w:rsidR="007133BC" w:rsidRDefault="007133BC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1B541390" w14:textId="77777777" w:rsidR="007133BC" w:rsidRDefault="007133BC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97A432A" w14:textId="494FF418" w:rsidR="002E531E" w:rsidRDefault="002E531E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III.</w:t>
            </w:r>
          </w:p>
          <w:p w14:paraId="2A305662" w14:textId="4E6111CF" w:rsidR="00F601E4" w:rsidRDefault="004859CF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Registr smluv</w:t>
            </w:r>
          </w:p>
          <w:p w14:paraId="62980069" w14:textId="77777777" w:rsidR="00F601E4" w:rsidRDefault="00F601E4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353344C4" w14:textId="638F80B2" w:rsidR="00F601E4" w:rsidRDefault="00F601E4" w:rsidP="00F601E4">
            <w:pPr>
              <w:pStyle w:val="Zkladntext2"/>
              <w:numPr>
                <w:ilvl w:val="0"/>
                <w:numId w:val="18"/>
              </w:numPr>
              <w:ind w:left="318" w:hanging="284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Smluvní strany se tímto dohodly, že v případě, že je nutné uveřejnit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tento Dodatek 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podle ustanovení zákona č. 340/2015 Sb., o zvláštních podmínkách účinnosti některých smluv, uveřejňování těchto smluv a o registru smluv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, ve znění pozdějších dodatků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(dále jen „</w:t>
            </w:r>
            <w:r w:rsidRPr="00F601E4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zákon o registru smluv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“), je k 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jeho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uveřejnění povinen odběratel.</w:t>
            </w:r>
          </w:p>
          <w:p w14:paraId="779CBC21" w14:textId="77777777" w:rsidR="00F601E4" w:rsidRDefault="00F601E4" w:rsidP="00B33FEF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21889E9F" w14:textId="77777777" w:rsidR="00741823" w:rsidRPr="00F601E4" w:rsidRDefault="00741823" w:rsidP="007133BC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1946C58C" w14:textId="520E9B69" w:rsidR="00F601E4" w:rsidRPr="00F7529D" w:rsidRDefault="00F601E4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IV.</w:t>
            </w:r>
          </w:p>
          <w:p w14:paraId="37B78093" w14:textId="40423BF6" w:rsidR="002E531E" w:rsidRPr="00F7529D" w:rsidRDefault="002E531E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Závěrečná ustanovení</w:t>
            </w:r>
          </w:p>
          <w:p w14:paraId="23939C35" w14:textId="77777777" w:rsidR="008F1F45" w:rsidRPr="00F7529D" w:rsidRDefault="008F1F45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4639F1D1" w14:textId="02E9ADA7" w:rsidR="0003114E" w:rsidRPr="00B33FEF" w:rsidRDefault="002E531E" w:rsidP="00CE2BE3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B33FEF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Dodatek </w:t>
            </w:r>
            <w:r w:rsidR="00F601E4" w:rsidRPr="00B33FEF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nabývá platnosti dnem podpisu poslední ze smluvních stran a účinnosti dnem jejího uveřejnění v registru smluv dle zákona o registru smluv. </w:t>
            </w:r>
            <w:r w:rsidR="00CE2BE3" w:rsidRPr="00B33FEF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Pravidla pro uplatnění bonusu podle tohoto Dodatku jsou platná od 1. 1. 2025. </w:t>
            </w:r>
          </w:p>
          <w:p w14:paraId="2D704D0B" w14:textId="77777777" w:rsidR="00B42CC3" w:rsidRDefault="00B42CC3" w:rsidP="003D49BF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4324A86" w14:textId="77777777" w:rsidR="007133BC" w:rsidRDefault="007133BC" w:rsidP="003D49BF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D4C9BAF" w14:textId="77777777" w:rsidR="007133BC" w:rsidRPr="00F601E4" w:rsidRDefault="007133BC" w:rsidP="003D49BF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F4E22CF" w14:textId="1FF58C46" w:rsidR="00C27B52" w:rsidRDefault="00FA5475" w:rsidP="008E2555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Tímto Dodatkem nedochází ke změně žádných </w:t>
            </w:r>
            <w:r w:rsidR="005C73E0"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jiných </w:t>
            </w:r>
            <w:r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ustanovení</w:t>
            </w:r>
            <w:r w:rsidR="005C73E0"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Smlouvy</w:t>
            </w:r>
            <w:r w:rsid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3AFF2E21" w14:textId="77777777" w:rsidR="008E1C72" w:rsidRPr="008E1C72" w:rsidRDefault="008E1C72" w:rsidP="008E1C72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B929B6D" w14:textId="6530D4D7" w:rsidR="00E25930" w:rsidRDefault="00061A58" w:rsidP="0003114E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prohlašují, že si </w:t>
            </w:r>
            <w:r w:rsidR="002B2CF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Dodatek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před je</w:t>
            </w:r>
            <w:r w:rsid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podepsáním přečetly a že je</w:t>
            </w:r>
            <w:r w:rsidR="00476EAB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obsah odpovídá jejich pravé, vážné a svobodné vůli, což stvrzují svými níže připojenými podpisy.</w:t>
            </w:r>
          </w:p>
          <w:p w14:paraId="1C29CC2E" w14:textId="77777777" w:rsidR="00F211A7" w:rsidRDefault="00F211A7" w:rsidP="00F211A7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1BD7477" w14:textId="77777777" w:rsidR="00F211A7" w:rsidRDefault="00F211A7" w:rsidP="00F211A7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69F8212" w14:textId="77777777" w:rsidR="00F211A7" w:rsidRDefault="00F211A7" w:rsidP="00F211A7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B9CFDDD" w14:textId="77777777" w:rsidR="0003114E" w:rsidRDefault="0003114E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3232DE0" w14:textId="1AC58E81" w:rsidR="00622113" w:rsidRPr="004D7E29" w:rsidRDefault="00622113" w:rsidP="00622113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Příloha č.1 - </w:t>
            </w:r>
            <w:r w:rsidRPr="004D7E2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Vzor a výpočet obchodního zvýhodnění</w:t>
            </w:r>
            <w:r w:rsidR="00F211A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Podmínky obchodní spolupráce</w:t>
            </w:r>
          </w:p>
          <w:p w14:paraId="1219BB28" w14:textId="77777777" w:rsidR="00F211A7" w:rsidRDefault="00F211A7" w:rsidP="00F211A7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74E7D478" w14:textId="77777777" w:rsidR="00F211A7" w:rsidRDefault="00F211A7" w:rsidP="00F211A7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2A3B4C0F" w14:textId="77777777" w:rsidR="00F211A7" w:rsidRDefault="00F211A7" w:rsidP="00F211A7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0427192" w14:textId="77777777" w:rsidR="00F211A7" w:rsidRDefault="00F211A7" w:rsidP="00F211A7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3BFAEE51" w14:textId="77777777" w:rsidR="00F211A7" w:rsidRDefault="00F211A7" w:rsidP="00F211A7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431B3EE7" w14:textId="212310AE" w:rsidR="00F211A7" w:rsidRPr="00F7529D" w:rsidRDefault="00F211A7" w:rsidP="00F211A7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</w:tcPr>
          <w:p w14:paraId="21C33209" w14:textId="4F7C09C4" w:rsidR="00061A58" w:rsidRPr="00F7529D" w:rsidRDefault="003A21A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lastRenderedPageBreak/>
              <w:br/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proofErr w:type="spellStart"/>
            <w:r w:rsidR="00FA5475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Amendment</w:t>
            </w:r>
            <w:proofErr w:type="spellEnd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D06DD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No. </w:t>
            </w:r>
            <w:r w:rsidR="002D209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1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to </w:t>
            </w:r>
            <w:proofErr w:type="spellStart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the</w:t>
            </w:r>
            <w:proofErr w:type="spellEnd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Agreement</w:t>
            </w:r>
            <w:proofErr w:type="spellEnd"/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on </w:t>
            </w:r>
            <w:proofErr w:type="spellStart"/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turn</w:t>
            </w:r>
            <w:r w:rsidR="00C87036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ver</w:t>
            </w:r>
            <w:proofErr w:type="spellEnd"/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D421C3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bonus</w:t>
            </w:r>
          </w:p>
          <w:p w14:paraId="586346C7" w14:textId="606E2DD4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in Supply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Medicinal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Products</w:t>
            </w:r>
            <w:proofErr w:type="spellEnd"/>
          </w:p>
          <w:p w14:paraId="739F3361" w14:textId="50CE0FCE" w:rsidR="00061A58" w:rsidRPr="00F7529D" w:rsidRDefault="00FA5475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“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”)</w:t>
            </w:r>
            <w:r w:rsidR="003A21AF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br/>
            </w:r>
          </w:p>
          <w:p w14:paraId="136A91F2" w14:textId="77777777" w:rsidR="002E531E" w:rsidRPr="00F7529D" w:rsidRDefault="002E531E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: </w:t>
            </w:r>
          </w:p>
          <w:p w14:paraId="5B81DF69" w14:textId="77777777" w:rsidR="002E531E" w:rsidRPr="00F7529D" w:rsidRDefault="002E531E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FE3FB3" w14:textId="7A6DA5E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, spol. </w:t>
            </w:r>
            <w:r w:rsidR="00170F94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s</w:t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.r.o.</w:t>
            </w:r>
          </w:p>
          <w:p w14:paraId="75DE8227" w14:textId="56485CE6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its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seat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address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: </w:t>
            </w:r>
            <w:r w:rsidR="00FD166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Purkyňova 2121/3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Prague 1,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Postal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 110 00</w:t>
            </w:r>
          </w:p>
          <w:p w14:paraId="743400FC" w14:textId="3120B8D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Business ID No.: 480 25 976</w:t>
            </w:r>
          </w:p>
          <w:p w14:paraId="0A16B644" w14:textId="4F5F4540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Tax ID No.: CZ 480 25 976</w:t>
            </w:r>
          </w:p>
          <w:p w14:paraId="245B05C7" w14:textId="7DE113A6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Commercial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administered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Municipal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Court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in Prague,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File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</w:t>
            </w:r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C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14176</w:t>
            </w:r>
          </w:p>
          <w:p w14:paraId="52F96A2D" w14:textId="4AB6E473" w:rsidR="00061A58" w:rsidRPr="00F7529D" w:rsidRDefault="00061A58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Represented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r w:rsidR="0011747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Diego Basso</w:t>
            </w:r>
            <w:r w:rsidR="00022BCC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and Jarmila </w:t>
            </w:r>
            <w:proofErr w:type="spellStart"/>
            <w:r w:rsidR="00022BCC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Csóková</w:t>
            </w:r>
            <w:proofErr w:type="spellEnd"/>
            <w:r w:rsidR="00022BCC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022BCC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Executives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</w:t>
            </w:r>
          </w:p>
          <w:p w14:paraId="456B13BE" w14:textId="7C239238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1709E0E" w14:textId="77777777" w:rsidR="005E3A76" w:rsidRPr="00F7529D" w:rsidRDefault="00061A58" w:rsidP="00F71432">
            <w:pPr>
              <w:ind w:left="29" w:hanging="29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37E1403B" w14:textId="354F6208" w:rsidR="00061A58" w:rsidRPr="00F7529D" w:rsidRDefault="00061A58" w:rsidP="00F71432">
            <w:pPr>
              <w:ind w:left="29" w:hanging="29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“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”)</w:t>
            </w:r>
          </w:p>
          <w:p w14:paraId="5769F9F7" w14:textId="77777777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7A74D1A" w14:textId="5D733D6F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and</w:t>
            </w:r>
          </w:p>
          <w:p w14:paraId="2908B892" w14:textId="77777777" w:rsidR="005E3A76" w:rsidRPr="00F7529D" w:rsidRDefault="005E3A76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3633A6A" w14:textId="77777777" w:rsidR="003A146C" w:rsidRDefault="003A146C" w:rsidP="00FF4351">
            <w:pPr>
              <w:ind w:left="2124" w:hanging="2124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3A146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Nemocnice Blansko</w:t>
            </w:r>
          </w:p>
          <w:p w14:paraId="58C45C62" w14:textId="587D8BA6" w:rsidR="00FF4351" w:rsidRPr="00F7529D" w:rsidRDefault="00FF4351" w:rsidP="00FF4351">
            <w:pPr>
              <w:ind w:left="2124" w:hanging="2124"/>
              <w:jc w:val="both"/>
              <w:rPr>
                <w:rFonts w:ascii="Arial" w:hAnsi="Arial"/>
                <w:sz w:val="22"/>
                <w:lang w:val="cs-CZ"/>
              </w:rPr>
            </w:pPr>
            <w:proofErr w:type="spellStart"/>
            <w:r w:rsidRPr="00F7529D">
              <w:rPr>
                <w:rFonts w:ascii="Arial" w:hAnsi="Arial"/>
                <w:sz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/>
                <w:sz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/>
                <w:sz w:val="22"/>
                <w:lang w:val="cs-CZ"/>
              </w:rPr>
              <w:t>its</w:t>
            </w:r>
            <w:proofErr w:type="spellEnd"/>
            <w:r w:rsidRPr="00F7529D">
              <w:rPr>
                <w:rFonts w:ascii="Arial" w:hAnsi="Arial"/>
                <w:sz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/>
                <w:sz w:val="22"/>
                <w:lang w:val="cs-CZ"/>
              </w:rPr>
              <w:t>registered</w:t>
            </w:r>
            <w:proofErr w:type="spellEnd"/>
            <w:r w:rsidRPr="00F7529D">
              <w:rPr>
                <w:rFonts w:ascii="Arial" w:hAnsi="Arial"/>
                <w:sz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/>
                <w:sz w:val="22"/>
                <w:lang w:val="cs-CZ"/>
              </w:rPr>
              <w:t>seat</w:t>
            </w:r>
            <w:proofErr w:type="spellEnd"/>
            <w:r w:rsidRPr="00F7529D">
              <w:rPr>
                <w:rFonts w:ascii="Arial" w:hAnsi="Arial"/>
                <w:sz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/>
                <w:sz w:val="22"/>
                <w:lang w:val="cs-CZ"/>
              </w:rPr>
              <w:t>at</w:t>
            </w:r>
            <w:proofErr w:type="spellEnd"/>
            <w:r w:rsidRPr="00F7529D">
              <w:rPr>
                <w:rFonts w:ascii="Arial" w:hAnsi="Arial"/>
                <w:sz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/>
                <w:sz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/>
                <w:sz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/>
                <w:sz w:val="22"/>
                <w:lang w:val="cs-CZ"/>
              </w:rPr>
              <w:t>address</w:t>
            </w:r>
            <w:proofErr w:type="spellEnd"/>
            <w:r w:rsidRPr="00F7529D">
              <w:rPr>
                <w:rFonts w:ascii="Arial" w:hAnsi="Arial"/>
                <w:sz w:val="22"/>
                <w:lang w:val="cs-CZ"/>
              </w:rPr>
              <w:t xml:space="preserve">: </w:t>
            </w:r>
          </w:p>
          <w:p w14:paraId="16B9499F" w14:textId="39E57516" w:rsidR="00D54538" w:rsidRDefault="00D54538" w:rsidP="00D54538">
            <w:pPr>
              <w:ind w:left="2124" w:hanging="212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D5453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Sadová 1596/33,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D5453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Blansko</w:t>
            </w:r>
          </w:p>
          <w:p w14:paraId="591C7B41" w14:textId="30D92DA8" w:rsidR="00FF4351" w:rsidRPr="00F7529D" w:rsidRDefault="00FF4351" w:rsidP="00D54538">
            <w:pPr>
              <w:ind w:left="2124" w:hanging="2124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7529D">
              <w:rPr>
                <w:rFonts w:ascii="Arial" w:hAnsi="Arial"/>
                <w:sz w:val="22"/>
                <w:lang w:val="cs-CZ"/>
              </w:rPr>
              <w:t xml:space="preserve">PSČ: </w:t>
            </w:r>
            <w:r w:rsidR="00D54538" w:rsidRPr="00D5453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678 31</w:t>
            </w:r>
          </w:p>
          <w:p w14:paraId="34B15E22" w14:textId="1672964B" w:rsidR="00FF4351" w:rsidRPr="00F7529D" w:rsidRDefault="00FF4351" w:rsidP="00FF4351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7529D">
              <w:rPr>
                <w:rFonts w:ascii="Arial" w:hAnsi="Arial"/>
                <w:sz w:val="22"/>
                <w:lang w:val="cs-CZ"/>
              </w:rPr>
              <w:t xml:space="preserve">Business ID No.: </w:t>
            </w:r>
            <w:r w:rsidR="00024349" w:rsidRPr="0002434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00386634</w:t>
            </w:r>
          </w:p>
          <w:p w14:paraId="13750696" w14:textId="52E30C52" w:rsidR="00FF4351" w:rsidRPr="00BE59D8" w:rsidRDefault="00FF4351" w:rsidP="00FF4351">
            <w:pPr>
              <w:jc w:val="both"/>
              <w:rPr>
                <w:rFonts w:ascii="Arial" w:hAnsi="Arial"/>
                <w:sz w:val="22"/>
                <w:lang w:val="cs-CZ"/>
              </w:rPr>
            </w:pPr>
            <w:r w:rsidRPr="00F7529D">
              <w:rPr>
                <w:rFonts w:ascii="Arial" w:hAnsi="Arial"/>
                <w:sz w:val="22"/>
                <w:lang w:val="cs-CZ"/>
              </w:rPr>
              <w:t xml:space="preserve">Tax ID No.: </w:t>
            </w:r>
            <w:r w:rsidR="000F636B" w:rsidRPr="000F636B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ab/>
            </w:r>
            <w:r w:rsidR="000F636B" w:rsidRPr="00BE59D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CZ</w:t>
            </w:r>
            <w:r w:rsidR="00024349" w:rsidRPr="00BE59D8">
              <w:t xml:space="preserve"> </w:t>
            </w:r>
            <w:r w:rsidR="00024349" w:rsidRPr="00BE59D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00386634</w:t>
            </w:r>
          </w:p>
          <w:p w14:paraId="568C840A" w14:textId="7D354ABD" w:rsidR="00FF4351" w:rsidRDefault="00FF4351" w:rsidP="00FF4351">
            <w:pPr>
              <w:jc w:val="both"/>
              <w:rPr>
                <w:rFonts w:ascii="Arial" w:hAnsi="Arial"/>
                <w:sz w:val="22"/>
                <w:lang w:val="cs-CZ"/>
              </w:rPr>
            </w:pPr>
            <w:proofErr w:type="spellStart"/>
            <w:r w:rsidRPr="00BE59D8">
              <w:rPr>
                <w:rFonts w:ascii="Arial" w:hAnsi="Arial"/>
                <w:sz w:val="22"/>
                <w:lang w:val="cs-CZ"/>
              </w:rPr>
              <w:t>account</w:t>
            </w:r>
            <w:proofErr w:type="spellEnd"/>
            <w:r w:rsidRPr="00BE59D8">
              <w:rPr>
                <w:rFonts w:ascii="Arial" w:hAnsi="Arial"/>
                <w:sz w:val="22"/>
                <w:lang w:val="cs-CZ"/>
              </w:rPr>
              <w:t xml:space="preserve"> No.: </w:t>
            </w:r>
            <w:r w:rsidR="00024349" w:rsidRPr="00BE59D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632109514</w:t>
            </w:r>
            <w:r w:rsidR="00024349" w:rsidRPr="0002434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/0600</w:t>
            </w:r>
            <w:r w:rsidRPr="00F7529D">
              <w:rPr>
                <w:rFonts w:ascii="Arial" w:hAnsi="Arial"/>
                <w:sz w:val="22"/>
                <w:lang w:val="cs-CZ"/>
              </w:rPr>
              <w:t xml:space="preserve">, </w:t>
            </w:r>
          </w:p>
          <w:p w14:paraId="38181A72" w14:textId="77777777" w:rsidR="00BE59D8" w:rsidRPr="00BE59D8" w:rsidRDefault="00BE59D8" w:rsidP="00BE59D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59D8">
              <w:rPr>
                <w:rFonts w:ascii="Arial" w:hAnsi="Arial" w:cs="Arial"/>
                <w:sz w:val="22"/>
                <w:szCs w:val="22"/>
              </w:rPr>
              <w:t xml:space="preserve">Registered with the Commercial Register administered </w:t>
            </w:r>
            <w:proofErr w:type="spellStart"/>
            <w:r w:rsidRPr="00BE59D8">
              <w:rPr>
                <w:rFonts w:ascii="Arial" w:hAnsi="Arial" w:cs="Arial"/>
                <w:sz w:val="22"/>
                <w:szCs w:val="22"/>
              </w:rPr>
              <w:t>Krajským</w:t>
            </w:r>
            <w:proofErr w:type="spellEnd"/>
            <w:r w:rsidRPr="00BE59D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59D8">
              <w:rPr>
                <w:rFonts w:ascii="Arial" w:hAnsi="Arial" w:cs="Arial"/>
                <w:sz w:val="22"/>
                <w:szCs w:val="22"/>
              </w:rPr>
              <w:t>soudem</w:t>
            </w:r>
            <w:proofErr w:type="spellEnd"/>
            <w:r w:rsidRPr="00BE59D8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BE59D8">
              <w:rPr>
                <w:rFonts w:ascii="Arial" w:hAnsi="Arial" w:cs="Arial"/>
                <w:sz w:val="22"/>
                <w:szCs w:val="22"/>
              </w:rPr>
              <w:t>Brně</w:t>
            </w:r>
            <w:proofErr w:type="spellEnd"/>
            <w:r w:rsidRPr="00BE59D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E59D8">
              <w:rPr>
                <w:rFonts w:ascii="Arial" w:hAnsi="Arial" w:cs="Arial"/>
                <w:sz w:val="22"/>
                <w:szCs w:val="22"/>
              </w:rPr>
              <w:t>vložka</w:t>
            </w:r>
            <w:proofErr w:type="spellEnd"/>
            <w:r w:rsidRPr="00BE59D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59D8">
              <w:rPr>
                <w:rFonts w:ascii="Arial" w:hAnsi="Arial" w:cs="Arial"/>
                <w:sz w:val="22"/>
                <w:szCs w:val="22"/>
              </w:rPr>
              <w:t>Pr</w:t>
            </w:r>
            <w:proofErr w:type="spellEnd"/>
            <w:r w:rsidRPr="00BE59D8">
              <w:rPr>
                <w:rFonts w:ascii="Arial" w:hAnsi="Arial" w:cs="Arial"/>
                <w:sz w:val="22"/>
                <w:szCs w:val="22"/>
              </w:rPr>
              <w:t xml:space="preserve"> č. 1603</w:t>
            </w:r>
          </w:p>
          <w:p w14:paraId="6C5805A3" w14:textId="0FBB5677" w:rsidR="00D02321" w:rsidRDefault="00BE59D8" w:rsidP="00BE59D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BE59D8">
              <w:rPr>
                <w:rFonts w:ascii="Arial" w:hAnsi="Arial" w:cs="Arial"/>
                <w:sz w:val="22"/>
                <w:szCs w:val="22"/>
              </w:rPr>
              <w:t xml:space="preserve">Represented by: </w:t>
            </w:r>
            <w:proofErr w:type="spellStart"/>
            <w:r w:rsidRPr="00BE59D8">
              <w:rPr>
                <w:rFonts w:ascii="Arial" w:hAnsi="Arial" w:cs="Arial"/>
                <w:sz w:val="22"/>
                <w:szCs w:val="22"/>
              </w:rPr>
              <w:t>MUDr</w:t>
            </w:r>
            <w:proofErr w:type="spellEnd"/>
            <w:r w:rsidRPr="00BE59D8">
              <w:rPr>
                <w:rFonts w:ascii="Arial" w:hAnsi="Arial" w:cs="Arial"/>
                <w:sz w:val="22"/>
                <w:szCs w:val="22"/>
              </w:rPr>
              <w:t xml:space="preserve">. Vladimíra Danihelková, MBA, </w:t>
            </w:r>
            <w:proofErr w:type="spellStart"/>
            <w:r w:rsidRPr="00BE59D8">
              <w:rPr>
                <w:rFonts w:ascii="Arial" w:hAnsi="Arial" w:cs="Arial"/>
                <w:sz w:val="22"/>
                <w:szCs w:val="22"/>
              </w:rPr>
              <w:t>ředitelka</w:t>
            </w:r>
            <w:proofErr w:type="spellEnd"/>
            <w:r w:rsidRPr="00BE59D8">
              <w:rPr>
                <w:rFonts w:ascii="Arial" w:hAnsi="Arial" w:cs="Arial"/>
                <w:sz w:val="22"/>
                <w:szCs w:val="22"/>
              </w:rPr>
              <w:t>/Director</w:t>
            </w:r>
          </w:p>
          <w:p w14:paraId="242B76BA" w14:textId="57582A35" w:rsidR="005E3A76" w:rsidRPr="00F7529D" w:rsidRDefault="00061A58" w:rsidP="0008153E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customer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76228293" w14:textId="58ADF20B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“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customer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”). </w:t>
            </w:r>
          </w:p>
          <w:p w14:paraId="24F82D0A" w14:textId="77777777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FE49C97" w14:textId="0309865F" w:rsidR="00061A58" w:rsidRDefault="005E3A76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</w:t>
            </w:r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customer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and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shall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be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collectively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“</w:t>
            </w:r>
            <w:proofErr w:type="spellStart"/>
            <w:r w:rsidR="00061A58"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061A58"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="00061A58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”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)</w:t>
            </w:r>
          </w:p>
          <w:p w14:paraId="7C3FB5BC" w14:textId="77777777" w:rsidR="00D02321" w:rsidRDefault="00D0232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662E356" w14:textId="77777777" w:rsidR="00D02321" w:rsidRPr="00F7529D" w:rsidRDefault="00D0232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0584364" w14:textId="77777777" w:rsidR="00061A58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7E8FCC5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96D8D54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E806584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5F00B8E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0736B28" w14:textId="77777777" w:rsidR="00BE59D8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B74BBD3" w14:textId="77777777" w:rsidR="00BE59D8" w:rsidRPr="00F7529D" w:rsidRDefault="00BE59D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1E3ACE" w14:textId="77777777" w:rsidR="00061A58" w:rsidRPr="00F7529D" w:rsidRDefault="00061A58" w:rsidP="00F71432">
            <w:pPr>
              <w:pBdr>
                <w:top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3C2C4C1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follows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42030ABD" w14:textId="77777777" w:rsidR="00061A58" w:rsidRPr="00F7529D" w:rsidRDefault="00061A58" w:rsidP="00F71432">
            <w:pPr>
              <w:pBdr>
                <w:bottom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06D9806" w14:textId="77777777" w:rsidR="0070730B" w:rsidRPr="00F7529D" w:rsidRDefault="0070730B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B5C98F7" w14:textId="1EA583A9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</w:t>
            </w:r>
          </w:p>
          <w:p w14:paraId="4A64EAC9" w14:textId="77777777" w:rsidR="00061A58" w:rsidRPr="00F7529D" w:rsidRDefault="00061A58" w:rsidP="00F71432">
            <w:pPr>
              <w:pStyle w:val="Nadpis1"/>
              <w:contextualSpacing/>
              <w:outlineLvl w:val="0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>Introductory</w:t>
            </w:r>
            <w:proofErr w:type="spellEnd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>Provisions</w:t>
            </w:r>
            <w:proofErr w:type="spellEnd"/>
          </w:p>
          <w:p w14:paraId="1C8FFD8F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458410D" w14:textId="7967356B" w:rsidR="00FA5475" w:rsidRDefault="00FA5475" w:rsidP="0003114E">
            <w:pPr>
              <w:pStyle w:val="Zkladntext2"/>
              <w:numPr>
                <w:ilvl w:val="0"/>
                <w:numId w:val="11"/>
              </w:numPr>
              <w:tabs>
                <w:tab w:val="clear" w:pos="1065"/>
              </w:tabs>
              <w:ind w:left="318" w:hanging="28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9B5AD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On </w:t>
            </w:r>
            <w:r w:rsidR="00213A7E" w:rsidRPr="009B5AD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21</w:t>
            </w:r>
            <w:r w:rsidR="00DB154B" w:rsidRPr="009B5AD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.3.2024</w:t>
            </w:r>
            <w:r w:rsidRPr="009B5AD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entered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into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Volume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Bonus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supply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medicinal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products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") in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accordance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Section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1746(2)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Act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89/2012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Coll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.,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Civil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Civil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").</w:t>
            </w:r>
          </w:p>
          <w:p w14:paraId="51FACA16" w14:textId="77777777" w:rsidR="00B42CC3" w:rsidRPr="0003114E" w:rsidRDefault="00B42CC3" w:rsidP="00B42CC3">
            <w:pPr>
              <w:pStyle w:val="Zkladntext2"/>
              <w:ind w:left="318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B26166B" w14:textId="7E9B669C" w:rsidR="00FA5475" w:rsidRPr="00F7529D" w:rsidRDefault="00FA5475" w:rsidP="00FA5475">
            <w:pPr>
              <w:pStyle w:val="Zkladntext2"/>
              <w:numPr>
                <w:ilvl w:val="0"/>
                <w:numId w:val="11"/>
              </w:numPr>
              <w:tabs>
                <w:tab w:val="clear" w:pos="1065"/>
              </w:tabs>
              <w:ind w:left="318" w:hanging="28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therefore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decided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conclude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written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numbered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35609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mendment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accordance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Article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VI(6)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. </w:t>
            </w:r>
          </w:p>
          <w:p w14:paraId="06C6B66D" w14:textId="77777777" w:rsidR="00F07A0C" w:rsidRDefault="00F07A0C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C9C5951" w14:textId="77777777" w:rsidR="00D06DD4" w:rsidRPr="00F7529D" w:rsidRDefault="00D06DD4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6CA2B63" w14:textId="77777777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</w:t>
            </w:r>
          </w:p>
          <w:p w14:paraId="64EF2D29" w14:textId="0EE63084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Subject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Matter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</w:p>
          <w:p w14:paraId="12BFF7F8" w14:textId="77777777" w:rsidR="00C176FB" w:rsidRDefault="00C176FB" w:rsidP="003368EA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4A10690" w14:textId="622C97E3" w:rsidR="00C176FB" w:rsidRPr="007133BC" w:rsidRDefault="00C176FB" w:rsidP="00C176FB">
            <w:pPr>
              <w:pStyle w:val="Zkladntext2"/>
              <w:numPr>
                <w:ilvl w:val="0"/>
                <w:numId w:val="21"/>
              </w:numPr>
              <w:tabs>
                <w:tab w:val="clear" w:pos="1065"/>
              </w:tabs>
              <w:ind w:left="313" w:hanging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33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DC05F3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contractual p</w:t>
            </w:r>
            <w:r w:rsidRPr="007133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arties agree that Article III(10) of the </w:t>
            </w:r>
            <w:r w:rsidR="00DC05F3">
              <w:rPr>
                <w:rFonts w:ascii="Arial" w:hAnsi="Arial" w:cs="Arial"/>
                <w:color w:val="000000" w:themeColor="text1"/>
                <w:sz w:val="22"/>
                <w:szCs w:val="22"/>
              </w:rPr>
              <w:t>Agreement</w:t>
            </w:r>
            <w:r w:rsidRPr="007133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shall be amended as follows:</w:t>
            </w:r>
          </w:p>
          <w:p w14:paraId="008587B3" w14:textId="77777777" w:rsidR="00C176FB" w:rsidRPr="007133BC" w:rsidRDefault="00C176FB" w:rsidP="007133BC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B39926" w14:textId="63CBC06C" w:rsidR="00C176FB" w:rsidRPr="007133BC" w:rsidRDefault="00C176FB" w:rsidP="00C176FB">
            <w:pPr>
              <w:pStyle w:val="Zkladntext2"/>
              <w:ind w:left="313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"10. The contractual parties may communicate with each other electronically, i.e. by sending messages to the e-mail address of the other </w:t>
            </w:r>
            <w:r w:rsidR="00DC05F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contractual p</w:t>
            </w: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arty, to the e-mail addresses specified herein:</w:t>
            </w:r>
          </w:p>
          <w:p w14:paraId="0E070659" w14:textId="6A3B470B" w:rsidR="00C176FB" w:rsidRPr="007133BC" w:rsidRDefault="00C176FB" w:rsidP="00C176FB">
            <w:pPr>
              <w:pStyle w:val="Zkladntext2"/>
              <w:ind w:left="313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Supplier: </w:t>
            </w:r>
            <w:proofErr w:type="spellStart"/>
            <w:r w:rsidR="008E1DD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xxxxxxxxxxxxx</w:t>
            </w:r>
            <w:proofErr w:type="spellEnd"/>
            <w:r w:rsidR="008E1DD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E1DD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xxxxxxxxxxxxxxx</w:t>
            </w:r>
            <w:proofErr w:type="spellEnd"/>
          </w:p>
          <w:p w14:paraId="4827F165" w14:textId="3EE66BFD" w:rsidR="003567DF" w:rsidRDefault="00C176FB" w:rsidP="00556E32">
            <w:pPr>
              <w:pStyle w:val="Zkladntext2"/>
              <w:ind w:left="313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Customer: </w:t>
            </w:r>
            <w:proofErr w:type="spellStart"/>
            <w:r w:rsidR="008E1DD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xxxxxxxxxxxxxxxxxxxxx</w:t>
            </w:r>
            <w:proofErr w:type="spellEnd"/>
          </w:p>
          <w:p w14:paraId="00201B95" w14:textId="08A1F45B" w:rsidR="00622113" w:rsidRPr="00556E32" w:rsidRDefault="00C176FB" w:rsidP="00556E32">
            <w:pPr>
              <w:pStyle w:val="Zkladntext2"/>
              <w:ind w:left="313"/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Electronic communication shall be deemed by both </w:t>
            </w:r>
            <w:r w:rsidR="00DC05F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contractual p</w:t>
            </w:r>
            <w:r w:rsidRPr="007133B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arties to be communication in written."</w:t>
            </w:r>
          </w:p>
          <w:p w14:paraId="03699A97" w14:textId="77777777" w:rsidR="00B33FEF" w:rsidRDefault="00B33FEF" w:rsidP="00CF4B46">
            <w:pPr>
              <w:pStyle w:val="Zkladntext2"/>
              <w:ind w:left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ACD81F5" w14:textId="305ABADF" w:rsidR="00741823" w:rsidRPr="003368EA" w:rsidRDefault="00622113" w:rsidP="003368EA">
            <w:pPr>
              <w:pStyle w:val="Zkladntext2"/>
              <w:numPr>
                <w:ilvl w:val="0"/>
                <w:numId w:val="21"/>
              </w:numPr>
              <w:tabs>
                <w:tab w:val="clear" w:pos="1065"/>
              </w:tabs>
              <w:ind w:left="313" w:hanging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further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1, 2025,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entitled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Model and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alculation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rade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advantage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",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shall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amended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replacing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new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1, 2025, as set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forth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7CF1A91A" w14:textId="77777777" w:rsidR="00B2253A" w:rsidRDefault="00B2253A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EDE015F" w14:textId="77777777" w:rsidR="00135F0D" w:rsidRDefault="00135F0D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19AA8F8" w14:textId="77777777" w:rsidR="00135F0D" w:rsidRDefault="00135F0D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46457B7" w14:textId="77777777" w:rsidR="00135F0D" w:rsidRPr="00135F0D" w:rsidRDefault="00135F0D" w:rsidP="00135F0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19C0C3E" w14:textId="77777777" w:rsidR="00135F0D" w:rsidRDefault="00135F0D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73C9BBD" w14:textId="77777777" w:rsidR="00135F0D" w:rsidRPr="00135F0D" w:rsidRDefault="00135F0D" w:rsidP="00135F0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AA8C1A" w14:textId="482BE3B5" w:rsidR="00741823" w:rsidRPr="00B2253A" w:rsidRDefault="00741823" w:rsidP="00B2253A">
            <w:pPr>
              <w:pStyle w:val="Zkladntext2"/>
              <w:numPr>
                <w:ilvl w:val="0"/>
                <w:numId w:val="21"/>
              </w:numPr>
              <w:tabs>
                <w:tab w:val="clear" w:pos="1065"/>
              </w:tabs>
              <w:ind w:left="313" w:hanging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further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="00AD4658"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1,</w:t>
            </w:r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2025,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new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Terms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and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Business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Cooperation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text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which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is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attached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="00D919D4"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</w:t>
            </w:r>
            <w:r w:rsidR="263A1C42"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</w:t>
            </w:r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shall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become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part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B2253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2C0F9A90" w14:textId="77777777" w:rsidR="008F1F45" w:rsidRPr="00F7529D" w:rsidRDefault="008F1F45" w:rsidP="008F1F45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374DA93" w14:textId="77777777" w:rsidR="00556E32" w:rsidRDefault="00556E32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6DA95C2E" w14:textId="0CC4581C" w:rsidR="008F1F45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III</w:t>
            </w:r>
          </w:p>
          <w:p w14:paraId="3144CFC1" w14:textId="13EB880B" w:rsidR="00F601E4" w:rsidRDefault="004859CF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</w:p>
          <w:p w14:paraId="5571352C" w14:textId="77777777" w:rsidR="00F601E4" w:rsidRDefault="00F601E4" w:rsidP="00F601E4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2DA8AA44" w14:textId="39E3D8DC" w:rsidR="00F601E4" w:rsidRPr="004859CF" w:rsidRDefault="00F601E4" w:rsidP="00F601E4">
            <w:pPr>
              <w:pStyle w:val="Zkladntext2"/>
              <w:numPr>
                <w:ilvl w:val="0"/>
                <w:numId w:val="23"/>
              </w:numPr>
              <w:ind w:left="313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hereby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should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necessary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publish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pursuant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Act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No. 340/2015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Coll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., on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special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for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effectiveness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some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publication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these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, and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register of contracts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as amended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hereinafter referred to as 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the “</w:t>
            </w:r>
            <w:r w:rsidRPr="00F7143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 on the Register of Contracts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”), the customer shall be obliged to publish this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Amendment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1847256" w14:textId="77777777" w:rsidR="00F601E4" w:rsidRDefault="00F601E4" w:rsidP="00F601E4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37CF27" w14:textId="6F3C8532" w:rsidR="00F601E4" w:rsidRPr="00F7529D" w:rsidRDefault="00F601E4" w:rsidP="00F601E4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IV</w:t>
            </w:r>
          </w:p>
          <w:p w14:paraId="154230B2" w14:textId="6BDEBACA" w:rsidR="008F1F45" w:rsidRPr="00F7529D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Final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F4E3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P</w:t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rovisions</w:t>
            </w:r>
            <w:proofErr w:type="spellEnd"/>
          </w:p>
          <w:p w14:paraId="62A190A2" w14:textId="77777777" w:rsidR="008F1F45" w:rsidRPr="00F7529D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4E09B7B" w14:textId="3F537A62" w:rsidR="003D49BF" w:rsidRPr="00CE2BE3" w:rsidRDefault="003D49BF" w:rsidP="00CE2BE3">
            <w:pPr>
              <w:pStyle w:val="Zkladntext2"/>
              <w:numPr>
                <w:ilvl w:val="0"/>
                <w:numId w:val="24"/>
              </w:numPr>
              <w:ind w:left="313" w:hanging="284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F4E3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enters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into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force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date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signature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last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party and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into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effect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date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its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publication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registry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accorning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Act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on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.</w:t>
            </w:r>
            <w:r w:rsidR="00CE2BE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rules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for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applying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bonus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under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are </w:t>
            </w:r>
            <w:proofErr w:type="spellStart"/>
            <w:r w:rsidR="00B33FE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valid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from</w:t>
            </w:r>
            <w:proofErr w:type="spellEnd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="00CE2BE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1,</w:t>
            </w:r>
            <w:r w:rsidR="00CE2BE3" w:rsidRPr="00AB3FE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2025.</w:t>
            </w:r>
          </w:p>
          <w:p w14:paraId="5095240E" w14:textId="77777777" w:rsidR="004859CF" w:rsidRPr="003D49BF" w:rsidRDefault="004859CF" w:rsidP="004859CF">
            <w:pPr>
              <w:pStyle w:val="Zkladntext2"/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14B469E" w14:textId="4C5D83EE" w:rsidR="00C27B52" w:rsidRDefault="008F1F45" w:rsidP="00270271">
            <w:pPr>
              <w:pStyle w:val="Zkladntext2"/>
              <w:numPr>
                <w:ilvl w:val="0"/>
                <w:numId w:val="24"/>
              </w:numPr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does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not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modify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any</w:t>
            </w:r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other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provisions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="008E1C72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.</w:t>
            </w:r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6D6FF3C0" w14:textId="77777777" w:rsidR="008E1C72" w:rsidRPr="008E1C72" w:rsidRDefault="008E1C72" w:rsidP="008E1C72">
            <w:pPr>
              <w:pStyle w:val="Zkladntext2"/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482BF905" w14:textId="5F115373" w:rsidR="00E25930" w:rsidRDefault="008F1F45" w:rsidP="003D49BF">
            <w:pPr>
              <w:pStyle w:val="Zkladntext2"/>
              <w:numPr>
                <w:ilvl w:val="0"/>
                <w:numId w:val="24"/>
              </w:numPr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</w:t>
            </w: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arties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declare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they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read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before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signing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contents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correspond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their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true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serious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free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will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which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they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confirm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their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signatures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below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5D8DD71A" w14:textId="77777777" w:rsidR="00F211A7" w:rsidRDefault="00F211A7" w:rsidP="00F211A7">
            <w:pPr>
              <w:pStyle w:val="Odstavecseseznamem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877F8BA" w14:textId="77777777" w:rsidR="00F211A7" w:rsidRDefault="00F211A7" w:rsidP="00F211A7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0506ED02" w14:textId="77777777" w:rsidR="00F211A7" w:rsidRPr="0003114E" w:rsidRDefault="00F211A7" w:rsidP="00F211A7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19C9433D" w14:textId="2A2BC71F" w:rsidR="00622113" w:rsidRDefault="00622113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No.</w:t>
            </w:r>
            <w:r w:rsidR="002F33B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1 - Model and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alculation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rade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advantage</w:t>
            </w:r>
            <w:proofErr w:type="spellEnd"/>
            <w:r w:rsidR="00F211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F211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Terms</w:t>
            </w:r>
            <w:proofErr w:type="spellEnd"/>
            <w:r w:rsidR="00F211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</w:t>
            </w:r>
            <w:proofErr w:type="spellStart"/>
            <w:r w:rsidR="00F211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 w:rsidR="00F211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211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="00F211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Business </w:t>
            </w:r>
            <w:proofErr w:type="spellStart"/>
            <w:r w:rsidR="00F211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Cooperation</w:t>
            </w:r>
            <w:proofErr w:type="spellEnd"/>
          </w:p>
          <w:p w14:paraId="1E0F5766" w14:textId="77777777" w:rsidR="00741823" w:rsidRDefault="00741823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3757A924" w14:textId="77777777" w:rsidR="00741823" w:rsidRDefault="00741823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77C65884" w14:textId="77777777" w:rsidR="00F211A7" w:rsidRDefault="00F211A7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7669E42C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1C375F64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7C745C1D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4555C946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2694B0BB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8D4A73B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160726FC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AB9FAAE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2A41D1A" w14:textId="77777777" w:rsidR="00556E32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0748F66B" w14:textId="20C4FD40" w:rsidR="00556E32" w:rsidRPr="00CF4B46" w:rsidRDefault="00556E32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F71432" w:rsidRPr="003E6233" w14:paraId="5C3DE15A" w14:textId="77777777" w:rsidTr="3011D7A3">
        <w:tc>
          <w:tcPr>
            <w:tcW w:w="4531" w:type="dxa"/>
          </w:tcPr>
          <w:p w14:paraId="753C59B8" w14:textId="620AB5AB" w:rsidR="00CB4877" w:rsidRPr="00F7529D" w:rsidRDefault="00CB4877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59DEDF3" w14:textId="6DAD669A" w:rsidR="00CB4877" w:rsidRPr="00F7529D" w:rsidRDefault="00FC5E91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V Praze den / </w:t>
            </w:r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In Prague on</w:t>
            </w:r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…</w:t>
            </w:r>
            <w:r w:rsidR="008E1DD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2.6.2025</w:t>
            </w:r>
          </w:p>
          <w:p w14:paraId="2D60B818" w14:textId="5F0B68EC" w:rsidR="00CB4877" w:rsidRPr="00F7529D" w:rsidRDefault="00CB4877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7283313B" w14:textId="08E72E3C" w:rsidR="00CB4877" w:rsidRPr="00F7529D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Dodavatel / </w:t>
            </w:r>
            <w:proofErr w:type="spellStart"/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6946D913" w14:textId="77777777" w:rsidR="00FC5E91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971ECE9" w14:textId="77777777" w:rsidR="005C0ED9" w:rsidRDefault="005C0ED9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22AC291" w14:textId="77777777" w:rsidR="005C0ED9" w:rsidRPr="00F7529D" w:rsidRDefault="005C0ED9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E048D56" w14:textId="77777777" w:rsidR="00CB4877" w:rsidRPr="00F7529D" w:rsidRDefault="00CB4877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____________________________</w:t>
            </w:r>
          </w:p>
          <w:p w14:paraId="7FAEDB1A" w14:textId="71DC757F" w:rsidR="00CB4877" w:rsidRPr="00F7529D" w:rsidRDefault="00CB4877" w:rsidP="00F7143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6EEEDBA0" w14:textId="4A01E353" w:rsidR="00CB4877" w:rsidRPr="00F7529D" w:rsidRDefault="00334FA2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Diego Basso</w:t>
            </w:r>
            <w:r w:rsidR="00B4227F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</w:t>
            </w:r>
            <w:r w:rsidR="00022BCC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jednatel/</w:t>
            </w:r>
            <w:r w:rsidR="00FC5E91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22BCC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Executive</w:t>
            </w:r>
            <w:proofErr w:type="spellEnd"/>
          </w:p>
          <w:p w14:paraId="4A0876D5" w14:textId="4C954223" w:rsidR="00CB4877" w:rsidRPr="00F7529D" w:rsidRDefault="00CB4877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3DF1F80A" w14:textId="77777777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010BB17" w14:textId="77777777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A08C521" w14:textId="06EC3DEF" w:rsidR="00CB4877" w:rsidRPr="00F7529D" w:rsidRDefault="00CB4877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____________________________</w:t>
            </w:r>
          </w:p>
          <w:p w14:paraId="0D7F472D" w14:textId="319480A6" w:rsidR="00CB4877" w:rsidRPr="00F7529D" w:rsidRDefault="00CB4877" w:rsidP="00F7143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5B4D2171" w14:textId="74D4CAD8" w:rsidR="00022BCC" w:rsidRPr="00F7529D" w:rsidRDefault="00022BCC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Jarmila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Csóková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jednatelka</w:t>
            </w:r>
            <w:r w:rsidR="00FC5E91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/</w:t>
            </w:r>
            <w:r w:rsidR="00FC5E91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Executive</w:t>
            </w:r>
            <w:proofErr w:type="spellEnd"/>
          </w:p>
          <w:p w14:paraId="19FE84BD" w14:textId="5CEBC0B7" w:rsidR="00CB4877" w:rsidRPr="00F7529D" w:rsidRDefault="00CB4877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</w:tcPr>
          <w:p w14:paraId="7D8FDEBB" w14:textId="77777777" w:rsidR="00CB4877" w:rsidRPr="00F7529D" w:rsidRDefault="00CB4877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0AFBEE4" w14:textId="39ECFEC7" w:rsidR="008E1DD2" w:rsidRDefault="00070BF9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 </w:t>
            </w:r>
            <w:proofErr w:type="spellStart"/>
            <w:r w:rsidR="003E6233" w:rsidRPr="003E6233">
              <w:rPr>
                <w:rFonts w:ascii="Arial" w:hAnsi="Arial" w:cs="Arial"/>
                <w:color w:val="000000" w:themeColor="text1"/>
                <w:sz w:val="22"/>
                <w:szCs w:val="22"/>
              </w:rPr>
              <w:t>Blansku</w:t>
            </w:r>
            <w:proofErr w:type="spellEnd"/>
            <w:r w:rsidR="00FC5E91" w:rsidRPr="003E62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C5E91" w:rsidRPr="003E6233">
              <w:rPr>
                <w:rFonts w:ascii="Arial" w:hAnsi="Arial" w:cs="Arial"/>
                <w:color w:val="000000" w:themeColor="text1"/>
                <w:sz w:val="22"/>
                <w:szCs w:val="22"/>
              </w:rPr>
              <w:t>dne</w:t>
            </w:r>
            <w:proofErr w:type="spellEnd"/>
            <w:r w:rsidR="00FC5E91" w:rsidRPr="003E62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r w:rsidR="002C18AF" w:rsidRPr="003E623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In </w:t>
            </w:r>
            <w:proofErr w:type="spellStart"/>
            <w:r w:rsidR="003E6233" w:rsidRPr="003E623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Blansku</w:t>
            </w:r>
            <w:proofErr w:type="spellEnd"/>
            <w:r w:rsidR="00CB4877" w:rsidRPr="18595AF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on</w:t>
            </w:r>
            <w:r w:rsidR="00033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E1DD2">
              <w:rPr>
                <w:rFonts w:ascii="Arial" w:hAnsi="Arial" w:cs="Arial"/>
                <w:color w:val="000000" w:themeColor="text1"/>
                <w:sz w:val="22"/>
                <w:szCs w:val="22"/>
              </w:rPr>
              <w:t>6.6.2025</w:t>
            </w:r>
          </w:p>
          <w:p w14:paraId="53F6EF49" w14:textId="77777777" w:rsidR="008E1DD2" w:rsidRPr="00F7529D" w:rsidRDefault="008E1DD2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672E6FAA" w14:textId="3689E251" w:rsidR="00CB4877" w:rsidRPr="00F7529D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Odběratel / </w:t>
            </w:r>
            <w:proofErr w:type="spellStart"/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Customer</w:t>
            </w:r>
            <w:proofErr w:type="spellEnd"/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66ADD659" w14:textId="77777777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7C10C27" w14:textId="3A566D71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0B16C02" w14:textId="77777777" w:rsidR="00FC5E91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15E06F9" w14:textId="77777777" w:rsidR="00826595" w:rsidRDefault="00826595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8F02933" w14:textId="77777777" w:rsidR="00826595" w:rsidRDefault="00826595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6329D87" w14:textId="77777777" w:rsidR="00826595" w:rsidRDefault="00826595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FCE57D6" w14:textId="77777777" w:rsidR="00826595" w:rsidRPr="00F7529D" w:rsidRDefault="00826595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B7EB308" w14:textId="3471406B" w:rsidR="00CB4877" w:rsidRPr="00F7529D" w:rsidRDefault="00CB4877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</w:t>
            </w:r>
          </w:p>
          <w:p w14:paraId="45C25D76" w14:textId="77777777" w:rsidR="003E6233" w:rsidRPr="003E6233" w:rsidRDefault="003E6233" w:rsidP="003E6233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3E623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Nemocnice Blansko</w:t>
            </w:r>
          </w:p>
          <w:p w14:paraId="780F49A5" w14:textId="4C885C0C" w:rsidR="003A21AF" w:rsidRPr="003E6233" w:rsidRDefault="003E6233" w:rsidP="003E623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3E623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MUDr. Vladimíra Danihelková, MBA, ředitelka/</w:t>
            </w:r>
            <w:proofErr w:type="spellStart"/>
            <w:r w:rsidRPr="003E623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Director</w:t>
            </w:r>
            <w:proofErr w:type="spellEnd"/>
          </w:p>
          <w:p w14:paraId="5436FABC" w14:textId="22EE3F9A" w:rsidR="003A21AF" w:rsidRPr="00487F6C" w:rsidRDefault="003A21AF" w:rsidP="00487F6C">
            <w:pPr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3FD73692" w14:textId="77777777" w:rsidR="005D0A29" w:rsidRPr="00F7529D" w:rsidRDefault="005D0A29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3"/>
        <w:gridCol w:w="3023"/>
      </w:tblGrid>
      <w:tr w:rsidR="008F3DC6" w:rsidRPr="003E6233" w14:paraId="7A0E904B" w14:textId="02432883" w:rsidTr="008F3DC6">
        <w:tc>
          <w:tcPr>
            <w:tcW w:w="3024" w:type="dxa"/>
          </w:tcPr>
          <w:p w14:paraId="23C4578F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3023" w:type="dxa"/>
          </w:tcPr>
          <w:p w14:paraId="3E5FBE26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3023" w:type="dxa"/>
          </w:tcPr>
          <w:p w14:paraId="6575CD8E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492C4A10" w14:textId="7B849AFE" w:rsidR="002B3A37" w:rsidRDefault="002B3A37" w:rsidP="3011D7A3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631991AC" w14:textId="0B1A5764" w:rsidR="00C163F4" w:rsidRDefault="00C163F4" w:rsidP="3011D7A3">
      <w:pPr>
        <w:spacing w:after="20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  <w:sectPr w:rsidR="00C163F4" w:rsidSect="00CB6E03"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FBCE68" w14:textId="77777777" w:rsidR="002B3A37" w:rsidRDefault="002B3A37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tbl>
      <w:tblPr>
        <w:tblW w:w="13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8"/>
        <w:gridCol w:w="6995"/>
      </w:tblGrid>
      <w:tr w:rsidR="008E1DD2" w:rsidRPr="002B3A37" w14:paraId="6B663CBA" w14:textId="77777777" w:rsidTr="009A75D8">
        <w:trPr>
          <w:trHeight w:val="2086"/>
        </w:trPr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02B8" w14:textId="77777777" w:rsidR="00F211A7" w:rsidRDefault="002B3A37" w:rsidP="002B3A37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br/>
              <w:t xml:space="preserve">Příloha č. 1 – </w:t>
            </w:r>
            <w:r w:rsidR="007418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V</w:t>
            </w:r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zor a výpočet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obchodního zvýhodnění</w:t>
            </w:r>
            <w:r w:rsidR="000E1D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</w:p>
          <w:p w14:paraId="63839F23" w14:textId="77777777" w:rsidR="00F211A7" w:rsidRDefault="000E1DCB" w:rsidP="002B3A37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Podmínky obchodní spolupráce </w:t>
            </w:r>
          </w:p>
          <w:p w14:paraId="4F62E089" w14:textId="392D09A6" w:rsidR="008E1DD2" w:rsidRPr="002B3A37" w:rsidRDefault="008E1DD2" w:rsidP="002B3A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05A3" w14:textId="77777777" w:rsidR="00F211A7" w:rsidRDefault="002B3A37" w:rsidP="002B3A37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br/>
            </w:r>
            <w:proofErr w:type="spellStart"/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1 – Model and </w:t>
            </w:r>
            <w:proofErr w:type="spellStart"/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calculation</w:t>
            </w:r>
            <w:proofErr w:type="spellEnd"/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2B3A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Trade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advantage</w:t>
            </w:r>
            <w:proofErr w:type="spellEnd"/>
            <w:r w:rsidR="000E1D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</w:p>
          <w:p w14:paraId="1F4CC1D6" w14:textId="635D3758" w:rsidR="002B3A37" w:rsidRPr="002B3A37" w:rsidRDefault="000E1DCB" w:rsidP="002B3A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7418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Terms</w:t>
            </w:r>
            <w:proofErr w:type="spellEnd"/>
            <w:r w:rsidRPr="007418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and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Business </w:t>
            </w:r>
            <w:proofErr w:type="spellStart"/>
            <w:r w:rsidRPr="007418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Cooperation</w:t>
            </w:r>
            <w:proofErr w:type="spellEnd"/>
          </w:p>
          <w:p w14:paraId="5EB4EEF4" w14:textId="77777777" w:rsidR="002B3A37" w:rsidRPr="002B3A37" w:rsidRDefault="002B3A37" w:rsidP="002B3A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D532E69" w14:textId="77777777" w:rsidR="00BD23F3" w:rsidRDefault="00BD23F3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71CB002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57F504D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A988B1C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6D64F8C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324B3D7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4C0B39B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1E0ACB7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D53EE8C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0484FDD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C3D1ED0" w14:textId="77777777" w:rsidR="008E1DD2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7D7C325" w14:textId="012CBC36" w:rsidR="008E1DD2" w:rsidRPr="002B3A37" w:rsidRDefault="008E1DD2" w:rsidP="0051269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0012F2A9" w14:textId="30601545" w:rsidR="002B3A37" w:rsidRDefault="002B3A37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tbl>
      <w:tblPr>
        <w:tblStyle w:val="Mkatabulky"/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7005"/>
        <w:gridCol w:w="6990"/>
      </w:tblGrid>
      <w:tr w:rsidR="6D3E7D77" w14:paraId="130A2F49" w14:textId="77777777" w:rsidTr="6D3E7D77">
        <w:trPr>
          <w:trHeight w:val="2475"/>
        </w:trPr>
        <w:tc>
          <w:tcPr>
            <w:tcW w:w="7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2EFA8" w14:textId="63A0F545" w:rsidR="6D3E7D77" w:rsidRDefault="6D3E7D77" w:rsidP="6D3E7D77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B9EF010" w14:textId="77777777" w:rsidR="6D3E7D77" w:rsidRDefault="6D3E7D77" w:rsidP="6D3E7D77">
            <w:pPr>
              <w:ind w:left="144"/>
              <w:jc w:val="both"/>
            </w:pPr>
          </w:p>
          <w:p w14:paraId="1D73C3D8" w14:textId="77777777" w:rsidR="008E1DD2" w:rsidRDefault="008E1DD2" w:rsidP="6D3E7D77">
            <w:pPr>
              <w:ind w:left="144"/>
              <w:jc w:val="both"/>
            </w:pPr>
          </w:p>
          <w:p w14:paraId="40A929CD" w14:textId="77777777" w:rsidR="008E1DD2" w:rsidRDefault="008E1DD2" w:rsidP="6D3E7D77">
            <w:pPr>
              <w:ind w:left="144"/>
              <w:jc w:val="both"/>
            </w:pPr>
          </w:p>
          <w:p w14:paraId="2E1FA739" w14:textId="77777777" w:rsidR="008E1DD2" w:rsidRDefault="008E1DD2" w:rsidP="6D3E7D77">
            <w:pPr>
              <w:ind w:left="144"/>
              <w:jc w:val="both"/>
            </w:pPr>
          </w:p>
          <w:p w14:paraId="49E7A1EE" w14:textId="77777777" w:rsidR="008E1DD2" w:rsidRDefault="008E1DD2" w:rsidP="6D3E7D77">
            <w:pPr>
              <w:ind w:left="144"/>
              <w:jc w:val="both"/>
            </w:pPr>
          </w:p>
          <w:p w14:paraId="5A469366" w14:textId="77777777" w:rsidR="008E1DD2" w:rsidRDefault="008E1DD2" w:rsidP="6D3E7D77">
            <w:pPr>
              <w:ind w:left="144"/>
              <w:jc w:val="both"/>
            </w:pPr>
          </w:p>
          <w:p w14:paraId="4AAEA480" w14:textId="77777777" w:rsidR="008E1DD2" w:rsidRDefault="008E1DD2" w:rsidP="6D3E7D77">
            <w:pPr>
              <w:ind w:left="144"/>
              <w:jc w:val="both"/>
            </w:pPr>
          </w:p>
          <w:p w14:paraId="263EFA59" w14:textId="77777777" w:rsidR="008E1DD2" w:rsidRDefault="008E1DD2" w:rsidP="6D3E7D77">
            <w:pPr>
              <w:ind w:left="144"/>
              <w:jc w:val="both"/>
            </w:pPr>
          </w:p>
          <w:p w14:paraId="5E659593" w14:textId="77777777" w:rsidR="008E1DD2" w:rsidRDefault="008E1DD2" w:rsidP="6D3E7D77">
            <w:pPr>
              <w:ind w:left="144"/>
              <w:jc w:val="both"/>
            </w:pPr>
          </w:p>
          <w:p w14:paraId="6E85B830" w14:textId="77777777" w:rsidR="008E1DD2" w:rsidRDefault="008E1DD2" w:rsidP="6D3E7D77">
            <w:pPr>
              <w:ind w:left="144"/>
              <w:jc w:val="both"/>
            </w:pPr>
          </w:p>
          <w:p w14:paraId="38FE25AB" w14:textId="77777777" w:rsidR="008E1DD2" w:rsidRDefault="008E1DD2" w:rsidP="6D3E7D77">
            <w:pPr>
              <w:ind w:left="144"/>
              <w:jc w:val="both"/>
            </w:pPr>
          </w:p>
          <w:p w14:paraId="2BBB3CFF" w14:textId="77777777" w:rsidR="008E1DD2" w:rsidRDefault="008E1DD2" w:rsidP="6D3E7D77">
            <w:pPr>
              <w:ind w:left="144"/>
              <w:jc w:val="both"/>
            </w:pPr>
          </w:p>
          <w:p w14:paraId="628B91D5" w14:textId="77777777" w:rsidR="008E1DD2" w:rsidRDefault="008E1DD2" w:rsidP="6D3E7D77">
            <w:pPr>
              <w:ind w:left="144"/>
              <w:jc w:val="both"/>
            </w:pPr>
          </w:p>
          <w:p w14:paraId="3A8BA53F" w14:textId="77777777" w:rsidR="008E1DD2" w:rsidRDefault="008E1DD2" w:rsidP="6D3E7D77">
            <w:pPr>
              <w:ind w:left="144"/>
              <w:jc w:val="both"/>
            </w:pPr>
          </w:p>
          <w:p w14:paraId="0381ADB2" w14:textId="1F6681BB" w:rsidR="008E1DD2" w:rsidRDefault="008E1DD2" w:rsidP="6D3E7D77">
            <w:pPr>
              <w:ind w:left="144"/>
              <w:jc w:val="both"/>
            </w:pP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B1740" w14:textId="78DA72F8" w:rsidR="6D3E7D77" w:rsidRDefault="6D3E7D77" w:rsidP="6D3E7D77">
            <w:pPr>
              <w:jc w:val="both"/>
            </w:pPr>
            <w:r w:rsidRPr="6D3E7D7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6582351" w14:textId="2A5CB9F7" w:rsidR="6D3E7D77" w:rsidRDefault="6D3E7D77" w:rsidP="008E1DD2">
            <w:pPr>
              <w:ind w:left="144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EBC8DA3" w14:textId="77777777" w:rsidR="00741823" w:rsidRDefault="00741823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79CE725F" w14:textId="77777777" w:rsidR="00741823" w:rsidRDefault="00741823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5F8597D1" w14:textId="1A4F3236" w:rsidR="008C166F" w:rsidRDefault="008C166F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14284D1C" w14:textId="521FB23A" w:rsidR="00984B57" w:rsidRDefault="00984B57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78E14231" w14:textId="77777777" w:rsidR="00984B57" w:rsidRDefault="00984B57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sectPr w:rsidR="00984B57" w:rsidSect="008C166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1708" w14:textId="77777777" w:rsidR="00E1076D" w:rsidRDefault="00E1076D" w:rsidP="00CE23AC">
      <w:r>
        <w:separator/>
      </w:r>
    </w:p>
  </w:endnote>
  <w:endnote w:type="continuationSeparator" w:id="0">
    <w:p w14:paraId="2076C970" w14:textId="77777777" w:rsidR="00E1076D" w:rsidRDefault="00E1076D" w:rsidP="00CE23AC">
      <w:r>
        <w:continuationSeparator/>
      </w:r>
    </w:p>
  </w:endnote>
  <w:endnote w:type="continuationNotice" w:id="1">
    <w:p w14:paraId="7ED6A307" w14:textId="77777777" w:rsidR="00E1076D" w:rsidRDefault="00E10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1237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8E9C724" w14:textId="41556967" w:rsidR="00DE4B47" w:rsidRPr="00DE4B47" w:rsidRDefault="00DE4B4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E4B47">
          <w:rPr>
            <w:rFonts w:ascii="Arial" w:hAnsi="Arial" w:cs="Arial"/>
            <w:sz w:val="22"/>
            <w:szCs w:val="22"/>
          </w:rPr>
          <w:fldChar w:fldCharType="begin"/>
        </w:r>
        <w:r w:rsidRPr="00DE4B47">
          <w:rPr>
            <w:rFonts w:ascii="Arial" w:hAnsi="Arial" w:cs="Arial"/>
            <w:sz w:val="22"/>
            <w:szCs w:val="22"/>
          </w:rPr>
          <w:instrText>PAGE   \* MERGEFORMAT</w:instrText>
        </w:r>
        <w:r w:rsidRPr="00DE4B47">
          <w:rPr>
            <w:rFonts w:ascii="Arial" w:hAnsi="Arial" w:cs="Arial"/>
            <w:sz w:val="22"/>
            <w:szCs w:val="22"/>
          </w:rPr>
          <w:fldChar w:fldCharType="separate"/>
        </w:r>
        <w:r w:rsidRPr="00DE4B47">
          <w:rPr>
            <w:rFonts w:ascii="Arial" w:hAnsi="Arial" w:cs="Arial"/>
            <w:sz w:val="22"/>
            <w:szCs w:val="22"/>
            <w:lang w:val="cs-CZ"/>
          </w:rPr>
          <w:t>2</w:t>
        </w:r>
        <w:r w:rsidRPr="00DE4B4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4DF5DC5" w14:textId="77777777" w:rsidR="00DE4B47" w:rsidRDefault="00DE4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030D" w14:textId="77777777" w:rsidR="00E1076D" w:rsidRDefault="00E1076D" w:rsidP="00CE23AC">
      <w:r>
        <w:separator/>
      </w:r>
    </w:p>
  </w:footnote>
  <w:footnote w:type="continuationSeparator" w:id="0">
    <w:p w14:paraId="1F29DEF1" w14:textId="77777777" w:rsidR="00E1076D" w:rsidRDefault="00E1076D" w:rsidP="00CE23AC">
      <w:r>
        <w:continuationSeparator/>
      </w:r>
    </w:p>
  </w:footnote>
  <w:footnote w:type="continuationNotice" w:id="1">
    <w:p w14:paraId="42076601" w14:textId="77777777" w:rsidR="00E1076D" w:rsidRDefault="00E107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3F1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7393574"/>
    <w:multiLevelType w:val="hybridMultilevel"/>
    <w:tmpl w:val="D0E0E2C4"/>
    <w:lvl w:ilvl="0" w:tplc="1C0EA7B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99C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487A4D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6763EB"/>
    <w:multiLevelType w:val="hybridMultilevel"/>
    <w:tmpl w:val="091E238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F31528"/>
    <w:multiLevelType w:val="hybridMultilevel"/>
    <w:tmpl w:val="F438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E2B99"/>
    <w:multiLevelType w:val="hybridMultilevel"/>
    <w:tmpl w:val="2F288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AA6C3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CB1828"/>
    <w:multiLevelType w:val="hybridMultilevel"/>
    <w:tmpl w:val="F4388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1C36"/>
    <w:multiLevelType w:val="hybridMultilevel"/>
    <w:tmpl w:val="ED3E2450"/>
    <w:lvl w:ilvl="0" w:tplc="55F0747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493EDA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0142084"/>
    <w:multiLevelType w:val="hybridMultilevel"/>
    <w:tmpl w:val="4B3CA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B1943"/>
    <w:multiLevelType w:val="hybridMultilevel"/>
    <w:tmpl w:val="56F6B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50E1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37"/>
        </w:tabs>
        <w:ind w:left="137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2"/>
        </w:tabs>
        <w:ind w:left="5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  <w:rPr>
        <w:rFonts w:cs="Times New Roman"/>
      </w:rPr>
    </w:lvl>
  </w:abstractNum>
  <w:abstractNum w:abstractNumId="14" w15:restartNumberingAfterBreak="0">
    <w:nsid w:val="42435348"/>
    <w:multiLevelType w:val="hybridMultilevel"/>
    <w:tmpl w:val="0FC8D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15DE"/>
    <w:multiLevelType w:val="hybridMultilevel"/>
    <w:tmpl w:val="AFFA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0278A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931751"/>
    <w:multiLevelType w:val="hybridMultilevel"/>
    <w:tmpl w:val="3D7627D4"/>
    <w:lvl w:ilvl="0" w:tplc="58A08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5BB913EC"/>
    <w:multiLevelType w:val="multilevel"/>
    <w:tmpl w:val="7E82E0B0"/>
    <w:lvl w:ilvl="0">
      <w:start w:val="1"/>
      <w:numFmt w:val="upperLetter"/>
      <w:pStyle w:val="bpvpreambule-slov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1D613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48273D"/>
    <w:multiLevelType w:val="hybridMultilevel"/>
    <w:tmpl w:val="D6F2C0F6"/>
    <w:lvl w:ilvl="0" w:tplc="FFFFFFF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67D77723"/>
    <w:multiLevelType w:val="hybridMultilevel"/>
    <w:tmpl w:val="E03AB810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CC1759"/>
    <w:multiLevelType w:val="multilevel"/>
    <w:tmpl w:val="AE0EFA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egacy w:legacy="1" w:legacySpace="120" w:legacyIndent="420"/>
      <w:lvlJc w:val="left"/>
      <w:pPr>
        <w:ind w:left="780" w:hanging="4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24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3"/>
  </w:num>
  <w:num w:numId="5">
    <w:abstractNumId w:val="6"/>
  </w:num>
  <w:num w:numId="6">
    <w:abstractNumId w:val="24"/>
  </w:num>
  <w:num w:numId="7">
    <w:abstractNumId w:val="10"/>
  </w:num>
  <w:num w:numId="8">
    <w:abstractNumId w:val="23"/>
  </w:num>
  <w:num w:numId="9">
    <w:abstractNumId w:val="15"/>
  </w:num>
  <w:num w:numId="10">
    <w:abstractNumId w:val="19"/>
  </w:num>
  <w:num w:numId="11">
    <w:abstractNumId w:val="16"/>
  </w:num>
  <w:num w:numId="12">
    <w:abstractNumId w:val="0"/>
  </w:num>
  <w:num w:numId="13">
    <w:abstractNumId w:val="12"/>
  </w:num>
  <w:num w:numId="14">
    <w:abstractNumId w:val="9"/>
  </w:num>
  <w:num w:numId="15">
    <w:abstractNumId w:val="8"/>
  </w:num>
  <w:num w:numId="16">
    <w:abstractNumId w:val="20"/>
  </w:num>
  <w:num w:numId="17">
    <w:abstractNumId w:val="2"/>
  </w:num>
  <w:num w:numId="18">
    <w:abstractNumId w:val="5"/>
  </w:num>
  <w:num w:numId="19">
    <w:abstractNumId w:val="21"/>
  </w:num>
  <w:num w:numId="20">
    <w:abstractNumId w:val="1"/>
  </w:num>
  <w:num w:numId="21">
    <w:abstractNumId w:val="4"/>
  </w:num>
  <w:num w:numId="22">
    <w:abstractNumId w:val="11"/>
  </w:num>
  <w:num w:numId="23">
    <w:abstractNumId w:val="17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F3"/>
    <w:rsid w:val="00001F19"/>
    <w:rsid w:val="0001343E"/>
    <w:rsid w:val="0001737A"/>
    <w:rsid w:val="00022BCC"/>
    <w:rsid w:val="00024349"/>
    <w:rsid w:val="00024D15"/>
    <w:rsid w:val="0003114E"/>
    <w:rsid w:val="0003399B"/>
    <w:rsid w:val="00041E5A"/>
    <w:rsid w:val="0005223B"/>
    <w:rsid w:val="00053B98"/>
    <w:rsid w:val="00061A58"/>
    <w:rsid w:val="00070BF9"/>
    <w:rsid w:val="000728B6"/>
    <w:rsid w:val="0008153E"/>
    <w:rsid w:val="00091526"/>
    <w:rsid w:val="000918F8"/>
    <w:rsid w:val="00092538"/>
    <w:rsid w:val="000946C9"/>
    <w:rsid w:val="000A0086"/>
    <w:rsid w:val="000A06E5"/>
    <w:rsid w:val="000A1699"/>
    <w:rsid w:val="000A1F83"/>
    <w:rsid w:val="000A3F01"/>
    <w:rsid w:val="000A4442"/>
    <w:rsid w:val="000A667E"/>
    <w:rsid w:val="000A7CA5"/>
    <w:rsid w:val="000B76B3"/>
    <w:rsid w:val="000C42D0"/>
    <w:rsid w:val="000D4703"/>
    <w:rsid w:val="000D4CCD"/>
    <w:rsid w:val="000D710E"/>
    <w:rsid w:val="000E026A"/>
    <w:rsid w:val="000E1DCB"/>
    <w:rsid w:val="000F636B"/>
    <w:rsid w:val="00101696"/>
    <w:rsid w:val="00111A72"/>
    <w:rsid w:val="001122B4"/>
    <w:rsid w:val="0011443F"/>
    <w:rsid w:val="001147D0"/>
    <w:rsid w:val="001156A4"/>
    <w:rsid w:val="0011747D"/>
    <w:rsid w:val="00125BCD"/>
    <w:rsid w:val="00135F0D"/>
    <w:rsid w:val="00143AAE"/>
    <w:rsid w:val="00152E3C"/>
    <w:rsid w:val="0015676A"/>
    <w:rsid w:val="00160905"/>
    <w:rsid w:val="00166E40"/>
    <w:rsid w:val="00167618"/>
    <w:rsid w:val="00170A6E"/>
    <w:rsid w:val="00170F94"/>
    <w:rsid w:val="00173E9D"/>
    <w:rsid w:val="00177545"/>
    <w:rsid w:val="00186BA4"/>
    <w:rsid w:val="0019183B"/>
    <w:rsid w:val="00193710"/>
    <w:rsid w:val="001953F8"/>
    <w:rsid w:val="001A1B6D"/>
    <w:rsid w:val="001A7761"/>
    <w:rsid w:val="001B07E7"/>
    <w:rsid w:val="001B7C11"/>
    <w:rsid w:val="001D093E"/>
    <w:rsid w:val="001E0A41"/>
    <w:rsid w:val="001E390F"/>
    <w:rsid w:val="001E72B0"/>
    <w:rsid w:val="001F0916"/>
    <w:rsid w:val="001F1AAB"/>
    <w:rsid w:val="001F46DC"/>
    <w:rsid w:val="001F60E3"/>
    <w:rsid w:val="001F6FB9"/>
    <w:rsid w:val="00203CF9"/>
    <w:rsid w:val="002046F6"/>
    <w:rsid w:val="00205C44"/>
    <w:rsid w:val="002061DB"/>
    <w:rsid w:val="002104F8"/>
    <w:rsid w:val="00213A7E"/>
    <w:rsid w:val="00216F58"/>
    <w:rsid w:val="00237EBA"/>
    <w:rsid w:val="0024481D"/>
    <w:rsid w:val="00257662"/>
    <w:rsid w:val="00266F4D"/>
    <w:rsid w:val="002720ED"/>
    <w:rsid w:val="002730AA"/>
    <w:rsid w:val="00283E30"/>
    <w:rsid w:val="00292DC8"/>
    <w:rsid w:val="00293326"/>
    <w:rsid w:val="002A2C18"/>
    <w:rsid w:val="002B1B01"/>
    <w:rsid w:val="002B2CF5"/>
    <w:rsid w:val="002B3A37"/>
    <w:rsid w:val="002C18AF"/>
    <w:rsid w:val="002C1B60"/>
    <w:rsid w:val="002C31C1"/>
    <w:rsid w:val="002D2090"/>
    <w:rsid w:val="002D45DB"/>
    <w:rsid w:val="002D75DF"/>
    <w:rsid w:val="002E329F"/>
    <w:rsid w:val="002E4E09"/>
    <w:rsid w:val="002E531E"/>
    <w:rsid w:val="002E69FB"/>
    <w:rsid w:val="002F33B8"/>
    <w:rsid w:val="002F62E1"/>
    <w:rsid w:val="00315518"/>
    <w:rsid w:val="00316E8B"/>
    <w:rsid w:val="0032485B"/>
    <w:rsid w:val="003309A0"/>
    <w:rsid w:val="0033129B"/>
    <w:rsid w:val="00332E9A"/>
    <w:rsid w:val="00334FA2"/>
    <w:rsid w:val="003368EA"/>
    <w:rsid w:val="003447C3"/>
    <w:rsid w:val="0034569B"/>
    <w:rsid w:val="003475D9"/>
    <w:rsid w:val="00353244"/>
    <w:rsid w:val="00356099"/>
    <w:rsid w:val="003567DF"/>
    <w:rsid w:val="003669E7"/>
    <w:rsid w:val="00367F1A"/>
    <w:rsid w:val="003708BE"/>
    <w:rsid w:val="00371965"/>
    <w:rsid w:val="0037693D"/>
    <w:rsid w:val="00376C9A"/>
    <w:rsid w:val="003839E4"/>
    <w:rsid w:val="00384614"/>
    <w:rsid w:val="00390B14"/>
    <w:rsid w:val="00392178"/>
    <w:rsid w:val="003A0A55"/>
    <w:rsid w:val="003A0DDF"/>
    <w:rsid w:val="003A146C"/>
    <w:rsid w:val="003A21AF"/>
    <w:rsid w:val="003B7FA2"/>
    <w:rsid w:val="003C149B"/>
    <w:rsid w:val="003C3FC8"/>
    <w:rsid w:val="003D4150"/>
    <w:rsid w:val="003D49BF"/>
    <w:rsid w:val="003D6091"/>
    <w:rsid w:val="003E546B"/>
    <w:rsid w:val="003E54FF"/>
    <w:rsid w:val="003E6233"/>
    <w:rsid w:val="003F06EF"/>
    <w:rsid w:val="003F0A7B"/>
    <w:rsid w:val="004007F7"/>
    <w:rsid w:val="0040120E"/>
    <w:rsid w:val="00405884"/>
    <w:rsid w:val="00407463"/>
    <w:rsid w:val="00407D6F"/>
    <w:rsid w:val="004114E4"/>
    <w:rsid w:val="00411722"/>
    <w:rsid w:val="00420635"/>
    <w:rsid w:val="00422C3C"/>
    <w:rsid w:val="00425D2F"/>
    <w:rsid w:val="004343F0"/>
    <w:rsid w:val="00442805"/>
    <w:rsid w:val="00447163"/>
    <w:rsid w:val="004522E0"/>
    <w:rsid w:val="004728F4"/>
    <w:rsid w:val="00476EAB"/>
    <w:rsid w:val="0048042F"/>
    <w:rsid w:val="00481099"/>
    <w:rsid w:val="00482B0D"/>
    <w:rsid w:val="004859CF"/>
    <w:rsid w:val="00487F6C"/>
    <w:rsid w:val="00496604"/>
    <w:rsid w:val="00497B7A"/>
    <w:rsid w:val="004A3D98"/>
    <w:rsid w:val="004B1819"/>
    <w:rsid w:val="004B4BDE"/>
    <w:rsid w:val="004D356B"/>
    <w:rsid w:val="004D5A97"/>
    <w:rsid w:val="004D7E29"/>
    <w:rsid w:val="004E1BC1"/>
    <w:rsid w:val="004F4014"/>
    <w:rsid w:val="00500566"/>
    <w:rsid w:val="0051269D"/>
    <w:rsid w:val="00522F92"/>
    <w:rsid w:val="0054308D"/>
    <w:rsid w:val="00546C9B"/>
    <w:rsid w:val="00551F00"/>
    <w:rsid w:val="0055376A"/>
    <w:rsid w:val="00556E32"/>
    <w:rsid w:val="00561423"/>
    <w:rsid w:val="00567E6D"/>
    <w:rsid w:val="00572678"/>
    <w:rsid w:val="005A7BB4"/>
    <w:rsid w:val="005B48AE"/>
    <w:rsid w:val="005B4CDA"/>
    <w:rsid w:val="005C0ED9"/>
    <w:rsid w:val="005C225D"/>
    <w:rsid w:val="005C25C7"/>
    <w:rsid w:val="005C5587"/>
    <w:rsid w:val="005C73E0"/>
    <w:rsid w:val="005C764E"/>
    <w:rsid w:val="005D0A29"/>
    <w:rsid w:val="005D1FA3"/>
    <w:rsid w:val="005E3A76"/>
    <w:rsid w:val="005F10B3"/>
    <w:rsid w:val="005F4EDF"/>
    <w:rsid w:val="005F767E"/>
    <w:rsid w:val="00615707"/>
    <w:rsid w:val="00621D99"/>
    <w:rsid w:val="00622113"/>
    <w:rsid w:val="006249F8"/>
    <w:rsid w:val="0062679D"/>
    <w:rsid w:val="00627106"/>
    <w:rsid w:val="00627A96"/>
    <w:rsid w:val="006322AC"/>
    <w:rsid w:val="00632313"/>
    <w:rsid w:val="00634A77"/>
    <w:rsid w:val="006477FA"/>
    <w:rsid w:val="00651C52"/>
    <w:rsid w:val="00670A0C"/>
    <w:rsid w:val="0067273A"/>
    <w:rsid w:val="006729FF"/>
    <w:rsid w:val="00675301"/>
    <w:rsid w:val="0068049D"/>
    <w:rsid w:val="00681264"/>
    <w:rsid w:val="006841ED"/>
    <w:rsid w:val="006A06F0"/>
    <w:rsid w:val="006A5AB4"/>
    <w:rsid w:val="006A7EE0"/>
    <w:rsid w:val="006C1A5C"/>
    <w:rsid w:val="006D40DA"/>
    <w:rsid w:val="006E00AA"/>
    <w:rsid w:val="006E3CFC"/>
    <w:rsid w:val="006E620A"/>
    <w:rsid w:val="006F2675"/>
    <w:rsid w:val="00701362"/>
    <w:rsid w:val="0070730B"/>
    <w:rsid w:val="00707BDA"/>
    <w:rsid w:val="00712CB1"/>
    <w:rsid w:val="007133BC"/>
    <w:rsid w:val="007137BD"/>
    <w:rsid w:val="007142DA"/>
    <w:rsid w:val="00726ECC"/>
    <w:rsid w:val="00741823"/>
    <w:rsid w:val="0074261C"/>
    <w:rsid w:val="00745B19"/>
    <w:rsid w:val="00750A55"/>
    <w:rsid w:val="00752104"/>
    <w:rsid w:val="00754502"/>
    <w:rsid w:val="007601C2"/>
    <w:rsid w:val="007706E1"/>
    <w:rsid w:val="007758DA"/>
    <w:rsid w:val="00782545"/>
    <w:rsid w:val="0079378D"/>
    <w:rsid w:val="00797FAE"/>
    <w:rsid w:val="007A1706"/>
    <w:rsid w:val="007A4798"/>
    <w:rsid w:val="007A6278"/>
    <w:rsid w:val="007B0507"/>
    <w:rsid w:val="007B322D"/>
    <w:rsid w:val="007C4B8D"/>
    <w:rsid w:val="007C4D8A"/>
    <w:rsid w:val="007C504A"/>
    <w:rsid w:val="007C6931"/>
    <w:rsid w:val="007E2631"/>
    <w:rsid w:val="007F083B"/>
    <w:rsid w:val="007F75A5"/>
    <w:rsid w:val="00802160"/>
    <w:rsid w:val="008022E3"/>
    <w:rsid w:val="00806284"/>
    <w:rsid w:val="00806E12"/>
    <w:rsid w:val="00814113"/>
    <w:rsid w:val="008167BD"/>
    <w:rsid w:val="00823BCA"/>
    <w:rsid w:val="00826595"/>
    <w:rsid w:val="00827045"/>
    <w:rsid w:val="0083572A"/>
    <w:rsid w:val="008423B9"/>
    <w:rsid w:val="0085441C"/>
    <w:rsid w:val="00866651"/>
    <w:rsid w:val="00867EC7"/>
    <w:rsid w:val="00872D12"/>
    <w:rsid w:val="008748AB"/>
    <w:rsid w:val="00881E1C"/>
    <w:rsid w:val="008865DA"/>
    <w:rsid w:val="00891E15"/>
    <w:rsid w:val="008C166F"/>
    <w:rsid w:val="008D36F3"/>
    <w:rsid w:val="008D3ED1"/>
    <w:rsid w:val="008E1C72"/>
    <w:rsid w:val="008E1DD2"/>
    <w:rsid w:val="008E20CB"/>
    <w:rsid w:val="008E5651"/>
    <w:rsid w:val="008E75CF"/>
    <w:rsid w:val="008F16E4"/>
    <w:rsid w:val="008F1F45"/>
    <w:rsid w:val="008F3DC6"/>
    <w:rsid w:val="008F4E3A"/>
    <w:rsid w:val="0090696B"/>
    <w:rsid w:val="00906DA6"/>
    <w:rsid w:val="009151E1"/>
    <w:rsid w:val="00926463"/>
    <w:rsid w:val="0094311A"/>
    <w:rsid w:val="009458C0"/>
    <w:rsid w:val="00957C89"/>
    <w:rsid w:val="00960177"/>
    <w:rsid w:val="009625A9"/>
    <w:rsid w:val="009700A4"/>
    <w:rsid w:val="00972470"/>
    <w:rsid w:val="00975886"/>
    <w:rsid w:val="00976E2F"/>
    <w:rsid w:val="00984B57"/>
    <w:rsid w:val="009A3840"/>
    <w:rsid w:val="009A75D8"/>
    <w:rsid w:val="009B5084"/>
    <w:rsid w:val="009B59D5"/>
    <w:rsid w:val="009B5AD5"/>
    <w:rsid w:val="009C375F"/>
    <w:rsid w:val="009D30E1"/>
    <w:rsid w:val="009E4EDD"/>
    <w:rsid w:val="009F4A58"/>
    <w:rsid w:val="009F6E71"/>
    <w:rsid w:val="00A11D07"/>
    <w:rsid w:val="00A11D64"/>
    <w:rsid w:val="00A13703"/>
    <w:rsid w:val="00A1671D"/>
    <w:rsid w:val="00A2220D"/>
    <w:rsid w:val="00A23A6F"/>
    <w:rsid w:val="00A33B8E"/>
    <w:rsid w:val="00A41D35"/>
    <w:rsid w:val="00A56B6B"/>
    <w:rsid w:val="00A57E35"/>
    <w:rsid w:val="00A91890"/>
    <w:rsid w:val="00A936CC"/>
    <w:rsid w:val="00AB3A19"/>
    <w:rsid w:val="00AB6D65"/>
    <w:rsid w:val="00AC31D5"/>
    <w:rsid w:val="00AD18AB"/>
    <w:rsid w:val="00AD2551"/>
    <w:rsid w:val="00AD4658"/>
    <w:rsid w:val="00AE36F3"/>
    <w:rsid w:val="00AE53E0"/>
    <w:rsid w:val="00AE5FEB"/>
    <w:rsid w:val="00B05644"/>
    <w:rsid w:val="00B15E58"/>
    <w:rsid w:val="00B2253A"/>
    <w:rsid w:val="00B24D48"/>
    <w:rsid w:val="00B31B65"/>
    <w:rsid w:val="00B33FEF"/>
    <w:rsid w:val="00B40801"/>
    <w:rsid w:val="00B41CAA"/>
    <w:rsid w:val="00B4227F"/>
    <w:rsid w:val="00B42CC3"/>
    <w:rsid w:val="00B468ED"/>
    <w:rsid w:val="00B51972"/>
    <w:rsid w:val="00B53ECE"/>
    <w:rsid w:val="00B56F79"/>
    <w:rsid w:val="00B6428A"/>
    <w:rsid w:val="00B64EDD"/>
    <w:rsid w:val="00B85D7F"/>
    <w:rsid w:val="00B92508"/>
    <w:rsid w:val="00B97C79"/>
    <w:rsid w:val="00BC15B9"/>
    <w:rsid w:val="00BC6DE8"/>
    <w:rsid w:val="00BC6FC1"/>
    <w:rsid w:val="00BC7079"/>
    <w:rsid w:val="00BD23F3"/>
    <w:rsid w:val="00BD36C3"/>
    <w:rsid w:val="00BD4812"/>
    <w:rsid w:val="00BE238E"/>
    <w:rsid w:val="00BE59D8"/>
    <w:rsid w:val="00BF1FED"/>
    <w:rsid w:val="00BF7843"/>
    <w:rsid w:val="00C01EED"/>
    <w:rsid w:val="00C02729"/>
    <w:rsid w:val="00C063B5"/>
    <w:rsid w:val="00C163F4"/>
    <w:rsid w:val="00C176FB"/>
    <w:rsid w:val="00C22C8A"/>
    <w:rsid w:val="00C2699F"/>
    <w:rsid w:val="00C26B20"/>
    <w:rsid w:val="00C2707B"/>
    <w:rsid w:val="00C27B52"/>
    <w:rsid w:val="00C27EA1"/>
    <w:rsid w:val="00C34AF9"/>
    <w:rsid w:val="00C37179"/>
    <w:rsid w:val="00C37BD6"/>
    <w:rsid w:val="00C42D15"/>
    <w:rsid w:val="00C454C3"/>
    <w:rsid w:val="00C478AE"/>
    <w:rsid w:val="00C56794"/>
    <w:rsid w:val="00C57C6B"/>
    <w:rsid w:val="00C63140"/>
    <w:rsid w:val="00C707A7"/>
    <w:rsid w:val="00C82672"/>
    <w:rsid w:val="00C84052"/>
    <w:rsid w:val="00C85BDF"/>
    <w:rsid w:val="00C87036"/>
    <w:rsid w:val="00CA09BE"/>
    <w:rsid w:val="00CB4877"/>
    <w:rsid w:val="00CB4CB0"/>
    <w:rsid w:val="00CB4EC8"/>
    <w:rsid w:val="00CB6E03"/>
    <w:rsid w:val="00CC1D1D"/>
    <w:rsid w:val="00CD089B"/>
    <w:rsid w:val="00CE0EBC"/>
    <w:rsid w:val="00CE19CD"/>
    <w:rsid w:val="00CE23AC"/>
    <w:rsid w:val="00CE2B35"/>
    <w:rsid w:val="00CE2BE3"/>
    <w:rsid w:val="00CE45A6"/>
    <w:rsid w:val="00CE6997"/>
    <w:rsid w:val="00CF04B9"/>
    <w:rsid w:val="00CF4B46"/>
    <w:rsid w:val="00CF4FD8"/>
    <w:rsid w:val="00CF69D1"/>
    <w:rsid w:val="00D02321"/>
    <w:rsid w:val="00D027BD"/>
    <w:rsid w:val="00D03A66"/>
    <w:rsid w:val="00D05C2E"/>
    <w:rsid w:val="00D06DD4"/>
    <w:rsid w:val="00D122B1"/>
    <w:rsid w:val="00D12968"/>
    <w:rsid w:val="00D12A8A"/>
    <w:rsid w:val="00D14D96"/>
    <w:rsid w:val="00D16CBC"/>
    <w:rsid w:val="00D30A92"/>
    <w:rsid w:val="00D35558"/>
    <w:rsid w:val="00D421C3"/>
    <w:rsid w:val="00D43CEE"/>
    <w:rsid w:val="00D5134A"/>
    <w:rsid w:val="00D54538"/>
    <w:rsid w:val="00D56E92"/>
    <w:rsid w:val="00D57A4B"/>
    <w:rsid w:val="00D62CF0"/>
    <w:rsid w:val="00D63202"/>
    <w:rsid w:val="00D76B76"/>
    <w:rsid w:val="00D844A6"/>
    <w:rsid w:val="00D85BE5"/>
    <w:rsid w:val="00D919D4"/>
    <w:rsid w:val="00D92D2B"/>
    <w:rsid w:val="00D94445"/>
    <w:rsid w:val="00D94E37"/>
    <w:rsid w:val="00D95DE5"/>
    <w:rsid w:val="00DA5FAD"/>
    <w:rsid w:val="00DB154B"/>
    <w:rsid w:val="00DB60AA"/>
    <w:rsid w:val="00DB64C3"/>
    <w:rsid w:val="00DB73EA"/>
    <w:rsid w:val="00DC05F3"/>
    <w:rsid w:val="00DC3E2C"/>
    <w:rsid w:val="00DD51F0"/>
    <w:rsid w:val="00DD51FD"/>
    <w:rsid w:val="00DE0A1B"/>
    <w:rsid w:val="00DE4B47"/>
    <w:rsid w:val="00DE6574"/>
    <w:rsid w:val="00DF1BDC"/>
    <w:rsid w:val="00DF58E6"/>
    <w:rsid w:val="00E031C9"/>
    <w:rsid w:val="00E0420F"/>
    <w:rsid w:val="00E07B62"/>
    <w:rsid w:val="00E1076D"/>
    <w:rsid w:val="00E179CC"/>
    <w:rsid w:val="00E25930"/>
    <w:rsid w:val="00E27DBA"/>
    <w:rsid w:val="00E3432F"/>
    <w:rsid w:val="00E418ED"/>
    <w:rsid w:val="00E506B4"/>
    <w:rsid w:val="00E55CD5"/>
    <w:rsid w:val="00E56606"/>
    <w:rsid w:val="00E64B47"/>
    <w:rsid w:val="00E73C8B"/>
    <w:rsid w:val="00E74F4B"/>
    <w:rsid w:val="00E74F54"/>
    <w:rsid w:val="00E813EF"/>
    <w:rsid w:val="00E905C9"/>
    <w:rsid w:val="00E93F1C"/>
    <w:rsid w:val="00E94624"/>
    <w:rsid w:val="00E96EFC"/>
    <w:rsid w:val="00EA63CA"/>
    <w:rsid w:val="00EB2A24"/>
    <w:rsid w:val="00EC03EE"/>
    <w:rsid w:val="00EC57F0"/>
    <w:rsid w:val="00ED0527"/>
    <w:rsid w:val="00ED4A1A"/>
    <w:rsid w:val="00ED619D"/>
    <w:rsid w:val="00EF12B9"/>
    <w:rsid w:val="00EF61F9"/>
    <w:rsid w:val="00F01688"/>
    <w:rsid w:val="00F07A0C"/>
    <w:rsid w:val="00F12093"/>
    <w:rsid w:val="00F13683"/>
    <w:rsid w:val="00F20841"/>
    <w:rsid w:val="00F211A7"/>
    <w:rsid w:val="00F246C2"/>
    <w:rsid w:val="00F33F04"/>
    <w:rsid w:val="00F4507F"/>
    <w:rsid w:val="00F45FE7"/>
    <w:rsid w:val="00F55BBE"/>
    <w:rsid w:val="00F601E4"/>
    <w:rsid w:val="00F60929"/>
    <w:rsid w:val="00F616BC"/>
    <w:rsid w:val="00F655BB"/>
    <w:rsid w:val="00F67080"/>
    <w:rsid w:val="00F679D3"/>
    <w:rsid w:val="00F71432"/>
    <w:rsid w:val="00F72795"/>
    <w:rsid w:val="00F7529D"/>
    <w:rsid w:val="00F80028"/>
    <w:rsid w:val="00F85CA5"/>
    <w:rsid w:val="00F935C8"/>
    <w:rsid w:val="00FA5475"/>
    <w:rsid w:val="00FA65C3"/>
    <w:rsid w:val="00FC5E91"/>
    <w:rsid w:val="00FC7BC3"/>
    <w:rsid w:val="00FD1665"/>
    <w:rsid w:val="00FD3E22"/>
    <w:rsid w:val="00FD7094"/>
    <w:rsid w:val="00FF4351"/>
    <w:rsid w:val="00FF6F42"/>
    <w:rsid w:val="00FF7921"/>
    <w:rsid w:val="18595AF6"/>
    <w:rsid w:val="263A1C42"/>
    <w:rsid w:val="2F2DBCD6"/>
    <w:rsid w:val="3011D7A3"/>
    <w:rsid w:val="5D6518C6"/>
    <w:rsid w:val="6D3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2C9D"/>
  <w15:docId w15:val="{F6678008-92B5-4F75-BFC0-88867039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D36F3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D36F3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D36F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D36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36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2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2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11A"/>
  </w:style>
  <w:style w:type="character" w:customStyle="1" w:styleId="TextkomenteChar">
    <w:name w:val="Text komentáře Char"/>
    <w:basedOn w:val="Standardnpsmoodstavce"/>
    <w:link w:val="Textkomente"/>
    <w:uiPriority w:val="99"/>
    <w:rsid w:val="00943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1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376C9A"/>
  </w:style>
  <w:style w:type="table" w:styleId="Mkatabulky">
    <w:name w:val="Table Grid"/>
    <w:basedOn w:val="Normlntabulka"/>
    <w:rsid w:val="0037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376C9A"/>
    <w:rPr>
      <w:rFonts w:ascii="Courier New" w:hAnsi="Courier New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46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46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pvpreambule-slovn">
    <w:name w:val="bpv preambule - číslování"/>
    <w:basedOn w:val="Normln"/>
    <w:qFormat/>
    <w:rsid w:val="000C42D0"/>
    <w:pPr>
      <w:widowControl w:val="0"/>
      <w:numPr>
        <w:numId w:val="10"/>
      </w:numPr>
      <w:spacing w:before="240" w:after="240" w:line="320" w:lineRule="atLeast"/>
      <w:jc w:val="both"/>
    </w:pPr>
    <w:rPr>
      <w:rFonts w:ascii="Arial" w:hAnsi="Arial" w:cs="Arial"/>
      <w:bCs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273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52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5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E7EABBFDFF049BC77CB268942D9B7" ma:contentTypeVersion="16" ma:contentTypeDescription="Create a new document." ma:contentTypeScope="" ma:versionID="85e776124dd4bdb01b3308b909db8446">
  <xsd:schema xmlns:xsd="http://www.w3.org/2001/XMLSchema" xmlns:xs="http://www.w3.org/2001/XMLSchema" xmlns:p="http://schemas.microsoft.com/office/2006/metadata/properties" xmlns:ns2="5149c28a-558a-422a-bc98-cc1e95b12821" xmlns:ns3="b81fbb27-3a52-4f4b-abbb-0ae6ed0f8191" xmlns:ns4="e47812bf-c8f0-415c-9dc6-756594725798" targetNamespace="http://schemas.microsoft.com/office/2006/metadata/properties" ma:root="true" ma:fieldsID="0906c177dd2abdbf115c8fd6235865a5" ns2:_="" ns3:_="" ns4:_="">
    <xsd:import namespace="5149c28a-558a-422a-bc98-cc1e95b12821"/>
    <xsd:import namespace="b81fbb27-3a52-4f4b-abbb-0ae6ed0f8191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c28a-558a-422a-bc98-cc1e95b12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bb27-3a52-4f4b-abbb-0ae6ed0f8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47d33cf-a054-496b-ae07-95b6e3f8bad3}" ma:internalName="TaxCatchAll" ma:showField="CatchAllData" ma:web="b81fbb27-3a52-4f4b-abbb-0ae6ed0f8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812bf-c8f0-415c-9dc6-756594725798" xsi:nil="true"/>
    <lcf76f155ced4ddcb4097134ff3c332f xmlns="5149c28a-558a-422a-bc98-cc1e95b128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6D3CC-E727-4F75-B45C-32C82A921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c28a-558a-422a-bc98-cc1e95b12821"/>
    <ds:schemaRef ds:uri="b81fbb27-3a52-4f4b-abbb-0ae6ed0f8191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447B4-0093-440B-AD8F-F9DAB5121368}">
  <ds:schemaRefs>
    <ds:schemaRef ds:uri="http://schemas.microsoft.com/office/2006/metadata/properties"/>
    <ds:schemaRef ds:uri="http://schemas.microsoft.com/office/infopath/2007/PartnerControls"/>
    <ds:schemaRef ds:uri="e47812bf-c8f0-415c-9dc6-756594725798"/>
    <ds:schemaRef ds:uri="5149c28a-558a-422a-bc98-cc1e95b12821"/>
  </ds:schemaRefs>
</ds:datastoreItem>
</file>

<file path=customXml/itemProps3.xml><?xml version="1.0" encoding="utf-8"?>
<ds:datastoreItem xmlns:ds="http://schemas.openxmlformats.org/officeDocument/2006/customXml" ds:itemID="{CEA957EC-4AFC-46A6-A94D-72044773A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77613-94A0-446B-9A22-BC3AA740B7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1098</Words>
  <Characters>6479</Characters>
  <Application>Microsoft Office Word</Application>
  <DocSecurity>0</DocSecurity>
  <Lines>53</Lines>
  <Paragraphs>15</Paragraphs>
  <ScaleCrop>false</ScaleCrop>
  <Company>Boehringer Ingelheim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d&amp;c</dc:creator>
  <cp:lastModifiedBy>Straka Antonín</cp:lastModifiedBy>
  <cp:revision>3</cp:revision>
  <cp:lastPrinted>2025-03-18T14:06:00Z</cp:lastPrinted>
  <dcterms:created xsi:type="dcterms:W3CDTF">2025-06-09T09:03:00Z</dcterms:created>
  <dcterms:modified xsi:type="dcterms:W3CDTF">2025-06-09T09:07:00Z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0x010100F48E7EABBFDFF049BC77CB268942D9B7</vt:lpwstr>
  </property>
  <property fmtid="{D5CDD505-2E9C-101B-9397-08002B2CF9AE}" pid="3" name="MediaServiceImageTags">
    <vt:lpwstr/>
  </property>
</Properties>
</file>