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E74D" w14:textId="77777777" w:rsidR="00566558" w:rsidRDefault="00000000">
      <w:pPr>
        <w:spacing w:before="41"/>
        <w:ind w:left="545" w:right="522"/>
        <w:jc w:val="center"/>
        <w:rPr>
          <w:b/>
          <w:sz w:val="28"/>
        </w:rPr>
      </w:pPr>
      <w:r>
        <w:rPr>
          <w:b/>
          <w:sz w:val="28"/>
        </w:rPr>
        <w:t>MSIC DIGI Projekt</w:t>
      </w:r>
    </w:p>
    <w:p w14:paraId="17AC76AD" w14:textId="77777777" w:rsidR="00566558" w:rsidRDefault="00000000">
      <w:pPr>
        <w:pStyle w:val="Nadpis1"/>
        <w:spacing w:before="146"/>
        <w:ind w:left="545" w:right="524"/>
        <w:jc w:val="center"/>
      </w:pPr>
      <w:r>
        <w:t>SMLOUVA O KONZULTAČNÍ PODPOŘE</w:t>
      </w:r>
    </w:p>
    <w:p w14:paraId="4E518E82" w14:textId="77777777" w:rsidR="00566558" w:rsidRDefault="00000000">
      <w:pPr>
        <w:pStyle w:val="Zkladntext"/>
        <w:ind w:left="545" w:right="521"/>
        <w:jc w:val="center"/>
      </w:pPr>
      <w:r>
        <w:t>(dále jen „Smlouva“)</w:t>
      </w:r>
    </w:p>
    <w:p w14:paraId="29D4EBE4" w14:textId="77777777" w:rsidR="00566558" w:rsidRDefault="00566558">
      <w:pPr>
        <w:pStyle w:val="Zkladntext"/>
        <w:rPr>
          <w:sz w:val="20"/>
        </w:rPr>
      </w:pPr>
    </w:p>
    <w:p w14:paraId="686A5B6C" w14:textId="77777777" w:rsidR="00566558" w:rsidRDefault="00566558">
      <w:pPr>
        <w:pStyle w:val="Zkladntext"/>
        <w:spacing w:before="10"/>
        <w:rPr>
          <w:sz w:val="19"/>
        </w:rPr>
      </w:pPr>
    </w:p>
    <w:p w14:paraId="53423705" w14:textId="77777777" w:rsidR="00566558" w:rsidRDefault="00000000">
      <w:pPr>
        <w:pStyle w:val="Nadpis1"/>
        <w:spacing w:before="51"/>
        <w:ind w:left="138"/>
        <w:jc w:val="left"/>
      </w:pPr>
      <w:r>
        <w:rPr>
          <w:u w:val="single"/>
        </w:rPr>
        <w:t>Poskytovatel podpory:</w:t>
      </w:r>
    </w:p>
    <w:p w14:paraId="2E458D2A" w14:textId="77777777" w:rsidR="00566558" w:rsidRDefault="00566558">
      <w:pPr>
        <w:pStyle w:val="Zkladntext"/>
        <w:spacing w:before="9"/>
        <w:rPr>
          <w:b/>
          <w:sz w:val="19"/>
        </w:rPr>
      </w:pPr>
    </w:p>
    <w:p w14:paraId="3D454FA3" w14:textId="77777777" w:rsidR="00566558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270CEFB7" w14:textId="77777777" w:rsidR="0056655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5"/>
        </w:rPr>
        <w:t xml:space="preserve"> </w:t>
      </w:r>
      <w:r>
        <w:t>Ostrava</w:t>
      </w:r>
    </w:p>
    <w:p w14:paraId="36550E9B" w14:textId="77777777" w:rsidR="00566558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781E22F4" w14:textId="77777777" w:rsidR="00566558" w:rsidRDefault="00000000">
      <w:pPr>
        <w:pStyle w:val="Zkladntext"/>
        <w:ind w:left="138"/>
      </w:pPr>
      <w:r>
        <w:t>Zastoupený (na základě</w:t>
      </w:r>
    </w:p>
    <w:p w14:paraId="372FD1E5" w14:textId="61B5C3B6" w:rsidR="00566558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CB0B06">
        <w:t>xxxxx</w:t>
      </w:r>
      <w:proofErr w:type="spellEnd"/>
    </w:p>
    <w:p w14:paraId="4093FD5B" w14:textId="2ADCEC5F" w:rsidR="00566558" w:rsidRDefault="00000000">
      <w:pPr>
        <w:pStyle w:val="Zkladntext"/>
        <w:tabs>
          <w:tab w:val="left" w:pos="3679"/>
        </w:tabs>
        <w:spacing w:before="119"/>
        <w:ind w:left="13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CB0B06">
        <w:t>xxxxx</w:t>
      </w:r>
      <w:proofErr w:type="spellEnd"/>
    </w:p>
    <w:p w14:paraId="086B6A9F" w14:textId="77777777" w:rsidR="00566558" w:rsidRDefault="00000000">
      <w:pPr>
        <w:spacing w:before="1"/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1BE61215" w14:textId="77777777" w:rsidR="00566558" w:rsidRDefault="00566558">
      <w:pPr>
        <w:pStyle w:val="Zkladntext"/>
      </w:pPr>
    </w:p>
    <w:p w14:paraId="64506B92" w14:textId="77777777" w:rsidR="00566558" w:rsidRDefault="00566558">
      <w:pPr>
        <w:pStyle w:val="Zkladntext"/>
      </w:pPr>
    </w:p>
    <w:p w14:paraId="7C3BA5DD" w14:textId="77777777" w:rsidR="00566558" w:rsidRDefault="00566558">
      <w:pPr>
        <w:pStyle w:val="Zkladntext"/>
      </w:pPr>
    </w:p>
    <w:p w14:paraId="175709B9" w14:textId="77777777" w:rsidR="00566558" w:rsidRDefault="00566558">
      <w:pPr>
        <w:pStyle w:val="Zkladntext"/>
        <w:spacing w:before="11"/>
        <w:rPr>
          <w:sz w:val="23"/>
        </w:rPr>
      </w:pPr>
    </w:p>
    <w:p w14:paraId="011CAA32" w14:textId="77777777" w:rsidR="00566558" w:rsidRDefault="00000000">
      <w:pPr>
        <w:pStyle w:val="Nadpis1"/>
        <w:ind w:left="138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3B9E52E" w14:textId="77777777" w:rsidR="00566558" w:rsidRDefault="00566558">
      <w:pPr>
        <w:pStyle w:val="Zkladntext"/>
        <w:spacing w:before="9"/>
        <w:rPr>
          <w:b/>
          <w:sz w:val="19"/>
        </w:rPr>
      </w:pPr>
    </w:p>
    <w:p w14:paraId="4D99E536" w14:textId="77777777" w:rsidR="00566558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</w:r>
      <w:proofErr w:type="spellStart"/>
      <w:r>
        <w:t>Medoo</w:t>
      </w:r>
      <w:proofErr w:type="spellEnd"/>
      <w:r>
        <w:t xml:space="preserve"> </w:t>
      </w:r>
      <w:proofErr w:type="spellStart"/>
      <w:r>
        <w:t>Silesia</w:t>
      </w:r>
      <w:proofErr w:type="spellEnd"/>
      <w:r>
        <w:t xml:space="preserve"> s.r.o.</w:t>
      </w:r>
    </w:p>
    <w:p w14:paraId="23FB2335" w14:textId="77777777" w:rsidR="0056655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Hlučínská 1092/</w:t>
      </w:r>
      <w:proofErr w:type="gramStart"/>
      <w:r>
        <w:t>55a</w:t>
      </w:r>
      <w:proofErr w:type="gramEnd"/>
      <w:r>
        <w:t>, Ludgeřovice,</w:t>
      </w:r>
      <w:r>
        <w:rPr>
          <w:spacing w:val="1"/>
        </w:rPr>
        <w:t xml:space="preserve"> </w:t>
      </w:r>
      <w:r>
        <w:t>74714</w:t>
      </w:r>
    </w:p>
    <w:p w14:paraId="748272E1" w14:textId="77777777" w:rsidR="00566558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05909732</w:t>
      </w:r>
    </w:p>
    <w:p w14:paraId="4B7E1EA5" w14:textId="77777777" w:rsidR="00566558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 xml:space="preserve">Robert </w:t>
      </w:r>
      <w:proofErr w:type="spellStart"/>
      <w:r>
        <w:t>Chlebiš</w:t>
      </w:r>
      <w:proofErr w:type="spellEnd"/>
      <w:r>
        <w:t>,</w:t>
      </w:r>
      <w:r>
        <w:rPr>
          <w:spacing w:val="-2"/>
        </w:rPr>
        <w:t xml:space="preserve"> </w:t>
      </w:r>
      <w:r>
        <w:t>jednatel</w:t>
      </w:r>
    </w:p>
    <w:p w14:paraId="406A71FD" w14:textId="77777777" w:rsidR="00566558" w:rsidRDefault="00000000">
      <w:pPr>
        <w:pStyle w:val="Zkladntext"/>
        <w:tabs>
          <w:tab w:val="left" w:pos="3679"/>
        </w:tabs>
        <w:spacing w:before="2"/>
        <w:ind w:left="138" w:right="449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Robert </w:t>
      </w:r>
      <w:proofErr w:type="spellStart"/>
      <w:r>
        <w:rPr>
          <w:spacing w:val="-3"/>
        </w:rPr>
        <w:t>Chlebiš</w:t>
      </w:r>
      <w:proofErr w:type="spellEnd"/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4EA3CCC7" w14:textId="77777777" w:rsidR="00566558" w:rsidRDefault="00566558">
      <w:pPr>
        <w:pStyle w:val="Zkladntext"/>
      </w:pPr>
    </w:p>
    <w:p w14:paraId="7CF3CE46" w14:textId="77777777" w:rsidR="00566558" w:rsidRDefault="00566558">
      <w:pPr>
        <w:pStyle w:val="Zkladntext"/>
        <w:spacing w:before="11"/>
        <w:rPr>
          <w:sz w:val="23"/>
        </w:rPr>
      </w:pPr>
    </w:p>
    <w:p w14:paraId="303D476C" w14:textId="77777777" w:rsidR="00566558" w:rsidRDefault="00000000">
      <w:pPr>
        <w:pStyle w:val="Nadpis1"/>
        <w:spacing w:before="1"/>
        <w:ind w:left="138"/>
        <w:jc w:val="left"/>
      </w:pPr>
      <w:r>
        <w:rPr>
          <w:u w:val="single"/>
        </w:rPr>
        <w:t>Expert:</w:t>
      </w:r>
    </w:p>
    <w:p w14:paraId="39E9B49B" w14:textId="77777777" w:rsidR="00566558" w:rsidRDefault="00566558">
      <w:pPr>
        <w:pStyle w:val="Zkladntext"/>
        <w:spacing w:before="9"/>
        <w:rPr>
          <w:b/>
          <w:sz w:val="19"/>
        </w:rPr>
      </w:pPr>
    </w:p>
    <w:p w14:paraId="55C264E4" w14:textId="77777777" w:rsidR="00566558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</w:r>
      <w:proofErr w:type="spellStart"/>
      <w:r>
        <w:t>Altevida</w:t>
      </w:r>
      <w:proofErr w:type="spellEnd"/>
      <w:r>
        <w:rPr>
          <w:spacing w:val="-2"/>
        </w:rPr>
        <w:t xml:space="preserve"> </w:t>
      </w:r>
      <w:r>
        <w:t>s.r.o.</w:t>
      </w:r>
    </w:p>
    <w:p w14:paraId="1DA55CB7" w14:textId="77777777" w:rsidR="00566558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Vítkovická 3083/1, Ostrava,</w:t>
      </w:r>
      <w:r>
        <w:rPr>
          <w:spacing w:val="-2"/>
        </w:rPr>
        <w:t xml:space="preserve"> </w:t>
      </w:r>
      <w:r>
        <w:t>70200</w:t>
      </w:r>
    </w:p>
    <w:p w14:paraId="6BE2A2CF" w14:textId="77777777" w:rsidR="00566558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02976480</w:t>
      </w:r>
    </w:p>
    <w:p w14:paraId="708CC03B" w14:textId="77777777" w:rsidR="00566558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Petr Dočekal,</w:t>
      </w:r>
      <w:r>
        <w:rPr>
          <w:spacing w:val="-2"/>
        </w:rPr>
        <w:t xml:space="preserve"> </w:t>
      </w:r>
      <w:r>
        <w:t>jednatel</w:t>
      </w:r>
    </w:p>
    <w:p w14:paraId="62B779F6" w14:textId="77777777" w:rsidR="00566558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Petr</w:t>
      </w:r>
      <w:r>
        <w:rPr>
          <w:spacing w:val="-2"/>
        </w:rPr>
        <w:t xml:space="preserve"> </w:t>
      </w:r>
      <w:r>
        <w:t>Dočekal</w:t>
      </w:r>
    </w:p>
    <w:p w14:paraId="33CECD2D" w14:textId="77777777" w:rsidR="00566558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1FA20606" w14:textId="77777777" w:rsidR="00566558" w:rsidRDefault="00566558">
      <w:pPr>
        <w:pStyle w:val="Zkladntext"/>
        <w:spacing w:before="11"/>
        <w:rPr>
          <w:sz w:val="23"/>
        </w:rPr>
      </w:pPr>
    </w:p>
    <w:p w14:paraId="25CDE361" w14:textId="77777777" w:rsidR="00566558" w:rsidRDefault="00000000">
      <w:pPr>
        <w:pStyle w:val="Zkladntext"/>
        <w:tabs>
          <w:tab w:val="left" w:pos="3679"/>
        </w:tabs>
        <w:ind w:left="138"/>
      </w:pPr>
      <w:r>
        <w:t>Předpokládaný</w:t>
      </w:r>
      <w:r>
        <w:rPr>
          <w:spacing w:val="-3"/>
        </w:rPr>
        <w:t xml:space="preserve"> </w:t>
      </w:r>
      <w:r>
        <w:t>vedlejší</w:t>
      </w:r>
      <w:r>
        <w:rPr>
          <w:spacing w:val="-3"/>
        </w:rPr>
        <w:t xml:space="preserve"> </w:t>
      </w:r>
      <w:r>
        <w:t>Expert:</w:t>
      </w:r>
      <w:r>
        <w:tab/>
        <w:t>……………………………………………………………………………</w:t>
      </w:r>
    </w:p>
    <w:p w14:paraId="6698D9DA" w14:textId="77777777" w:rsidR="00566558" w:rsidRDefault="00566558">
      <w:pPr>
        <w:sectPr w:rsidR="00566558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10EA6354" w14:textId="77777777" w:rsidR="00566558" w:rsidRDefault="00000000">
      <w:pPr>
        <w:pStyle w:val="Nadpis1"/>
        <w:numPr>
          <w:ilvl w:val="0"/>
          <w:numId w:val="2"/>
        </w:numPr>
        <w:tabs>
          <w:tab w:val="left" w:pos="499"/>
        </w:tabs>
        <w:spacing w:before="41"/>
        <w:ind w:hanging="361"/>
        <w:jc w:val="both"/>
      </w:pPr>
      <w:r>
        <w:lastRenderedPageBreak/>
        <w:t>Předmět smlouvy</w:t>
      </w:r>
    </w:p>
    <w:p w14:paraId="0AF14CE9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66202D61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7B79DEEA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D69C0CE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2D1653D0" w14:textId="77777777" w:rsidR="00566558" w:rsidRDefault="00566558">
      <w:pPr>
        <w:pStyle w:val="Zkladntext"/>
      </w:pPr>
    </w:p>
    <w:p w14:paraId="4C9A1626" w14:textId="77777777" w:rsidR="00566558" w:rsidRDefault="00566558">
      <w:pPr>
        <w:pStyle w:val="Zkladntext"/>
        <w:spacing w:before="7"/>
        <w:rPr>
          <w:sz w:val="19"/>
        </w:rPr>
      </w:pPr>
    </w:p>
    <w:p w14:paraId="4E508380" w14:textId="77777777" w:rsidR="00566558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Konzultace</w:t>
      </w:r>
    </w:p>
    <w:p w14:paraId="01D19B39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613C8563" w14:textId="77777777" w:rsidR="00566558" w:rsidRDefault="00566558">
      <w:pPr>
        <w:pStyle w:val="Zkladntext"/>
        <w:spacing w:before="9"/>
        <w:rPr>
          <w:sz w:val="33"/>
        </w:rPr>
      </w:pPr>
    </w:p>
    <w:p w14:paraId="69D62332" w14:textId="77777777" w:rsidR="00566558" w:rsidRDefault="00000000">
      <w:pPr>
        <w:pStyle w:val="Nadpis1"/>
        <w:spacing w:before="1"/>
        <w:ind w:left="566"/>
        <w:jc w:val="left"/>
      </w:pPr>
      <w:r>
        <w:t>Cíl:</w:t>
      </w:r>
    </w:p>
    <w:p w14:paraId="57112C26" w14:textId="77777777" w:rsidR="00566558" w:rsidRDefault="00000000">
      <w:pPr>
        <w:pStyle w:val="Zkladntext"/>
        <w:ind w:left="566" w:right="110"/>
        <w:jc w:val="both"/>
      </w:pPr>
      <w:r>
        <w:t xml:space="preserve">Pro firmu </w:t>
      </w:r>
      <w:proofErr w:type="spellStart"/>
      <w:r>
        <w:t>Medoo</w:t>
      </w:r>
      <w:proofErr w:type="spellEnd"/>
      <w:r>
        <w:t xml:space="preserve"> je zásadní, aby pro svůj další rozvoj a expanzi měla k dispozici kvalitní IT zázemí. Specializace firmy na potravinářskou výrobu, od počátečního vstupu až po finální výrobek je technologicky a procesně náročné. Podrobná analýza, doplněná zpracovaným procesním a datovým modelem umožní firmě odhadnout investiční a časový rámec pro svůj další rozvoj. Tato strategie je určitým odrazovým můstkem pro realizaci celého digitalizačního procesu, protože firmě přiblíží celkový rozsah k dosažení cíle a umožní tak zvážit přínosy i možná rizika projektu. Tento program tedy bude zaměřený na výše uvedené rozbory a analýzy.</w:t>
      </w:r>
    </w:p>
    <w:p w14:paraId="48D798BA" w14:textId="77777777" w:rsidR="00566558" w:rsidRDefault="00566558">
      <w:pPr>
        <w:jc w:val="both"/>
        <w:sectPr w:rsidR="00566558">
          <w:pgSz w:w="11910" w:h="16840"/>
          <w:pgMar w:top="1360" w:right="1020" w:bottom="1020" w:left="1280" w:header="303" w:footer="828" w:gutter="0"/>
          <w:cols w:space="708"/>
        </w:sectPr>
      </w:pPr>
    </w:p>
    <w:p w14:paraId="120AF921" w14:textId="77777777" w:rsidR="00566558" w:rsidRDefault="00000000">
      <w:pPr>
        <w:pStyle w:val="Nadpis1"/>
        <w:spacing w:before="41"/>
        <w:ind w:left="566"/>
        <w:jc w:val="left"/>
      </w:pPr>
      <w:r>
        <w:lastRenderedPageBreak/>
        <w:t>Popis plánovaných aktivit:</w:t>
      </w:r>
    </w:p>
    <w:p w14:paraId="4A042D7F" w14:textId="77777777" w:rsidR="00566558" w:rsidRDefault="00566558">
      <w:pPr>
        <w:pStyle w:val="Zkladntext"/>
        <w:rPr>
          <w:b/>
          <w:sz w:val="20"/>
        </w:rPr>
      </w:pPr>
    </w:p>
    <w:p w14:paraId="1D52380E" w14:textId="77777777" w:rsidR="00566558" w:rsidRDefault="00566558">
      <w:pPr>
        <w:pStyle w:val="Zkladntext"/>
        <w:spacing w:after="1"/>
        <w:rPr>
          <w:b/>
          <w:sz w:val="28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566558" w14:paraId="7A497AB9" w14:textId="77777777">
        <w:trPr>
          <w:trHeight w:val="292"/>
        </w:trPr>
        <w:tc>
          <w:tcPr>
            <w:tcW w:w="7033" w:type="dxa"/>
          </w:tcPr>
          <w:p w14:paraId="763D3F88" w14:textId="77777777" w:rsidR="00566558" w:rsidRDefault="00000000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26BB4B6E" w14:textId="77777777" w:rsidR="00566558" w:rsidRDefault="00000000">
            <w:pPr>
              <w:pStyle w:val="TableParagraph"/>
              <w:spacing w:line="272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566558" w14:paraId="21035354" w14:textId="77777777">
        <w:trPr>
          <w:trHeight w:val="2637"/>
        </w:trPr>
        <w:tc>
          <w:tcPr>
            <w:tcW w:w="7033" w:type="dxa"/>
          </w:tcPr>
          <w:p w14:paraId="6FF5FB26" w14:textId="77777777" w:rsidR="00566558" w:rsidRDefault="0056655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AB0C908" w14:textId="77777777" w:rsidR="005665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176"/>
              <w:rPr>
                <w:sz w:val="24"/>
              </w:rPr>
            </w:pPr>
            <w:r>
              <w:rPr>
                <w:sz w:val="24"/>
              </w:rPr>
              <w:t>Zpracování podrobné analýzy současného IT zázemí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firmy</w:t>
            </w:r>
          </w:p>
          <w:p w14:paraId="7B1D04DB" w14:textId="77777777" w:rsidR="005665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176"/>
              <w:rPr>
                <w:sz w:val="24"/>
              </w:rPr>
            </w:pPr>
            <w:r>
              <w:rPr>
                <w:sz w:val="24"/>
              </w:rPr>
              <w:t>Vytvoření procesního a datového modelu celé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firmy</w:t>
            </w:r>
          </w:p>
          <w:p w14:paraId="2350344E" w14:textId="77777777" w:rsidR="005665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 w:hanging="176"/>
              <w:rPr>
                <w:sz w:val="24"/>
              </w:rPr>
            </w:pPr>
            <w:r>
              <w:rPr>
                <w:sz w:val="24"/>
              </w:rPr>
              <w:t>Stanovení investičního a časového rámce pro další digitální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rozvoj</w:t>
            </w:r>
          </w:p>
          <w:p w14:paraId="56F359CB" w14:textId="77777777" w:rsidR="005665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Návrh digitalizační strategie jako odrazového můstku pro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realizaci změn</w:t>
            </w:r>
          </w:p>
          <w:p w14:paraId="50C8A932" w14:textId="77777777" w:rsidR="0056655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Vyhodnocení přínosů a rizik projektu pro efektivní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rozhodování vedení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společnosti</w:t>
            </w:r>
          </w:p>
        </w:tc>
        <w:tc>
          <w:tcPr>
            <w:tcW w:w="1609" w:type="dxa"/>
          </w:tcPr>
          <w:p w14:paraId="3D0FC4F2" w14:textId="77777777" w:rsidR="00566558" w:rsidRDefault="00000000">
            <w:pPr>
              <w:pStyle w:val="TableParagraph"/>
              <w:spacing w:line="292" w:lineRule="exact"/>
              <w:ind w:left="517" w:right="6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40h</w:t>
            </w:r>
            <w:proofErr w:type="gramEnd"/>
          </w:p>
        </w:tc>
      </w:tr>
      <w:tr w:rsidR="00566558" w14:paraId="467230A1" w14:textId="77777777">
        <w:trPr>
          <w:trHeight w:val="629"/>
        </w:trPr>
        <w:tc>
          <w:tcPr>
            <w:tcW w:w="7033" w:type="dxa"/>
          </w:tcPr>
          <w:p w14:paraId="17A08812" w14:textId="77777777" w:rsidR="00566558" w:rsidRDefault="00000000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490EA1E" w14:textId="77777777" w:rsidR="00566558" w:rsidRDefault="00000000">
            <w:pPr>
              <w:pStyle w:val="TableParagraph"/>
              <w:spacing w:line="292" w:lineRule="exact"/>
              <w:ind w:right="2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60.000,-</w:t>
            </w:r>
            <w:proofErr w:type="gramEnd"/>
          </w:p>
        </w:tc>
      </w:tr>
    </w:tbl>
    <w:p w14:paraId="25C05F04" w14:textId="77777777" w:rsidR="00566558" w:rsidRDefault="00566558">
      <w:pPr>
        <w:pStyle w:val="Zkladntext"/>
        <w:spacing w:before="8"/>
        <w:rPr>
          <w:b/>
          <w:sz w:val="19"/>
        </w:rPr>
      </w:pPr>
    </w:p>
    <w:p w14:paraId="6009DDB7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2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758B9755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10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40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739A0A0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8D3E0A2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120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Projekt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35D7DC6" w14:textId="77777777" w:rsidR="00566558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21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34AEBD04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</w:t>
      </w:r>
      <w:r>
        <w:rPr>
          <w:spacing w:val="33"/>
          <w:sz w:val="24"/>
        </w:rPr>
        <w:t xml:space="preserve"> </w:t>
      </w:r>
      <w:r>
        <w:rPr>
          <w:sz w:val="24"/>
        </w:rPr>
        <w:t>odměna</w:t>
      </w:r>
      <w:r>
        <w:rPr>
          <w:spacing w:val="34"/>
          <w:sz w:val="24"/>
        </w:rPr>
        <w:t xml:space="preserve"> </w:t>
      </w:r>
      <w:r>
        <w:rPr>
          <w:sz w:val="24"/>
        </w:rPr>
        <w:t>tedy</w:t>
      </w:r>
      <w:r>
        <w:rPr>
          <w:spacing w:val="32"/>
          <w:sz w:val="24"/>
        </w:rPr>
        <w:t xml:space="preserve"> </w:t>
      </w:r>
      <w:r>
        <w:rPr>
          <w:sz w:val="24"/>
        </w:rPr>
        <w:t>bude</w:t>
      </w:r>
      <w:r>
        <w:rPr>
          <w:spacing w:val="35"/>
          <w:sz w:val="24"/>
        </w:rPr>
        <w:t xml:space="preserve"> </w:t>
      </w:r>
      <w:r>
        <w:rPr>
          <w:sz w:val="24"/>
        </w:rPr>
        <w:t>vypočtena</w:t>
      </w:r>
      <w:r>
        <w:rPr>
          <w:spacing w:val="33"/>
          <w:sz w:val="24"/>
        </w:rPr>
        <w:t xml:space="preserve"> </w:t>
      </w:r>
      <w:r>
        <w:rPr>
          <w:sz w:val="24"/>
        </w:rPr>
        <w:t>jako</w:t>
      </w:r>
      <w:r>
        <w:rPr>
          <w:spacing w:val="32"/>
          <w:sz w:val="24"/>
        </w:rPr>
        <w:t xml:space="preserve"> </w:t>
      </w:r>
      <w:r>
        <w:rPr>
          <w:sz w:val="24"/>
        </w:rPr>
        <w:t>násobek</w:t>
      </w:r>
      <w:r>
        <w:rPr>
          <w:spacing w:val="33"/>
          <w:sz w:val="24"/>
        </w:rPr>
        <w:t xml:space="preserve"> </w:t>
      </w:r>
      <w:r>
        <w:rPr>
          <w:sz w:val="24"/>
        </w:rPr>
        <w:t>celkového</w:t>
      </w:r>
      <w:r>
        <w:rPr>
          <w:spacing w:val="31"/>
          <w:sz w:val="24"/>
        </w:rPr>
        <w:t xml:space="preserve"> </w:t>
      </w:r>
      <w:r>
        <w:rPr>
          <w:sz w:val="24"/>
        </w:rPr>
        <w:t>počtu</w:t>
      </w:r>
      <w:r>
        <w:rPr>
          <w:spacing w:val="32"/>
          <w:sz w:val="24"/>
        </w:rPr>
        <w:t xml:space="preserve"> </w:t>
      </w:r>
      <w:r>
        <w:rPr>
          <w:sz w:val="24"/>
        </w:rPr>
        <w:t>hodin</w:t>
      </w:r>
      <w:r>
        <w:rPr>
          <w:spacing w:val="32"/>
          <w:sz w:val="24"/>
        </w:rPr>
        <w:t xml:space="preserve"> </w:t>
      </w:r>
      <w:r>
        <w:rPr>
          <w:sz w:val="24"/>
        </w:rPr>
        <w:t>poskytování</w:t>
      </w:r>
    </w:p>
    <w:p w14:paraId="2E96231D" w14:textId="77777777" w:rsidR="00566558" w:rsidRDefault="00566558">
      <w:pPr>
        <w:jc w:val="both"/>
        <w:rPr>
          <w:sz w:val="24"/>
        </w:rPr>
        <w:sectPr w:rsidR="00566558">
          <w:pgSz w:w="11910" w:h="16840"/>
          <w:pgMar w:top="1360" w:right="1020" w:bottom="1020" w:left="1280" w:header="303" w:footer="828" w:gutter="0"/>
          <w:cols w:space="708"/>
        </w:sectPr>
      </w:pPr>
    </w:p>
    <w:p w14:paraId="50CDCF26" w14:textId="77777777" w:rsidR="00566558" w:rsidRDefault="00000000">
      <w:pPr>
        <w:pStyle w:val="Zkladntext"/>
        <w:spacing w:before="41"/>
        <w:ind w:left="563"/>
        <w:jc w:val="both"/>
      </w:pPr>
      <w:r>
        <w:lastRenderedPageBreak/>
        <w:t>konzultací Příjemci a hodinové odměny uvedené v předchozí větě tohoto článku (dále jen</w:t>
      </w:r>
    </w:p>
    <w:p w14:paraId="0290C6D1" w14:textId="77777777" w:rsidR="00566558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727E385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20502383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3D6F19EB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2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6A4225F2" w14:textId="77777777" w:rsidR="00566558" w:rsidRDefault="00566558">
      <w:pPr>
        <w:pStyle w:val="Zkladntext"/>
        <w:spacing w:before="9"/>
        <w:rPr>
          <w:sz w:val="33"/>
        </w:rPr>
      </w:pPr>
    </w:p>
    <w:p w14:paraId="06B6A7B5" w14:textId="77777777" w:rsidR="00566558" w:rsidRDefault="00000000">
      <w:pPr>
        <w:pStyle w:val="Nadpis1"/>
        <w:numPr>
          <w:ilvl w:val="0"/>
          <w:numId w:val="2"/>
        </w:numPr>
        <w:tabs>
          <w:tab w:val="left" w:pos="497"/>
        </w:tabs>
        <w:spacing w:before="1"/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284C88B9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hanging="426"/>
        <w:jc w:val="both"/>
        <w:rPr>
          <w:b/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>115.030,00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Kč</w:t>
      </w:r>
    </w:p>
    <w:p w14:paraId="1B25DD01" w14:textId="77777777" w:rsidR="00566558" w:rsidRDefault="00000000">
      <w:pPr>
        <w:ind w:left="563"/>
        <w:jc w:val="both"/>
        <w:rPr>
          <w:sz w:val="24"/>
        </w:rPr>
      </w:pPr>
      <w:r>
        <w:rPr>
          <w:sz w:val="24"/>
        </w:rPr>
        <w:t>(slovy: jedno sto patnáct tisíc třicet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169C20E5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07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100.030,00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jedno</w:t>
      </w:r>
      <w:r>
        <w:rPr>
          <w:spacing w:val="-4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třicet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5"/>
          <w:sz w:val="24"/>
        </w:rPr>
        <w:t xml:space="preserve"> </w:t>
      </w: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</w:p>
    <w:p w14:paraId="7EA6A723" w14:textId="77777777" w:rsidR="00566558" w:rsidRDefault="00000000">
      <w:pPr>
        <w:spacing w:before="2"/>
        <w:ind w:left="563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 služeb.</w:t>
      </w:r>
    </w:p>
    <w:p w14:paraId="5A66E186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uvádí,</w:t>
      </w:r>
      <w:r>
        <w:rPr>
          <w:spacing w:val="-9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částka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48.215,00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(slovy:</w:t>
      </w:r>
      <w:r>
        <w:rPr>
          <w:spacing w:val="-7"/>
          <w:sz w:val="24"/>
        </w:rPr>
        <w:t xml:space="preserve"> </w:t>
      </w:r>
      <w:r>
        <w:rPr>
          <w:sz w:val="24"/>
        </w:rPr>
        <w:t>čtyřicet</w:t>
      </w:r>
      <w:r>
        <w:rPr>
          <w:spacing w:val="-8"/>
          <w:sz w:val="24"/>
        </w:rPr>
        <w:t xml:space="preserve"> </w:t>
      </w:r>
      <w:r>
        <w:rPr>
          <w:sz w:val="24"/>
        </w:rPr>
        <w:t>osm</w:t>
      </w:r>
      <w:r>
        <w:rPr>
          <w:spacing w:val="-8"/>
          <w:sz w:val="24"/>
        </w:rPr>
        <w:t xml:space="preserve"> </w:t>
      </w:r>
      <w:r>
        <w:rPr>
          <w:sz w:val="24"/>
        </w:rPr>
        <w:t>tisíc</w:t>
      </w:r>
      <w:r>
        <w:rPr>
          <w:spacing w:val="-8"/>
          <w:sz w:val="24"/>
        </w:rPr>
        <w:t xml:space="preserve"> </w:t>
      </w:r>
      <w:r>
        <w:rPr>
          <w:sz w:val="24"/>
        </w:rPr>
        <w:t>dvě</w:t>
      </w:r>
      <w:r>
        <w:rPr>
          <w:spacing w:val="-5"/>
          <w:sz w:val="24"/>
        </w:rPr>
        <w:t xml:space="preserve"> </w:t>
      </w:r>
      <w:r>
        <w:rPr>
          <w:sz w:val="24"/>
        </w:rPr>
        <w:t>stě</w:t>
      </w:r>
      <w:r>
        <w:rPr>
          <w:spacing w:val="-8"/>
          <w:sz w:val="24"/>
        </w:rPr>
        <w:t xml:space="preserve"> </w:t>
      </w:r>
      <w:r>
        <w:rPr>
          <w:sz w:val="24"/>
        </w:rPr>
        <w:t>patnáct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37E6BC9A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29DE4181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75%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E83B85F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1"/>
        <w:ind w:hanging="426"/>
        <w:jc w:val="both"/>
        <w:rPr>
          <w:sz w:val="24"/>
        </w:rPr>
      </w:pPr>
      <w:r>
        <w:rPr>
          <w:sz w:val="24"/>
        </w:rPr>
        <w:t>Poskytovatel vychází při fakturaci (vyúčtování odměny za konzultace)</w:t>
      </w:r>
      <w:r>
        <w:rPr>
          <w:spacing w:val="43"/>
          <w:sz w:val="24"/>
        </w:rPr>
        <w:t xml:space="preserve"> </w:t>
      </w:r>
      <w:r>
        <w:rPr>
          <w:sz w:val="24"/>
        </w:rPr>
        <w:t>z podepsaného</w:t>
      </w:r>
    </w:p>
    <w:p w14:paraId="2E44EB6E" w14:textId="77777777" w:rsidR="00566558" w:rsidRDefault="00000000">
      <w:pPr>
        <w:pStyle w:val="Zkladntext"/>
        <w:ind w:left="563"/>
        <w:jc w:val="both"/>
      </w:pPr>
      <w:r>
        <w:t xml:space="preserve">dokumentu </w:t>
      </w:r>
      <w:r>
        <w:rPr>
          <w:b/>
        </w:rPr>
        <w:t>Vyhodnocení</w:t>
      </w:r>
      <w:r>
        <w:t>; není-li takový dokument k dispozici z důvodů neležících na straně</w:t>
      </w:r>
    </w:p>
    <w:p w14:paraId="2508A96A" w14:textId="77777777" w:rsidR="00566558" w:rsidRDefault="00566558">
      <w:pPr>
        <w:jc w:val="both"/>
        <w:sectPr w:rsidR="00566558">
          <w:pgSz w:w="11910" w:h="16840"/>
          <w:pgMar w:top="1360" w:right="1020" w:bottom="1020" w:left="1280" w:header="303" w:footer="828" w:gutter="0"/>
          <w:cols w:space="708"/>
        </w:sectPr>
      </w:pPr>
    </w:p>
    <w:p w14:paraId="585801CD" w14:textId="77777777" w:rsidR="00566558" w:rsidRDefault="00000000">
      <w:pPr>
        <w:pStyle w:val="Zkladntext"/>
        <w:spacing w:before="41"/>
        <w:ind w:left="545" w:right="579"/>
        <w:jc w:val="center"/>
      </w:pPr>
      <w:r>
        <w:lastRenderedPageBreak/>
        <w:t>Poskytovatele, je Poskytovatel oprávněn vycházet z informací, které obdrží od Experta.</w:t>
      </w:r>
    </w:p>
    <w:p w14:paraId="4349FB73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120"/>
        <w:ind w:hanging="537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8404CCA" w14:textId="77777777" w:rsidR="00566558" w:rsidRDefault="00000000">
      <w:pPr>
        <w:pStyle w:val="Zkladntext"/>
        <w:ind w:left="545" w:right="6295"/>
        <w:jc w:val="center"/>
      </w:pPr>
      <w:r>
        <w:t>na účet uvedený na faktuře.</w:t>
      </w:r>
    </w:p>
    <w:p w14:paraId="25CE84FA" w14:textId="77777777" w:rsidR="00566558" w:rsidRDefault="00566558">
      <w:pPr>
        <w:pStyle w:val="Zkladntext"/>
        <w:spacing w:before="10"/>
        <w:rPr>
          <w:sz w:val="33"/>
        </w:rPr>
      </w:pPr>
    </w:p>
    <w:p w14:paraId="7ED02902" w14:textId="77777777" w:rsidR="00566558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12C228CA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3DA398FC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830DFF3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160C5668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725B812F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3B77EB20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0283F8A1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7"/>
        </w:tabs>
        <w:spacing w:before="62"/>
        <w:ind w:left="566" w:right="112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1BE5EF57" w14:textId="77777777" w:rsidR="00566558" w:rsidRDefault="00566558">
      <w:pPr>
        <w:pStyle w:val="Zkladntext"/>
        <w:spacing w:before="9"/>
        <w:rPr>
          <w:sz w:val="33"/>
        </w:rPr>
      </w:pPr>
    </w:p>
    <w:p w14:paraId="5F1B8E95" w14:textId="77777777" w:rsidR="00566558" w:rsidRDefault="00000000">
      <w:pPr>
        <w:pStyle w:val="Nadpis1"/>
        <w:numPr>
          <w:ilvl w:val="0"/>
          <w:numId w:val="2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3F39E0E4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2"/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2A7560D9" w14:textId="77777777" w:rsidR="00566558" w:rsidRDefault="00000000">
      <w:pPr>
        <w:pStyle w:val="Zkladntext"/>
        <w:ind w:left="563"/>
        <w:jc w:val="both"/>
      </w:pPr>
      <w:r>
        <w:t>v písemné formě.</w:t>
      </w:r>
    </w:p>
    <w:p w14:paraId="74112C63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51E0BDB6" w14:textId="77777777" w:rsidR="00566558" w:rsidRDefault="00566558">
      <w:pPr>
        <w:jc w:val="both"/>
        <w:rPr>
          <w:sz w:val="24"/>
        </w:rPr>
        <w:sectPr w:rsidR="00566558">
          <w:pgSz w:w="11910" w:h="16840"/>
          <w:pgMar w:top="1360" w:right="1020" w:bottom="1020" w:left="1280" w:header="303" w:footer="828" w:gutter="0"/>
          <w:cols w:space="708"/>
        </w:sectPr>
      </w:pPr>
    </w:p>
    <w:p w14:paraId="35DAD0C0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41"/>
        <w:ind w:right="106"/>
        <w:jc w:val="both"/>
        <w:rPr>
          <w:sz w:val="24"/>
        </w:rPr>
      </w:pPr>
      <w:r>
        <w:rPr>
          <w:sz w:val="24"/>
        </w:rPr>
        <w:lastRenderedPageBreak/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2687233A" w14:textId="77777777" w:rsidR="00566558" w:rsidRDefault="00000000">
      <w:pPr>
        <w:pStyle w:val="Odstavecseseznamem"/>
        <w:numPr>
          <w:ilvl w:val="1"/>
          <w:numId w:val="2"/>
        </w:numPr>
        <w:tabs>
          <w:tab w:val="left" w:pos="56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295F3ADE" w14:textId="77777777" w:rsidR="00566558" w:rsidRDefault="00566558">
      <w:pPr>
        <w:pStyle w:val="Zkladntext"/>
        <w:spacing w:before="7"/>
        <w:rPr>
          <w:sz w:val="12"/>
        </w:rPr>
      </w:pPr>
    </w:p>
    <w:p w14:paraId="45622579" w14:textId="77777777" w:rsidR="00566558" w:rsidRDefault="00566558">
      <w:pPr>
        <w:rPr>
          <w:sz w:val="12"/>
        </w:rPr>
        <w:sectPr w:rsidR="00566558">
          <w:pgSz w:w="11910" w:h="16840"/>
          <w:pgMar w:top="1360" w:right="1020" w:bottom="1020" w:left="1280" w:header="303" w:footer="828" w:gutter="0"/>
          <w:cols w:space="708"/>
        </w:sectPr>
      </w:pPr>
    </w:p>
    <w:p w14:paraId="61447017" w14:textId="4A99B566" w:rsidR="00566558" w:rsidRDefault="00000000">
      <w:pPr>
        <w:pStyle w:val="Zkladntext"/>
        <w:spacing w:before="175"/>
        <w:ind w:left="138"/>
      </w:pPr>
      <w:r>
        <w:pict w14:anchorId="00E6373F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226.15pt;margin-top:69.9pt;width:143.4pt;height:12pt;z-index:-251944960;mso-position-horizontal-relative:page" filled="f" stroked="f">
            <v:textbox inset="0,0,0,0">
              <w:txbxContent>
                <w:p w14:paraId="4875E4AC" w14:textId="77777777" w:rsidR="0056655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1AE22DE7">
          <v:shape id="_x0000_s2073" type="#_x0000_t202" style="position:absolute;left:0;text-align:left;margin-left:389.25pt;margin-top:69.9pt;width:143.4pt;height:12pt;z-index:-251943936;mso-position-horizontal-relative:page" filled="f" stroked="f">
            <v:textbox inset="0,0,0,0">
              <w:txbxContent>
                <w:p w14:paraId="3FC50ECE" w14:textId="77777777" w:rsidR="0056655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207AB5E">
          <v:shape id="_x0000_s2072" type="#_x0000_t202" style="position:absolute;left:0;text-align:left;margin-left:70.95pt;margin-top:69.9pt;width:143.4pt;height:12pt;z-index:-251942912;mso-position-horizontal-relative:page" filled="f" stroked="f">
            <v:textbox inset="0,0,0,0">
              <w:txbxContent>
                <w:p w14:paraId="75A31D50" w14:textId="77777777" w:rsidR="00566558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V Ostravě dne</w:t>
      </w:r>
    </w:p>
    <w:p w14:paraId="198D1A18" w14:textId="77777777" w:rsidR="00566558" w:rsidRDefault="00000000">
      <w:pPr>
        <w:spacing w:before="115"/>
        <w:ind w:left="138"/>
        <w:rPr>
          <w:sz w:val="21"/>
        </w:rPr>
      </w:pPr>
      <w:r>
        <w:br w:type="column"/>
      </w:r>
      <w:r>
        <w:rPr>
          <w:w w:val="115"/>
          <w:sz w:val="21"/>
        </w:rPr>
        <w:t>11.6.2025</w:t>
      </w:r>
    </w:p>
    <w:p w14:paraId="552EC83C" w14:textId="77777777" w:rsidR="00566558" w:rsidRDefault="00566558">
      <w:pPr>
        <w:rPr>
          <w:sz w:val="21"/>
        </w:rPr>
        <w:sectPr w:rsidR="00566558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66"/>
            <w:col w:w="8029"/>
          </w:cols>
        </w:sectPr>
      </w:pPr>
    </w:p>
    <w:p w14:paraId="7EC48481" w14:textId="77777777" w:rsidR="00566558" w:rsidRDefault="00566558">
      <w:pPr>
        <w:pStyle w:val="Zkladntext"/>
        <w:rPr>
          <w:sz w:val="20"/>
        </w:rPr>
      </w:pPr>
    </w:p>
    <w:p w14:paraId="541C397B" w14:textId="77777777" w:rsidR="00566558" w:rsidRDefault="00566558">
      <w:pPr>
        <w:pStyle w:val="Zkladntext"/>
        <w:rPr>
          <w:sz w:val="20"/>
        </w:rPr>
      </w:pPr>
    </w:p>
    <w:p w14:paraId="59D5FDD2" w14:textId="77777777" w:rsidR="00566558" w:rsidRDefault="00566558">
      <w:pPr>
        <w:pStyle w:val="Zkladntext"/>
        <w:rPr>
          <w:sz w:val="20"/>
        </w:rPr>
      </w:pPr>
    </w:p>
    <w:p w14:paraId="01774ED7" w14:textId="77777777" w:rsidR="00566558" w:rsidRDefault="00566558">
      <w:pPr>
        <w:pStyle w:val="Zkladntext"/>
        <w:rPr>
          <w:sz w:val="20"/>
        </w:rPr>
      </w:pPr>
    </w:p>
    <w:p w14:paraId="591830A5" w14:textId="77777777" w:rsidR="00566558" w:rsidRDefault="00566558">
      <w:pPr>
        <w:pStyle w:val="Zkladntext"/>
        <w:spacing w:before="11" w:after="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86"/>
        <w:gridCol w:w="3102"/>
        <w:gridCol w:w="2337"/>
      </w:tblGrid>
      <w:tr w:rsidR="00566558" w14:paraId="557F63A1" w14:textId="77777777">
        <w:trPr>
          <w:trHeight w:val="1118"/>
        </w:trPr>
        <w:tc>
          <w:tcPr>
            <w:tcW w:w="3386" w:type="dxa"/>
          </w:tcPr>
          <w:p w14:paraId="100F2008" w14:textId="77777777" w:rsidR="00566558" w:rsidRDefault="00000000">
            <w:pPr>
              <w:pStyle w:val="TableParagraph"/>
              <w:spacing w:line="244" w:lineRule="exact"/>
              <w:ind w:left="179" w:right="380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2F4C9C0A" w14:textId="77777777" w:rsidR="00566558" w:rsidRDefault="00000000">
            <w:pPr>
              <w:pStyle w:val="TableParagraph"/>
              <w:ind w:left="179" w:right="378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290AE9E6" w14:textId="41150DF3" w:rsidR="00566558" w:rsidRDefault="00CB0B06">
            <w:pPr>
              <w:pStyle w:val="TableParagraph"/>
              <w:spacing w:line="290" w:lineRule="atLeast"/>
              <w:ind w:left="603" w:right="799" w:firstLine="441"/>
              <w:rPr>
                <w:sz w:val="24"/>
              </w:rPr>
            </w:pPr>
            <w:proofErr w:type="spellStart"/>
            <w:r>
              <w:rPr>
                <w:sz w:val="24"/>
              </w:rPr>
              <w:t>xxxxxxxxx</w:t>
            </w:r>
            <w:proofErr w:type="spellEnd"/>
          </w:p>
        </w:tc>
        <w:tc>
          <w:tcPr>
            <w:tcW w:w="3102" w:type="dxa"/>
          </w:tcPr>
          <w:p w14:paraId="22BBF439" w14:textId="77777777" w:rsidR="00566558" w:rsidRDefault="00000000">
            <w:pPr>
              <w:pStyle w:val="TableParagraph"/>
              <w:spacing w:line="244" w:lineRule="exact"/>
              <w:ind w:left="383" w:right="5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Medoo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Silesia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1F94F61E" w14:textId="77777777" w:rsidR="00566558" w:rsidRDefault="00000000">
            <w:pPr>
              <w:pStyle w:val="TableParagraph"/>
              <w:ind w:left="56" w:right="5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Robert </w:t>
            </w:r>
            <w:proofErr w:type="spellStart"/>
            <w:r>
              <w:rPr>
                <w:sz w:val="24"/>
              </w:rPr>
              <w:t>Chlebiš</w:t>
            </w:r>
            <w:proofErr w:type="spellEnd"/>
          </w:p>
          <w:p w14:paraId="30B29459" w14:textId="77777777" w:rsidR="00566558" w:rsidRDefault="00000000">
            <w:pPr>
              <w:pStyle w:val="TableParagraph"/>
              <w:ind w:left="54" w:right="512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2337" w:type="dxa"/>
          </w:tcPr>
          <w:p w14:paraId="4DF1DDB1" w14:textId="77777777" w:rsidR="00566558" w:rsidRDefault="00000000">
            <w:pPr>
              <w:pStyle w:val="TableParagraph"/>
              <w:spacing w:line="244" w:lineRule="exact"/>
              <w:ind w:left="513" w:right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Altevida</w:t>
            </w:r>
            <w:proofErr w:type="spellEnd"/>
            <w:r>
              <w:rPr>
                <w:sz w:val="24"/>
              </w:rPr>
              <w:t xml:space="preserve"> s.r.o.</w:t>
            </w:r>
          </w:p>
          <w:p w14:paraId="52D2B474" w14:textId="77777777" w:rsidR="00566558" w:rsidRDefault="00000000">
            <w:pPr>
              <w:pStyle w:val="TableParagraph"/>
              <w:ind w:left="512" w:right="180"/>
              <w:jc w:val="center"/>
              <w:rPr>
                <w:sz w:val="24"/>
              </w:rPr>
            </w:pPr>
            <w:r>
              <w:rPr>
                <w:sz w:val="24"/>
              </w:rPr>
              <w:t>Petr Dočekal</w:t>
            </w:r>
          </w:p>
          <w:p w14:paraId="7861A838" w14:textId="77777777" w:rsidR="00566558" w:rsidRDefault="00000000">
            <w:pPr>
              <w:pStyle w:val="TableParagraph"/>
              <w:ind w:left="512" w:right="180"/>
              <w:jc w:val="center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</w:tr>
    </w:tbl>
    <w:p w14:paraId="131DF7ED" w14:textId="3CBA77B9" w:rsidR="00566558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7FBCE9CE" w14:textId="77777777" w:rsidR="00566558" w:rsidRDefault="00566558">
      <w:pPr>
        <w:sectPr w:rsidR="00566558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0D627235" w14:textId="77777777" w:rsidR="00566558" w:rsidRDefault="00566558">
      <w:pPr>
        <w:pStyle w:val="Zkladntext"/>
        <w:rPr>
          <w:i/>
          <w:sz w:val="20"/>
        </w:rPr>
      </w:pPr>
    </w:p>
    <w:p w14:paraId="14C42429" w14:textId="77777777" w:rsidR="00566558" w:rsidRDefault="00566558">
      <w:pPr>
        <w:pStyle w:val="Zkladntext"/>
        <w:rPr>
          <w:i/>
          <w:sz w:val="20"/>
        </w:rPr>
      </w:pPr>
    </w:p>
    <w:p w14:paraId="43AC089E" w14:textId="77777777" w:rsidR="00566558" w:rsidRDefault="00566558">
      <w:pPr>
        <w:pStyle w:val="Zkladntext"/>
        <w:spacing w:before="9"/>
        <w:rPr>
          <w:i/>
          <w:sz w:val="12"/>
        </w:rPr>
      </w:pPr>
    </w:p>
    <w:p w14:paraId="39D3796E" w14:textId="5FC4F685" w:rsidR="00566558" w:rsidRDefault="00566558">
      <w:pPr>
        <w:pStyle w:val="Zkladntext"/>
        <w:ind w:left="431"/>
        <w:rPr>
          <w:sz w:val="20"/>
        </w:rPr>
      </w:pPr>
    </w:p>
    <w:sectPr w:rsidR="00566558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C463" w14:textId="77777777" w:rsidR="00555EC9" w:rsidRDefault="00555EC9">
      <w:r>
        <w:separator/>
      </w:r>
    </w:p>
  </w:endnote>
  <w:endnote w:type="continuationSeparator" w:id="0">
    <w:p w14:paraId="13C85746" w14:textId="77777777" w:rsidR="00555EC9" w:rsidRDefault="005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D816" w14:textId="77777777" w:rsidR="0056655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4592" behindDoc="1" locked="0" layoutInCell="1" allowOverlap="1" wp14:anchorId="4D62353A" wp14:editId="4BA0CA43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75616" behindDoc="1" locked="0" layoutInCell="1" allowOverlap="1" wp14:anchorId="727C3E29" wp14:editId="23699239">
          <wp:simplePos x="0" y="0"/>
          <wp:positionH relativeFrom="page">
            <wp:posOffset>5552213</wp:posOffset>
          </wp:positionH>
          <wp:positionV relativeFrom="page">
            <wp:posOffset>10212837</wp:posOffset>
          </wp:positionV>
          <wp:extent cx="1122995" cy="30599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1B5AC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95pt;margin-top:794.2pt;width:11.6pt;height:13.05pt;z-index:-251939840;mso-position-horizontal-relative:page;mso-position-vertical-relative:page" filled="f" stroked="f">
          <v:textbox inset="0,0,0,0">
            <w:txbxContent>
              <w:p w14:paraId="156B53A0" w14:textId="77777777" w:rsidR="00566558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D42B" w14:textId="77777777" w:rsidR="00555EC9" w:rsidRDefault="00555EC9">
      <w:r>
        <w:separator/>
      </w:r>
    </w:p>
  </w:footnote>
  <w:footnote w:type="continuationSeparator" w:id="0">
    <w:p w14:paraId="03EAC4C9" w14:textId="77777777" w:rsidR="00555EC9" w:rsidRDefault="0055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1DC7" w14:textId="77777777" w:rsidR="00566558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71520" behindDoc="1" locked="0" layoutInCell="1" allowOverlap="1" wp14:anchorId="56016530" wp14:editId="0E93B7EF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0408F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9pt;margin-top:14.15pt;width:183.5pt;height:8.75pt;z-index:-251943936;mso-position-horizontal-relative:page;mso-position-vertical-relative:page" filled="f" stroked="f">
          <v:textbox inset="0,0,0,0">
            <w:txbxContent>
              <w:p w14:paraId="582C3450" w14:textId="77777777" w:rsidR="00566558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01973509-ee45</w:t>
                </w:r>
                <w:proofErr w:type="gramEnd"/>
                <w:r>
                  <w:rPr>
                    <w:rFonts w:ascii="Arial"/>
                    <w:sz w:val="12"/>
                  </w:rPr>
                  <w:t>-72f8-9aa0-154829fb834c</w:t>
                </w:r>
              </w:p>
            </w:txbxContent>
          </v:textbox>
          <w10:wrap anchorx="page" anchory="page"/>
        </v:shape>
      </w:pict>
    </w:r>
    <w:r>
      <w:pict w14:anchorId="39D8CDF6">
        <v:shape id="_x0000_s1026" type="#_x0000_t202" style="position:absolute;margin-left:69.95pt;margin-top:36.55pt;width:95.75pt;height:12pt;z-index:-251942912;mso-position-horizontal-relative:page;mso-position-vertical-relative:page" filled="f" stroked="f">
          <v:textbox inset="0,0,0,0">
            <w:txbxContent>
              <w:p w14:paraId="4BB605BA" w14:textId="77777777" w:rsidR="00566558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60C8"/>
    <w:multiLevelType w:val="hybridMultilevel"/>
    <w:tmpl w:val="437EC4F2"/>
    <w:lvl w:ilvl="0" w:tplc="EEE6829E">
      <w:numFmt w:val="bullet"/>
      <w:lvlText w:val="•"/>
      <w:lvlJc w:val="left"/>
      <w:pPr>
        <w:ind w:left="134" w:hanging="175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4A6A5AE2">
      <w:numFmt w:val="bullet"/>
      <w:lvlText w:val="•"/>
      <w:lvlJc w:val="left"/>
      <w:pPr>
        <w:ind w:left="828" w:hanging="175"/>
      </w:pPr>
      <w:rPr>
        <w:rFonts w:hint="default"/>
        <w:lang w:val="cs-CZ" w:eastAsia="cs-CZ" w:bidi="cs-CZ"/>
      </w:rPr>
    </w:lvl>
    <w:lvl w:ilvl="2" w:tplc="FBE6569A">
      <w:numFmt w:val="bullet"/>
      <w:lvlText w:val="•"/>
      <w:lvlJc w:val="left"/>
      <w:pPr>
        <w:ind w:left="1516" w:hanging="175"/>
      </w:pPr>
      <w:rPr>
        <w:rFonts w:hint="default"/>
        <w:lang w:val="cs-CZ" w:eastAsia="cs-CZ" w:bidi="cs-CZ"/>
      </w:rPr>
    </w:lvl>
    <w:lvl w:ilvl="3" w:tplc="C98A58C0">
      <w:numFmt w:val="bullet"/>
      <w:lvlText w:val="•"/>
      <w:lvlJc w:val="left"/>
      <w:pPr>
        <w:ind w:left="2204" w:hanging="175"/>
      </w:pPr>
      <w:rPr>
        <w:rFonts w:hint="default"/>
        <w:lang w:val="cs-CZ" w:eastAsia="cs-CZ" w:bidi="cs-CZ"/>
      </w:rPr>
    </w:lvl>
    <w:lvl w:ilvl="4" w:tplc="20C47812">
      <w:numFmt w:val="bullet"/>
      <w:lvlText w:val="•"/>
      <w:lvlJc w:val="left"/>
      <w:pPr>
        <w:ind w:left="2893" w:hanging="175"/>
      </w:pPr>
      <w:rPr>
        <w:rFonts w:hint="default"/>
        <w:lang w:val="cs-CZ" w:eastAsia="cs-CZ" w:bidi="cs-CZ"/>
      </w:rPr>
    </w:lvl>
    <w:lvl w:ilvl="5" w:tplc="AFBAFAF4">
      <w:numFmt w:val="bullet"/>
      <w:lvlText w:val="•"/>
      <w:lvlJc w:val="left"/>
      <w:pPr>
        <w:ind w:left="3581" w:hanging="175"/>
      </w:pPr>
      <w:rPr>
        <w:rFonts w:hint="default"/>
        <w:lang w:val="cs-CZ" w:eastAsia="cs-CZ" w:bidi="cs-CZ"/>
      </w:rPr>
    </w:lvl>
    <w:lvl w:ilvl="6" w:tplc="F3E2A84A">
      <w:numFmt w:val="bullet"/>
      <w:lvlText w:val="•"/>
      <w:lvlJc w:val="left"/>
      <w:pPr>
        <w:ind w:left="4269" w:hanging="175"/>
      </w:pPr>
      <w:rPr>
        <w:rFonts w:hint="default"/>
        <w:lang w:val="cs-CZ" w:eastAsia="cs-CZ" w:bidi="cs-CZ"/>
      </w:rPr>
    </w:lvl>
    <w:lvl w:ilvl="7" w:tplc="AE8E231C">
      <w:numFmt w:val="bullet"/>
      <w:lvlText w:val="•"/>
      <w:lvlJc w:val="left"/>
      <w:pPr>
        <w:ind w:left="4958" w:hanging="175"/>
      </w:pPr>
      <w:rPr>
        <w:rFonts w:hint="default"/>
        <w:lang w:val="cs-CZ" w:eastAsia="cs-CZ" w:bidi="cs-CZ"/>
      </w:rPr>
    </w:lvl>
    <w:lvl w:ilvl="8" w:tplc="37D40C62">
      <w:numFmt w:val="bullet"/>
      <w:lvlText w:val="•"/>
      <w:lvlJc w:val="left"/>
      <w:pPr>
        <w:ind w:left="5646" w:hanging="175"/>
      </w:pPr>
      <w:rPr>
        <w:rFonts w:hint="default"/>
        <w:lang w:val="cs-CZ" w:eastAsia="cs-CZ" w:bidi="cs-CZ"/>
      </w:rPr>
    </w:lvl>
  </w:abstractNum>
  <w:abstractNum w:abstractNumId="1" w15:restartNumberingAfterBreak="0">
    <w:nsid w:val="54EF0C09"/>
    <w:multiLevelType w:val="multilevel"/>
    <w:tmpl w:val="6FD4ABB2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129443010">
    <w:abstractNumId w:val="0"/>
  </w:num>
  <w:num w:numId="2" w16cid:durableId="8728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558"/>
    <w:rsid w:val="00555EC9"/>
    <w:rsid w:val="00566558"/>
    <w:rsid w:val="00CB0B06"/>
    <w:rsid w:val="00E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21822DD1"/>
  <w15:docId w15:val="{2863129A-F168-463F-A2D9-44A7C82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2039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2025-06-11T11:36:00Z</dcterms:created>
  <dcterms:modified xsi:type="dcterms:W3CDTF">2025-06-11T11:38:00Z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2025-06-11T00:00:00Z</vt:filetime>
  </property>
</Properties>
</file>