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4D30" w14:textId="286B76A3" w:rsidR="5F9C3E62" w:rsidRPr="003B5E8E" w:rsidRDefault="62DB5CE4" w:rsidP="3340CBC4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>Mgr. Jana Bozáňová, PhD.</w:t>
      </w:r>
    </w:p>
    <w:p w14:paraId="34F26711" w14:textId="3D9BC497" w:rsidR="5F9C3E62" w:rsidRPr="003B5E8E" w:rsidRDefault="62DB5CE4" w:rsidP="3340CBC4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>IČO: 54049598</w:t>
      </w:r>
    </w:p>
    <w:p w14:paraId="42CBD2D4" w14:textId="699F484D" w:rsidR="5F9C3E62" w:rsidRPr="003B5E8E" w:rsidRDefault="62DB5CE4" w:rsidP="3340CBC4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>Rovniankova 1662/13, 851 02 Bratislava, Slovensko</w:t>
      </w:r>
    </w:p>
    <w:p w14:paraId="687D991B" w14:textId="3E0D9BD6" w:rsidR="00940A66" w:rsidRPr="003B5E8E" w:rsidRDefault="00940A66" w:rsidP="00940A66">
      <w:pPr>
        <w:spacing w:after="0" w:line="259" w:lineRule="auto"/>
        <w:ind w:left="1726" w:firstLine="0"/>
        <w:jc w:val="center"/>
        <w:rPr>
          <w:rFonts w:ascii="UnitPro" w:hAnsi="UnitPro" w:cs="UnitPro"/>
          <w:szCs w:val="22"/>
        </w:rPr>
      </w:pPr>
    </w:p>
    <w:p w14:paraId="35679074" w14:textId="77777777" w:rsidR="00940A66" w:rsidRPr="003B5E8E" w:rsidRDefault="00940A66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611D7E57" w14:textId="77777777" w:rsidR="00940A66" w:rsidRPr="003B5E8E" w:rsidRDefault="00940A66" w:rsidP="00940A66">
      <w:pPr>
        <w:spacing w:after="0" w:line="259" w:lineRule="auto"/>
        <w:ind w:left="1726" w:firstLine="0"/>
        <w:jc w:val="center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4384C565" w14:textId="77777777" w:rsidR="00940A66" w:rsidRPr="003B5E8E" w:rsidRDefault="00940A66" w:rsidP="00940A66">
      <w:pPr>
        <w:spacing w:after="43" w:line="259" w:lineRule="auto"/>
        <w:ind w:left="0" w:firstLine="0"/>
        <w:jc w:val="righ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57957BD9" w14:textId="7CF9F51A" w:rsidR="00940A66" w:rsidRPr="003B5E8E" w:rsidRDefault="00940A66" w:rsidP="00940A66">
      <w:pPr>
        <w:tabs>
          <w:tab w:val="left" w:pos="3402"/>
          <w:tab w:val="center" w:pos="4184"/>
          <w:tab w:val="left" w:pos="6237"/>
          <w:tab w:val="center" w:pos="7295"/>
        </w:tabs>
        <w:spacing w:after="14"/>
        <w:ind w:left="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eastAsia="Calibri" w:hAnsi="UnitPro" w:cs="UnitPro"/>
          <w:szCs w:val="22"/>
        </w:rPr>
        <w:tab/>
      </w:r>
      <w:r w:rsidRPr="003B5E8E">
        <w:rPr>
          <w:rFonts w:ascii="UnitPro" w:hAnsi="UnitPro" w:cs="UnitPro"/>
          <w:szCs w:val="22"/>
        </w:rPr>
        <w:t xml:space="preserve">Objednávka č. </w:t>
      </w:r>
      <w:r w:rsidRPr="003B5E8E">
        <w:rPr>
          <w:rFonts w:ascii="UnitPro" w:hAnsi="UnitPro" w:cs="UnitPro"/>
          <w:szCs w:val="22"/>
        </w:rPr>
        <w:tab/>
        <w:t xml:space="preserve">Vyřizuje/kancelář  </w:t>
      </w:r>
    </w:p>
    <w:p w14:paraId="1CBD0A9A" w14:textId="32ECBBF3" w:rsidR="00940A66" w:rsidRPr="003B5E8E" w:rsidRDefault="00940A66" w:rsidP="00940A66">
      <w:pPr>
        <w:tabs>
          <w:tab w:val="left" w:pos="3402"/>
          <w:tab w:val="left" w:pos="6237"/>
          <w:tab w:val="center" w:pos="7191"/>
        </w:tabs>
        <w:spacing w:after="470" w:line="259" w:lineRule="auto"/>
        <w:ind w:left="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eastAsia="Calibri" w:hAnsi="UnitPro" w:cs="UnitPro"/>
          <w:szCs w:val="22"/>
        </w:rPr>
        <w:tab/>
      </w:r>
      <w:r w:rsidRPr="003B5E8E">
        <w:rPr>
          <w:rFonts w:ascii="UnitPro" w:hAnsi="UnitPro" w:cs="UnitPro"/>
          <w:b/>
          <w:bCs/>
          <w:szCs w:val="22"/>
        </w:rPr>
        <w:t>ZAK 2</w:t>
      </w:r>
      <w:r w:rsidR="00107595" w:rsidRPr="003B5E8E">
        <w:rPr>
          <w:rFonts w:ascii="UnitPro" w:hAnsi="UnitPro" w:cs="UnitPro"/>
          <w:b/>
          <w:bCs/>
          <w:szCs w:val="22"/>
        </w:rPr>
        <w:t>5</w:t>
      </w:r>
      <w:r w:rsidRPr="003B5E8E">
        <w:rPr>
          <w:rFonts w:ascii="UnitPro" w:hAnsi="UnitPro" w:cs="UnitPro"/>
          <w:b/>
          <w:bCs/>
          <w:szCs w:val="22"/>
        </w:rPr>
        <w:t>-</w:t>
      </w:r>
      <w:r w:rsidR="1B2E1D1A" w:rsidRPr="003B5E8E">
        <w:rPr>
          <w:rFonts w:ascii="UnitPro" w:hAnsi="UnitPro" w:cs="UnitPro"/>
          <w:b/>
          <w:bCs/>
          <w:szCs w:val="22"/>
        </w:rPr>
        <w:t>0092/</w:t>
      </w:r>
      <w:r w:rsidR="19FDB8D0" w:rsidRPr="003B5E8E">
        <w:rPr>
          <w:rFonts w:ascii="UnitPro" w:hAnsi="UnitPro" w:cs="UnitPro"/>
          <w:b/>
          <w:bCs/>
          <w:szCs w:val="22"/>
        </w:rPr>
        <w:t>3</w:t>
      </w:r>
      <w:r w:rsidRPr="003B5E8E">
        <w:rPr>
          <w:rFonts w:ascii="UnitPro" w:hAnsi="UnitPro" w:cs="UnitPro"/>
          <w:b/>
          <w:bCs/>
          <w:szCs w:val="22"/>
        </w:rPr>
        <w:t xml:space="preserve"> </w:t>
      </w:r>
      <w:r w:rsidRPr="003B5E8E">
        <w:rPr>
          <w:rFonts w:ascii="UnitPro" w:hAnsi="UnitPro" w:cs="UnitPro"/>
          <w:b/>
          <w:szCs w:val="22"/>
        </w:rPr>
        <w:tab/>
      </w:r>
      <w:r w:rsidRPr="003B5E8E">
        <w:rPr>
          <w:rFonts w:ascii="UnitPro" w:hAnsi="UnitPro" w:cs="UnitPro"/>
          <w:b/>
          <w:bCs/>
          <w:szCs w:val="22"/>
        </w:rPr>
        <w:t xml:space="preserve"> </w:t>
      </w:r>
    </w:p>
    <w:p w14:paraId="1B4C7676" w14:textId="77777777" w:rsidR="00940A66" w:rsidRPr="003B5E8E" w:rsidRDefault="00940A66" w:rsidP="00940A66">
      <w:pPr>
        <w:spacing w:after="289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 </w:t>
      </w:r>
    </w:p>
    <w:p w14:paraId="5F694F67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Specifikace předmětu objednávky: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42EA2DFE" w14:textId="2A5048D2" w:rsidR="00940A66" w:rsidRPr="003B5E8E" w:rsidRDefault="00940A66" w:rsidP="00940A66">
      <w:pPr>
        <w:spacing w:before="120" w:after="0" w:line="240" w:lineRule="auto"/>
        <w:ind w:left="356" w:right="153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Objednáváme u Vás </w:t>
      </w:r>
      <w:r w:rsidR="1C07F8AE" w:rsidRPr="003B5E8E">
        <w:rPr>
          <w:rFonts w:ascii="UnitPro" w:hAnsi="UnitPro" w:cs="UnitPro"/>
          <w:szCs w:val="22"/>
        </w:rPr>
        <w:t xml:space="preserve">odborné konzultace a vytváření obsahu </w:t>
      </w:r>
      <w:r w:rsidR="1BD4B69A" w:rsidRPr="003B5E8E">
        <w:rPr>
          <w:rFonts w:ascii="UnitPro" w:hAnsi="UnitPro" w:cs="UnitPro"/>
          <w:szCs w:val="22"/>
        </w:rPr>
        <w:t>pro projekt</w:t>
      </w:r>
      <w:r w:rsidR="1C07F8AE" w:rsidRPr="003B5E8E">
        <w:rPr>
          <w:rFonts w:ascii="UnitPro" w:hAnsi="UnitPro" w:cs="UnitPro"/>
          <w:szCs w:val="22"/>
        </w:rPr>
        <w:t xml:space="preserve"> Manuá</w:t>
      </w:r>
      <w:r w:rsidR="0018135E" w:rsidRPr="003B5E8E">
        <w:rPr>
          <w:rFonts w:ascii="UnitPro" w:hAnsi="UnitPro" w:cs="UnitPro"/>
          <w:szCs w:val="22"/>
        </w:rPr>
        <w:t>l</w:t>
      </w:r>
      <w:r w:rsidR="1C07F8AE" w:rsidRPr="003B5E8E">
        <w:rPr>
          <w:rFonts w:ascii="UnitPro" w:hAnsi="UnitPro" w:cs="UnitPro"/>
          <w:szCs w:val="22"/>
        </w:rPr>
        <w:t xml:space="preserve"> udržitelných čtvrtí</w:t>
      </w:r>
      <w:r w:rsidR="0B8A62B7" w:rsidRPr="003B5E8E">
        <w:rPr>
          <w:rFonts w:ascii="UnitPro" w:hAnsi="UnitPro" w:cs="UnitPro"/>
          <w:szCs w:val="22"/>
        </w:rPr>
        <w:t>,</w:t>
      </w:r>
      <w:r w:rsidR="283EAE8B" w:rsidRPr="003B5E8E">
        <w:rPr>
          <w:rFonts w:ascii="UnitPro" w:hAnsi="UnitPro" w:cs="UnitPro"/>
          <w:szCs w:val="22"/>
        </w:rPr>
        <w:t xml:space="preserve"> </w:t>
      </w:r>
      <w:r w:rsidR="1C07F8AE" w:rsidRPr="003B5E8E">
        <w:rPr>
          <w:rFonts w:ascii="UnitPro" w:hAnsi="UnitPro" w:cs="UnitPro"/>
          <w:szCs w:val="22"/>
        </w:rPr>
        <w:t>k</w:t>
      </w:r>
      <w:r w:rsidR="1981FCB2" w:rsidRPr="003B5E8E">
        <w:rPr>
          <w:rFonts w:ascii="UnitPro" w:hAnsi="UnitPro" w:cs="UnitPro"/>
          <w:szCs w:val="22"/>
        </w:rPr>
        <w:t>onkrétně k</w:t>
      </w:r>
      <w:r w:rsidR="1C07F8AE" w:rsidRPr="003B5E8E">
        <w:rPr>
          <w:rFonts w:ascii="UnitPro" w:hAnsi="UnitPro" w:cs="UnitPro"/>
          <w:szCs w:val="22"/>
        </w:rPr>
        <w:t xml:space="preserve"> tématům </w:t>
      </w:r>
      <w:r w:rsidR="7AD2DBBE" w:rsidRPr="003B5E8E">
        <w:rPr>
          <w:rFonts w:ascii="UnitPro" w:hAnsi="UnitPro" w:cs="UnitPro"/>
          <w:szCs w:val="22"/>
        </w:rPr>
        <w:t>Modrozelená infrastruktura a Využití území a ekologie</w:t>
      </w:r>
      <w:r w:rsidR="1C07F8AE" w:rsidRPr="003B5E8E">
        <w:rPr>
          <w:rFonts w:ascii="UnitPro" w:hAnsi="UnitPro" w:cs="UnitPro"/>
          <w:szCs w:val="22"/>
        </w:rPr>
        <w:t>.</w:t>
      </w:r>
      <w:r w:rsidR="6E51DF86" w:rsidRPr="003B5E8E">
        <w:rPr>
          <w:rFonts w:ascii="UnitPro" w:hAnsi="UnitPro" w:cs="UnitPro"/>
          <w:szCs w:val="22"/>
        </w:rPr>
        <w:t xml:space="preserve"> Konzultace budou probíhat formou zaslaných komentářů k podkladům IPR Praha, případně doplňujících konzultací formou osobních nebo online schůzek.</w:t>
      </w:r>
      <w:r w:rsidR="1C07F8AE" w:rsidRPr="003B5E8E">
        <w:rPr>
          <w:rFonts w:ascii="UnitPro" w:hAnsi="UnitPro" w:cs="UnitPro"/>
          <w:szCs w:val="22"/>
        </w:rPr>
        <w:t xml:space="preserve"> </w:t>
      </w:r>
      <w:r w:rsidRPr="003B5E8E">
        <w:rPr>
          <w:rFonts w:ascii="UnitPro" w:hAnsi="UnitPro" w:cs="UnitPro"/>
          <w:szCs w:val="22"/>
        </w:rPr>
        <w:t>(dále jen „</w:t>
      </w:r>
      <w:r w:rsidRPr="003B5E8E">
        <w:rPr>
          <w:rFonts w:ascii="UnitPro" w:hAnsi="UnitPro" w:cs="UnitPro"/>
          <w:b/>
          <w:bCs/>
          <w:szCs w:val="22"/>
        </w:rPr>
        <w:t>předmět objednávky</w:t>
      </w:r>
      <w:r w:rsidRPr="003B5E8E">
        <w:rPr>
          <w:rFonts w:ascii="UnitPro" w:hAnsi="UnitPro" w:cs="UnitPro"/>
          <w:szCs w:val="22"/>
        </w:rPr>
        <w:t xml:space="preserve">“). </w:t>
      </w:r>
    </w:p>
    <w:p w14:paraId="2CF33614" w14:textId="77777777" w:rsidR="00940A66" w:rsidRPr="003B5E8E" w:rsidRDefault="00940A66" w:rsidP="00940A66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 </w:t>
      </w:r>
    </w:p>
    <w:p w14:paraId="096E57B7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Kontaktní osoby: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6927AEAA" w14:textId="3EF33990" w:rsidR="00940A66" w:rsidRPr="003B5E8E" w:rsidRDefault="00940A66" w:rsidP="00940A66">
      <w:pPr>
        <w:spacing w:before="120" w:after="0" w:line="240" w:lineRule="auto"/>
        <w:ind w:left="356" w:right="42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Kontaktní osobou objednatele </w:t>
      </w:r>
    </w:p>
    <w:p w14:paraId="650EE921" w14:textId="13F40C74" w:rsidR="00940A66" w:rsidRPr="003B5E8E" w:rsidRDefault="00940A66" w:rsidP="00BA36F5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Kontaktní osobou dodavatele je </w:t>
      </w:r>
    </w:p>
    <w:p w14:paraId="08128B35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Termín a místo plnění a způsob předání/převzetí předmětu objednávky: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3C9940D7" w14:textId="30993094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Doba plnění předmětu objednávky: do </w:t>
      </w:r>
      <w:r w:rsidR="18C96219" w:rsidRPr="003B5E8E">
        <w:rPr>
          <w:rFonts w:ascii="UnitPro" w:hAnsi="UnitPro" w:cs="UnitPro"/>
          <w:szCs w:val="22"/>
        </w:rPr>
        <w:t>15.12.2025</w:t>
      </w:r>
      <w:r w:rsidRPr="003B5E8E">
        <w:rPr>
          <w:rFonts w:ascii="UnitPro" w:hAnsi="UnitPro" w:cs="UnitPro"/>
          <w:szCs w:val="22"/>
        </w:rPr>
        <w:t xml:space="preserve">  </w:t>
      </w:r>
    </w:p>
    <w:p w14:paraId="5E59571D" w14:textId="77777777" w:rsidR="00940A66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Místo plnění předmětu objednávky: Vyšehradská 2077/57, 128 00 Praha 2 – Nové Město. </w:t>
      </w:r>
    </w:p>
    <w:p w14:paraId="3E48546F" w14:textId="77777777" w:rsidR="00754AF2" w:rsidRDefault="00754AF2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20FA56A6" w14:textId="77777777" w:rsidR="003B5E8E" w:rsidRPr="003B5E8E" w:rsidRDefault="003B5E8E" w:rsidP="003B5E8E">
      <w:pPr>
        <w:pStyle w:val="Zkladntextodsazen"/>
        <w:spacing w:before="0"/>
        <w:ind w:left="346"/>
        <w:rPr>
          <w:rFonts w:ascii="UnitPro" w:hAnsi="UnitPro" w:cs="UnitPro"/>
        </w:rPr>
      </w:pPr>
      <w:r w:rsidRPr="003B5E8E">
        <w:rPr>
          <w:rFonts w:ascii="UnitPro" w:hAnsi="UnitPro" w:cs="UnitPro"/>
          <w:lang w:val="cs-CZ"/>
        </w:rPr>
        <w:t>Dodavatel</w:t>
      </w:r>
      <w:r w:rsidRPr="003B5E8E">
        <w:rPr>
          <w:rFonts w:ascii="UnitPro" w:hAnsi="UnitPro" w:cs="UnitPro"/>
        </w:rPr>
        <w:t xml:space="preserve"> spolu s předáním předmětu objednávky odevzdá kontaktní osobě objednatele výkaz skutečně odpracovaných hodin (tzv. </w:t>
      </w:r>
      <w:r w:rsidRPr="003B5E8E">
        <w:rPr>
          <w:rFonts w:ascii="UnitPro" w:hAnsi="UnitPro" w:cs="UnitPro"/>
          <w:b/>
        </w:rPr>
        <w:t>výčetku</w:t>
      </w:r>
      <w:r w:rsidRPr="003B5E8E">
        <w:rPr>
          <w:rFonts w:ascii="UnitPro" w:hAnsi="UnitPro" w:cs="UnitPro"/>
        </w:rPr>
        <w:t xml:space="preserve">). Vzor výkazu skutečně odpracovaných hodin je ke stažení na webových stránkách objednatele na adrese: </w:t>
      </w:r>
      <w:hyperlink r:id="rId11" w:history="1">
        <w:r w:rsidRPr="003B5E8E">
          <w:rPr>
            <w:rStyle w:val="Hypertextovodkaz"/>
            <w:rFonts w:ascii="UnitPro" w:hAnsi="UnitPro" w:cs="UnitPro"/>
          </w:rPr>
          <w:t>http://www.iprpraha.cz/clanek/1950/vzory-dokumentu</w:t>
        </w:r>
      </w:hyperlink>
      <w:r w:rsidRPr="003B5E8E">
        <w:rPr>
          <w:rFonts w:ascii="UnitPro" w:hAnsi="UnitPro" w:cs="UnitPro"/>
        </w:rPr>
        <w:t xml:space="preserve"> v záložce „Vzory dokumentů, na které odkazují smlouvy“.</w:t>
      </w:r>
    </w:p>
    <w:p w14:paraId="7D567572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b/>
          <w:szCs w:val="22"/>
          <w:u w:val="single" w:color="000000"/>
        </w:rPr>
      </w:pPr>
    </w:p>
    <w:p w14:paraId="47D29FCE" w14:textId="750FE1CD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bCs/>
          <w:szCs w:val="22"/>
          <w:u w:val="single"/>
        </w:rPr>
        <w:t>Cena předmětu objednávky:</w:t>
      </w:r>
      <w:r w:rsidRPr="003B5E8E">
        <w:rPr>
          <w:rFonts w:ascii="UnitPro" w:hAnsi="UnitPro" w:cs="UnitPro"/>
          <w:b/>
          <w:bCs/>
          <w:szCs w:val="22"/>
        </w:rPr>
        <w:t xml:space="preserve"> </w:t>
      </w:r>
    </w:p>
    <w:p w14:paraId="22893C08" w14:textId="446785DD" w:rsidR="6C49C591" w:rsidRPr="003B5E8E" w:rsidRDefault="6C49C591" w:rsidP="3340CBC4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Hodinová sazba: </w:t>
      </w:r>
      <w:r w:rsidR="56897F89" w:rsidRPr="003B5E8E">
        <w:rPr>
          <w:rFonts w:ascii="UnitPro" w:hAnsi="UnitPro" w:cs="UnitPro"/>
          <w:szCs w:val="22"/>
        </w:rPr>
        <w:t>38</w:t>
      </w:r>
      <w:r w:rsidRPr="003B5E8E">
        <w:rPr>
          <w:rFonts w:ascii="UnitPro" w:hAnsi="UnitPro" w:cs="UnitPro"/>
          <w:szCs w:val="22"/>
        </w:rPr>
        <w:t xml:space="preserve"> </w:t>
      </w:r>
      <w:r w:rsidR="14172BDA" w:rsidRPr="003B5E8E">
        <w:rPr>
          <w:rFonts w:ascii="UnitPro" w:hAnsi="UnitPro" w:cs="UnitPro"/>
          <w:szCs w:val="22"/>
        </w:rPr>
        <w:t>EUR</w:t>
      </w:r>
      <w:r w:rsidR="0261FDEA" w:rsidRPr="003B5E8E">
        <w:rPr>
          <w:rFonts w:ascii="UnitPro" w:hAnsi="UnitPro" w:cs="UnitPro"/>
          <w:szCs w:val="22"/>
        </w:rPr>
        <w:t>/h</w:t>
      </w:r>
      <w:r w:rsidRPr="003B5E8E">
        <w:rPr>
          <w:rFonts w:ascii="UnitPro" w:hAnsi="UnitPro" w:cs="UnitPro"/>
          <w:szCs w:val="22"/>
        </w:rPr>
        <w:t xml:space="preserve"> bez DPH</w:t>
      </w:r>
      <w:r w:rsidR="00326F8A">
        <w:rPr>
          <w:rFonts w:ascii="UnitPro" w:hAnsi="UnitPro" w:cs="UnitPro"/>
          <w:szCs w:val="22"/>
        </w:rPr>
        <w:t>.</w:t>
      </w:r>
    </w:p>
    <w:p w14:paraId="1810FE05" w14:textId="52873CD6" w:rsidR="2851ED76" w:rsidRPr="003B5E8E" w:rsidRDefault="2851ED76" w:rsidP="3340CBC4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Maximální počet hodin: </w:t>
      </w:r>
      <w:r w:rsidR="439DFC11" w:rsidRPr="003B5E8E">
        <w:rPr>
          <w:rFonts w:ascii="UnitPro" w:hAnsi="UnitPro" w:cs="UnitPro"/>
          <w:szCs w:val="22"/>
        </w:rPr>
        <w:t>70</w:t>
      </w:r>
      <w:r w:rsidRPr="003B5E8E">
        <w:rPr>
          <w:rFonts w:ascii="UnitPro" w:hAnsi="UnitPro" w:cs="UnitPro"/>
          <w:szCs w:val="22"/>
        </w:rPr>
        <w:t xml:space="preserve"> h</w:t>
      </w:r>
      <w:r w:rsidR="00326F8A">
        <w:rPr>
          <w:rFonts w:ascii="UnitPro" w:hAnsi="UnitPro" w:cs="UnitPro"/>
          <w:szCs w:val="22"/>
        </w:rPr>
        <w:t>.</w:t>
      </w:r>
    </w:p>
    <w:p w14:paraId="4D6D38D0" w14:textId="0D8FDE4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>Celková cena za plnění předmětu objednávky bude činit</w:t>
      </w:r>
      <w:r w:rsidR="516EE715" w:rsidRPr="003B5E8E">
        <w:rPr>
          <w:rFonts w:ascii="UnitPro" w:hAnsi="UnitPro" w:cs="UnitPro"/>
          <w:szCs w:val="22"/>
        </w:rPr>
        <w:t xml:space="preserve"> maximálně</w:t>
      </w:r>
      <w:r w:rsidRPr="003B5E8E">
        <w:rPr>
          <w:rFonts w:ascii="UnitPro" w:hAnsi="UnitPro" w:cs="UnitPro"/>
          <w:szCs w:val="22"/>
        </w:rPr>
        <w:t xml:space="preserve">: </w:t>
      </w:r>
    </w:p>
    <w:p w14:paraId="7AB8DD6C" w14:textId="788F45A4" w:rsidR="00940A66" w:rsidRPr="003B5E8E" w:rsidRDefault="00326F8A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bCs/>
          <w:szCs w:val="22"/>
        </w:rPr>
        <w:t>2.660,</w:t>
      </w:r>
      <w:r w:rsidRPr="003B5E8E">
        <w:rPr>
          <w:rFonts w:ascii="UnitPro" w:hAnsi="UnitPro" w:cs="UnitPro"/>
          <w:szCs w:val="22"/>
        </w:rPr>
        <w:t xml:space="preserve"> -</w:t>
      </w:r>
      <w:r w:rsidR="00940A66" w:rsidRPr="003B5E8E">
        <w:rPr>
          <w:rFonts w:ascii="UnitPro" w:hAnsi="UnitPro" w:cs="UnitPro"/>
          <w:szCs w:val="22"/>
        </w:rPr>
        <w:t xml:space="preserve"> </w:t>
      </w:r>
      <w:r w:rsidR="5364FCC4" w:rsidRPr="003B5E8E">
        <w:rPr>
          <w:rFonts w:ascii="UnitPro" w:hAnsi="UnitPro" w:cs="UnitPro"/>
          <w:szCs w:val="22"/>
        </w:rPr>
        <w:t>EUR</w:t>
      </w:r>
      <w:r w:rsidR="00940A66" w:rsidRPr="003B5E8E">
        <w:rPr>
          <w:rFonts w:ascii="UnitPro" w:hAnsi="UnitPro" w:cs="UnitPro"/>
          <w:b/>
          <w:bCs/>
          <w:szCs w:val="22"/>
        </w:rPr>
        <w:t xml:space="preserve"> </w:t>
      </w:r>
      <w:r w:rsidR="00940A66" w:rsidRPr="003B5E8E">
        <w:rPr>
          <w:rFonts w:ascii="UnitPro" w:hAnsi="UnitPro" w:cs="UnitPro"/>
          <w:szCs w:val="22"/>
        </w:rPr>
        <w:t xml:space="preserve">(slovy: </w:t>
      </w:r>
      <w:r w:rsidR="4D8C9DBD" w:rsidRPr="003B5E8E">
        <w:rPr>
          <w:rFonts w:ascii="UnitPro" w:hAnsi="UnitPro" w:cs="UnitPro"/>
          <w:szCs w:val="22"/>
        </w:rPr>
        <w:t>dva</w:t>
      </w:r>
      <w:r w:rsidR="5C934A20" w:rsidRPr="003B5E8E">
        <w:rPr>
          <w:rFonts w:ascii="UnitPro" w:hAnsi="UnitPro" w:cs="UnitPro"/>
          <w:szCs w:val="22"/>
        </w:rPr>
        <w:t xml:space="preserve"> </w:t>
      </w:r>
      <w:r w:rsidR="6A316069" w:rsidRPr="003B5E8E">
        <w:rPr>
          <w:rFonts w:ascii="UnitPro" w:hAnsi="UnitPro" w:cs="UnitPro"/>
          <w:szCs w:val="22"/>
        </w:rPr>
        <w:t>tisíce</w:t>
      </w:r>
      <w:r w:rsidR="1874EF78" w:rsidRPr="003B5E8E">
        <w:rPr>
          <w:rFonts w:ascii="UnitPro" w:hAnsi="UnitPro" w:cs="UnitPro"/>
          <w:szCs w:val="22"/>
        </w:rPr>
        <w:t xml:space="preserve"> </w:t>
      </w:r>
      <w:r w:rsidR="2439A695" w:rsidRPr="003B5E8E">
        <w:rPr>
          <w:rFonts w:ascii="UnitPro" w:hAnsi="UnitPro" w:cs="UnitPro"/>
          <w:szCs w:val="22"/>
        </w:rPr>
        <w:t>šest</w:t>
      </w:r>
      <w:r w:rsidR="1A252C1C" w:rsidRPr="003B5E8E">
        <w:rPr>
          <w:rFonts w:ascii="UnitPro" w:hAnsi="UnitPro" w:cs="UnitPro"/>
          <w:szCs w:val="22"/>
        </w:rPr>
        <w:t xml:space="preserve"> </w:t>
      </w:r>
      <w:r w:rsidR="2439A695" w:rsidRPr="003B5E8E">
        <w:rPr>
          <w:rFonts w:ascii="UnitPro" w:hAnsi="UnitPro" w:cs="UnitPro"/>
          <w:szCs w:val="22"/>
        </w:rPr>
        <w:t>set</w:t>
      </w:r>
      <w:r w:rsidR="1E101594" w:rsidRPr="003B5E8E">
        <w:rPr>
          <w:rFonts w:ascii="UnitPro" w:hAnsi="UnitPro" w:cs="UnitPro"/>
          <w:szCs w:val="22"/>
        </w:rPr>
        <w:t xml:space="preserve"> </w:t>
      </w:r>
      <w:r w:rsidR="2439A695" w:rsidRPr="003B5E8E">
        <w:rPr>
          <w:rFonts w:ascii="UnitPro" w:hAnsi="UnitPro" w:cs="UnitPro"/>
          <w:szCs w:val="22"/>
        </w:rPr>
        <w:t>šedesát</w:t>
      </w:r>
      <w:r w:rsidR="401A9A39" w:rsidRPr="003B5E8E">
        <w:rPr>
          <w:rFonts w:ascii="UnitPro" w:hAnsi="UnitPro" w:cs="UnitPro"/>
          <w:szCs w:val="22"/>
        </w:rPr>
        <w:t xml:space="preserve"> </w:t>
      </w:r>
      <w:r w:rsidR="0B574472" w:rsidRPr="003B5E8E">
        <w:rPr>
          <w:rFonts w:ascii="UnitPro" w:hAnsi="UnitPro" w:cs="UnitPro"/>
          <w:szCs w:val="22"/>
        </w:rPr>
        <w:t>EUR</w:t>
      </w:r>
      <w:r w:rsidR="00940A66" w:rsidRPr="003B5E8E">
        <w:rPr>
          <w:rFonts w:ascii="UnitPro" w:hAnsi="UnitPro" w:cs="UnitPro"/>
          <w:szCs w:val="22"/>
        </w:rPr>
        <w:t xml:space="preserve">) bez DPH.  </w:t>
      </w:r>
    </w:p>
    <w:p w14:paraId="0636B151" w14:textId="728FFEC4" w:rsidR="00940A66" w:rsidRPr="003B5E8E" w:rsidRDefault="00940A66" w:rsidP="00BC3E2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bCs/>
          <w:szCs w:val="22"/>
        </w:rPr>
        <w:lastRenderedPageBreak/>
        <w:t xml:space="preserve">Dodavatel </w:t>
      </w:r>
      <w:r w:rsidR="3EC448CD" w:rsidRPr="003B5E8E">
        <w:rPr>
          <w:rFonts w:ascii="UnitPro" w:hAnsi="UnitPro" w:cs="UnitPro"/>
          <w:b/>
          <w:bCs/>
          <w:szCs w:val="22"/>
        </w:rPr>
        <w:t xml:space="preserve">není </w:t>
      </w:r>
      <w:r w:rsidRPr="003B5E8E">
        <w:rPr>
          <w:rFonts w:ascii="UnitPro" w:hAnsi="UnitPro" w:cs="UnitPro"/>
          <w:b/>
          <w:bCs/>
          <w:szCs w:val="22"/>
        </w:rPr>
        <w:t>plátcem DPH</w:t>
      </w:r>
      <w:r w:rsidRPr="003B5E8E">
        <w:rPr>
          <w:rFonts w:ascii="UnitPro" w:hAnsi="UnitPro" w:cs="UnitPro"/>
          <w:szCs w:val="22"/>
        </w:rPr>
        <w:t xml:space="preserve">. V ceně jsou zahrnuty veškeré náklady spojené se splněním předmětu objednávky. </w:t>
      </w:r>
    </w:p>
    <w:p w14:paraId="715280B6" w14:textId="2A6970A6" w:rsidR="00940A66" w:rsidRPr="003B5E8E" w:rsidRDefault="00940A66" w:rsidP="00BC3E2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Vyúčtování – faktura musí splňovat náležitosti účetního a daňového dokladu. </w:t>
      </w:r>
    </w:p>
    <w:p w14:paraId="0520BA56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Dodavatel je povinen </w:t>
      </w:r>
      <w:r w:rsidRPr="003B5E8E">
        <w:rPr>
          <w:rFonts w:ascii="UnitPro" w:hAnsi="UnitPro" w:cs="UnitPro"/>
          <w:b/>
          <w:szCs w:val="22"/>
        </w:rPr>
        <w:t>zaslat fakturu ve formátu .pdf na e-mailovou adresu kontaktní osoby objednatele</w:t>
      </w:r>
      <w:r w:rsidRPr="003B5E8E">
        <w:rPr>
          <w:rFonts w:ascii="UnitPro" w:hAnsi="UnitPro" w:cs="UnitPro"/>
          <w:szCs w:val="22"/>
        </w:rPr>
        <w:t xml:space="preserve">. Sjednaná cena za splnění předmětu objednávky je splatná do 21 kalendářních dnů ode dne jejího doručení. </w:t>
      </w:r>
    </w:p>
    <w:p w14:paraId="53991E3A" w14:textId="57A6C341" w:rsidR="00940A66" w:rsidRPr="003B5E8E" w:rsidRDefault="00940A66" w:rsidP="00940A66">
      <w:pPr>
        <w:spacing w:before="120" w:after="0" w:line="240" w:lineRule="auto"/>
        <w:ind w:left="356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bCs/>
          <w:szCs w:val="22"/>
        </w:rPr>
        <w:t>Dodavatel je dále povinen uvést na faktuře číslo objednávky: ZAK 2</w:t>
      </w:r>
      <w:r w:rsidR="00107595" w:rsidRPr="003B5E8E">
        <w:rPr>
          <w:rFonts w:ascii="UnitPro" w:hAnsi="UnitPro" w:cs="UnitPro"/>
          <w:b/>
          <w:bCs/>
          <w:szCs w:val="22"/>
        </w:rPr>
        <w:t>5</w:t>
      </w:r>
      <w:r w:rsidRPr="003B5E8E">
        <w:rPr>
          <w:rFonts w:ascii="UnitPro" w:hAnsi="UnitPro" w:cs="UnitPro"/>
          <w:b/>
          <w:bCs/>
          <w:szCs w:val="22"/>
        </w:rPr>
        <w:t>-</w:t>
      </w:r>
      <w:r w:rsidR="00107595" w:rsidRPr="003B5E8E">
        <w:rPr>
          <w:rFonts w:ascii="UnitPro" w:hAnsi="UnitPro" w:cs="UnitPro"/>
          <w:szCs w:val="22"/>
        </w:rPr>
        <w:t xml:space="preserve"> </w:t>
      </w:r>
      <w:r w:rsidR="1F910D57" w:rsidRPr="003B5E8E">
        <w:rPr>
          <w:rFonts w:ascii="UnitPro" w:hAnsi="UnitPro" w:cs="UnitPro"/>
          <w:szCs w:val="22"/>
        </w:rPr>
        <w:t>0092/</w:t>
      </w:r>
      <w:r w:rsidR="3134F425" w:rsidRPr="003B5E8E">
        <w:rPr>
          <w:rFonts w:ascii="UnitPro" w:hAnsi="UnitPro" w:cs="UnitPro"/>
          <w:szCs w:val="22"/>
        </w:rPr>
        <w:t>3</w:t>
      </w:r>
      <w:r w:rsidRPr="003B5E8E">
        <w:rPr>
          <w:rFonts w:ascii="UnitPro" w:hAnsi="UnitPro" w:cs="UnitPro"/>
          <w:b/>
          <w:bCs/>
          <w:szCs w:val="22"/>
        </w:rPr>
        <w:t xml:space="preserve">. </w:t>
      </w:r>
      <w:r w:rsidRPr="003B5E8E">
        <w:rPr>
          <w:rFonts w:ascii="UnitPro" w:hAnsi="UnitPro" w:cs="UnitPro"/>
          <w:szCs w:val="22"/>
        </w:rPr>
        <w:t>Fakturu neobsahující číslo objednávky nelze proplatit.</w:t>
      </w:r>
      <w:r w:rsidRPr="003B5E8E">
        <w:rPr>
          <w:rFonts w:ascii="UnitPro" w:hAnsi="UnitPro" w:cs="UnitPro"/>
          <w:b/>
          <w:bCs/>
          <w:szCs w:val="22"/>
        </w:rPr>
        <w:t xml:space="preserve"> </w:t>
      </w:r>
    </w:p>
    <w:p w14:paraId="34297E9F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Veškeré účetní doklady musí obsahovat náležitosti daňového dokladu dle příslušných daňových předpisů. Jestliže faktura nebude obsahovat předepsané náležitosti, je objednatel oprávněn ji do data splatnosti vrátit s tím, že dodavatel je poté povinen vystavit novou fakturu s novým termínem splatnosti. V takovém případě není objednatel v prodlení s placením faktury. </w:t>
      </w:r>
    </w:p>
    <w:p w14:paraId="58F2FCBE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01E6EAD0" w14:textId="76392D63" w:rsidR="00940A66" w:rsidRPr="003B5E8E" w:rsidRDefault="00940A66" w:rsidP="00940A66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Sankční podmínky: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12CACD43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 případě, že dodavatel nedodrží rozsah, respektive termín dodání dle objednávky, zaplatí objednateli smluvní pokutu ve výši 500,- Kč, a to za každý den prodlení. </w:t>
      </w:r>
    </w:p>
    <w:p w14:paraId="09313074" w14:textId="443A9A0C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Neodstraní-li dodavatel vady předmětu objednávky ve sjednaných lhůtách, zaplatí objednateli smluvní pokutu ve výši </w:t>
      </w:r>
      <w:r w:rsidR="00C13C7A" w:rsidRPr="003B5E8E">
        <w:rPr>
          <w:rFonts w:ascii="UnitPro" w:hAnsi="UnitPro" w:cs="UnitPro"/>
          <w:szCs w:val="22"/>
        </w:rPr>
        <w:t>500,- Kč</w:t>
      </w:r>
      <w:r w:rsidRPr="003B5E8E">
        <w:rPr>
          <w:rFonts w:ascii="UnitPro" w:hAnsi="UnitPro" w:cs="UnitPro"/>
          <w:szCs w:val="22"/>
        </w:rPr>
        <w:t xml:space="preserve"> z celkové ceny předmětu objednávky, a to za každý den prodlení. </w:t>
      </w:r>
    </w:p>
    <w:p w14:paraId="43F13390" w14:textId="180AED2A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Tímto ujednáním o smluvní pokutě není dotčeno právo objednatele na náhradu škody vzniklé z porušení povinnosti, ke kterému se smluvní pokuta vztahuje. </w:t>
      </w:r>
    </w:p>
    <w:p w14:paraId="2B9BAC69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1753F0E2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Sankční opatření proti státním příslušníkům Ruské federace: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0A4CD237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Dodavatel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 (dále jen „nařízení“). </w:t>
      </w:r>
    </w:p>
    <w:p w14:paraId="40293FBA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Dodavatel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nařízení. </w:t>
      </w:r>
    </w:p>
    <w:p w14:paraId="097EA1CF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 případě, že by v průběhu účinnosti smlouvy uzavřené na základě této objednávky dodavatel nebo jeho jakýkoliv poddodavatel naplnili definiční znaky určeného subjektu nebo by se dodavatel stal určenou osobou, je povinen o takové skutečnosti objednatele bez zbytečného odkladu, nejpozději do dvou (2) pracovních dnů od vzniku takové skutečnosti, písemně informovat. Vznikne-li objednateli v souvislosti s porušením této povinnosti jakákoliv škoda, je dodavatel tuto škodu objednateli povinen v plné výši nahradit. Současně je vznik této skutečnosti důvodem pro odstoupení ze strany objednatele od smlouvy uzavřené na základě této objednávky. </w:t>
      </w:r>
    </w:p>
    <w:p w14:paraId="5A123081" w14:textId="77777777" w:rsidR="00940A66" w:rsidRPr="003B5E8E" w:rsidRDefault="00940A66" w:rsidP="00940A66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lastRenderedPageBreak/>
        <w:t xml:space="preserve"> </w:t>
      </w:r>
    </w:p>
    <w:p w14:paraId="06DBA872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Další ujednání: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33D9E040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Objednatel a dodavatel výslovně souhlasí s uveřejněním této potvrzené objednávky v registru smluv dle zákona č. 340/2015 Sb., o zvláštních podmínkách účinnosti některých smluv, uveřejňování těchto smluv a o registru smluv, ve znění pozdějších předpisů (dále jen „registr smluv“), přičemž toto zveřejnění zajistí objednatel. </w:t>
      </w:r>
    </w:p>
    <w:p w14:paraId="487CD1FD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Objednávka nabývá účinnosti dnem uveřejnění v registru smluv. </w:t>
      </w:r>
    </w:p>
    <w:p w14:paraId="7790AF79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Dodavatel podpisem této objednávky souhlasí s poskytnutím informací o objednávce v rozsahu zákona č. 106/1999 Sb., o svobodném přístupu k informacím, ve znění pozdějších předpisů. </w:t>
      </w:r>
    </w:p>
    <w:p w14:paraId="04A8A9A0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Objednatel a dodavatel dále prohlašují, že skutečnosti uvedené v této objednávce nepovažují za obchodní tajemství ve smyslu ustanovení § 504 zákona č. 89/2012 Sb., občanský zákoník, ve znění pozdějších předpisů, a udělují svolení k jejich užití a zveřejnění bez stanovení jakýchkoliv dalších podmínek. </w:t>
      </w:r>
    </w:p>
    <w:p w14:paraId="55800B8E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 souladu s ustanovením § 27 odst. 6 zákona č. 250/2000 Sb., o rozpočtových pravidlech územních rozpočtů, ve znění pozdějších předpisů, nabývá objednatel předmět této objednávky pro zřizovatele, kterým je hlavní město Praha. </w:t>
      </w:r>
    </w:p>
    <w:p w14:paraId="2C483BC6" w14:textId="77777777" w:rsidR="00940A66" w:rsidRPr="003B5E8E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6A29F810" w14:textId="77777777" w:rsidR="00940A66" w:rsidRPr="003B5E8E" w:rsidRDefault="00940A66" w:rsidP="00940A66">
      <w:pPr>
        <w:spacing w:after="5"/>
        <w:ind w:left="356" w:right="42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S pozdravem </w:t>
      </w:r>
    </w:p>
    <w:p w14:paraId="41163614" w14:textId="77777777" w:rsidR="00BC3E28" w:rsidRPr="003B5E8E" w:rsidRDefault="00BC3E28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</w:p>
    <w:p w14:paraId="12491026" w14:textId="77777777" w:rsidR="00BC3E28" w:rsidRPr="003B5E8E" w:rsidRDefault="00BC3E28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</w:p>
    <w:p w14:paraId="671E758C" w14:textId="0C256965" w:rsidR="00940A66" w:rsidRPr="003B5E8E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13CE9E14" w14:textId="11179C98" w:rsidR="00BC3E28" w:rsidRPr="003B5E8E" w:rsidRDefault="00940A66" w:rsidP="00BC3E28">
      <w:pPr>
        <w:spacing w:after="76" w:line="259" w:lineRule="auto"/>
        <w:ind w:left="356" w:right="2551"/>
        <w:jc w:val="left"/>
        <w:rPr>
          <w:rFonts w:ascii="UnitPro" w:hAnsi="UnitPro" w:cs="UnitPro"/>
          <w:b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Ing. </w:t>
      </w:r>
      <w:r w:rsidR="00935077">
        <w:rPr>
          <w:rFonts w:ascii="UnitPro" w:hAnsi="UnitPro" w:cs="UnitPro"/>
          <w:b/>
          <w:szCs w:val="22"/>
        </w:rPr>
        <w:t>Marek Zděradička</w:t>
      </w:r>
    </w:p>
    <w:p w14:paraId="16905FBE" w14:textId="5E998481" w:rsidR="00940A66" w:rsidRPr="003B5E8E" w:rsidRDefault="00935077" w:rsidP="00BC3E28">
      <w:pPr>
        <w:spacing w:after="76" w:line="259" w:lineRule="auto"/>
        <w:ind w:left="356" w:right="2551"/>
        <w:jc w:val="left"/>
        <w:rPr>
          <w:rFonts w:ascii="UnitPro" w:hAnsi="UnitPro" w:cs="UnitPro"/>
          <w:szCs w:val="22"/>
        </w:rPr>
      </w:pPr>
      <w:r>
        <w:rPr>
          <w:rFonts w:ascii="UnitPro" w:hAnsi="UnitPro" w:cs="UnitPro"/>
          <w:b/>
          <w:szCs w:val="22"/>
        </w:rPr>
        <w:t>zástupce ředitele pro odbornou činnost</w:t>
      </w:r>
    </w:p>
    <w:p w14:paraId="3BB5B45F" w14:textId="3868DD9D" w:rsidR="00940A66" w:rsidRPr="003B5E8E" w:rsidRDefault="00940A66" w:rsidP="00940A66">
      <w:pPr>
        <w:ind w:left="356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Institut plánování a rozvoje hlavního města Prahy, příspěvková organizace </w:t>
      </w:r>
    </w:p>
    <w:p w14:paraId="44D56AC4" w14:textId="77777777" w:rsidR="00940A66" w:rsidRPr="003B5E8E" w:rsidRDefault="00940A66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 </w:t>
      </w:r>
    </w:p>
    <w:p w14:paraId="4A6DBB44" w14:textId="77777777" w:rsidR="00940A66" w:rsidRPr="003B5E8E" w:rsidRDefault="00940A66" w:rsidP="00940A66">
      <w:pPr>
        <w:spacing w:after="6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 </w:t>
      </w:r>
    </w:p>
    <w:p w14:paraId="6EB60647" w14:textId="148E6807" w:rsidR="00940A66" w:rsidRPr="003B5E8E" w:rsidRDefault="00940A66" w:rsidP="00940A66">
      <w:pPr>
        <w:spacing w:after="5" w:line="299" w:lineRule="auto"/>
        <w:ind w:left="356" w:right="42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bCs/>
          <w:szCs w:val="22"/>
        </w:rPr>
        <w:t xml:space="preserve">Objednávku, prosím, elektronicky potvrďte a obratem ji prostřednictvím e-mailu: doručte zpět, nejpozději však do 15 dnů ode dne, kdy Vám byla doručena. V případě nedodržení této lhůty návrh na uzavření smlouvy zaniká. </w:t>
      </w:r>
    </w:p>
    <w:p w14:paraId="581BC52E" w14:textId="77777777" w:rsidR="00940A66" w:rsidRPr="003B5E8E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3C686B6C" w14:textId="77777777" w:rsidR="00940A66" w:rsidRPr="003B5E8E" w:rsidRDefault="00940A66" w:rsidP="00940A66">
      <w:pPr>
        <w:spacing w:after="24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0CEDF5CA" w14:textId="77777777" w:rsidR="00940A66" w:rsidRPr="003B5E8E" w:rsidRDefault="00940A66" w:rsidP="00940A66">
      <w:pPr>
        <w:spacing w:after="5" w:line="299" w:lineRule="auto"/>
        <w:ind w:left="356" w:right="42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Potvrzení objednávky prostřednictvím elektronického podpisu:  </w:t>
      </w:r>
    </w:p>
    <w:p w14:paraId="44983D0C" w14:textId="77777777" w:rsidR="00C57356" w:rsidRPr="003B5E8E" w:rsidRDefault="00940A66" w:rsidP="00C57356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  <w:r w:rsidR="00C57356" w:rsidRPr="003B5E8E">
        <w:rPr>
          <w:rFonts w:ascii="UnitPro" w:hAnsi="UnitPro" w:cs="UnitPro"/>
          <w:szCs w:val="22"/>
        </w:rPr>
        <w:t>Mgr. Jana Bozáňová, PhD.</w:t>
      </w:r>
    </w:p>
    <w:p w14:paraId="77C85FCF" w14:textId="122567BC" w:rsidR="00940A66" w:rsidRPr="003B5E8E" w:rsidRDefault="00C57356" w:rsidP="00F96135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>IČO: 54049598</w:t>
      </w:r>
      <w:r w:rsidR="00940A66" w:rsidRPr="003B5E8E">
        <w:rPr>
          <w:rFonts w:ascii="UnitPro" w:hAnsi="UnitPro" w:cs="UnitPro"/>
          <w:szCs w:val="22"/>
        </w:rPr>
        <w:t xml:space="preserve"> </w:t>
      </w:r>
    </w:p>
    <w:p w14:paraId="0C2A7755" w14:textId="53570E08" w:rsidR="000115FF" w:rsidRPr="003B5E8E" w:rsidRDefault="000115FF" w:rsidP="00F96135">
      <w:pPr>
        <w:ind w:left="0" w:right="4961" w:firstLine="0"/>
        <w:rPr>
          <w:rStyle w:val="Normlnez"/>
          <w:rFonts w:ascii="UnitPro" w:hAnsi="UnitPro" w:cs="UnitPro"/>
          <w:i/>
          <w:iCs/>
          <w:szCs w:val="22"/>
        </w:rPr>
      </w:pPr>
    </w:p>
    <w:sectPr w:rsidR="000115FF" w:rsidRPr="003B5E8E" w:rsidSect="00940A6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438" w:right="1134" w:bottom="1758" w:left="1134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B24C" w14:textId="77777777" w:rsidR="00FC1E41" w:rsidRDefault="00FC1E41" w:rsidP="004A3B28">
      <w:pPr>
        <w:spacing w:line="240" w:lineRule="auto"/>
      </w:pPr>
      <w:r>
        <w:separator/>
      </w:r>
    </w:p>
  </w:endnote>
  <w:endnote w:type="continuationSeparator" w:id="0">
    <w:p w14:paraId="3F42D860" w14:textId="77777777" w:rsidR="00FC1E41" w:rsidRDefault="00FC1E41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MediIta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panose1 w:val="020106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Black">
    <w:panose1 w:val="020B0A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819" w14:textId="77777777" w:rsidR="00011682" w:rsidRDefault="0001168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46DDC1" wp14:editId="37705185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75B0A" w14:textId="77777777" w:rsidR="00011682" w:rsidRPr="00C10F05" w:rsidRDefault="00011682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D46DE3" w:rsidRPr="00D46DE3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62344400" wp14:editId="0A21920A">
                                <wp:extent cx="10800" cy="327600"/>
                                <wp:effectExtent l="0" t="0" r="27305" b="0"/>
                                <wp:docPr id="54" name="Obrázek 5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D46DE3" w:rsidRPr="00D46DE3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6DD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3.3pt;margin-top:771pt;width:41.25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" filled="f" stroked="f">
              <v:textbox inset="0,0,0,0">
                <w:txbxContent>
                  <w:p w14:paraId="57A75B0A" w14:textId="77777777" w:rsidR="00011682" w:rsidRPr="00C10F05" w:rsidRDefault="00011682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D46DE3" w:rsidRPr="00D46DE3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62344400" wp14:editId="0A21920A">
                          <wp:extent cx="10800" cy="327600"/>
                          <wp:effectExtent l="0" t="0" r="27305" b="0"/>
                          <wp:docPr id="54" name="Obrázek 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D46DE3" w:rsidRPr="00D46DE3">
                        <w:rPr>
                          <w:noProof/>
                        </w:rPr>
                        <w:t>2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57216" behindDoc="1" locked="0" layoutInCell="1" allowOverlap="1" wp14:anchorId="0EB15A25" wp14:editId="51FECFA2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9589" w14:textId="77777777" w:rsidR="00A74111" w:rsidRDefault="00A74111" w:rsidP="00A74111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67F584" wp14:editId="32E4F105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28320" cy="447675"/>
              <wp:effectExtent l="0" t="0" r="508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D2977" w14:textId="77777777" w:rsidR="00A74111" w:rsidRPr="00C10F05" w:rsidRDefault="00A74111" w:rsidP="00A74111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333872" w:rsidRPr="00333872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44EC3B89" wp14:editId="35B4CF8F">
                                <wp:extent cx="10800" cy="327600"/>
                                <wp:effectExtent l="0" t="0" r="27305" b="0"/>
                                <wp:docPr id="55" name="Obrázek 5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333872" w:rsidRPr="00333872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7F5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3.35pt;margin-top:771pt;width:41.6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" filled="f" stroked="f">
              <v:textbox inset="0,0,0,0">
                <w:txbxContent>
                  <w:p w14:paraId="54ED2977" w14:textId="77777777" w:rsidR="00A74111" w:rsidRPr="00C10F05" w:rsidRDefault="00A74111" w:rsidP="00A74111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333872" w:rsidRPr="00333872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44EC3B89" wp14:editId="35B4CF8F">
                          <wp:extent cx="10800" cy="327600"/>
                          <wp:effectExtent l="0" t="0" r="27305" b="0"/>
                          <wp:docPr id="55" name="Obrázek 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333872" w:rsidRPr="00333872">
                        <w:rPr>
                          <w:noProof/>
                        </w:rPr>
                        <w:t>1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59264" behindDoc="1" locked="0" layoutInCell="1" allowOverlap="1" wp14:anchorId="3054C16F" wp14:editId="6AF422B9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36AB" w14:textId="77777777" w:rsidR="00FC1E41" w:rsidRDefault="00FC1E41" w:rsidP="004A3B28">
      <w:pPr>
        <w:spacing w:line="240" w:lineRule="auto"/>
      </w:pPr>
      <w:r>
        <w:separator/>
      </w:r>
    </w:p>
  </w:footnote>
  <w:footnote w:type="continuationSeparator" w:id="0">
    <w:p w14:paraId="58AFD640" w14:textId="77777777" w:rsidR="00FC1E41" w:rsidRDefault="00FC1E41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4081" w14:textId="77777777" w:rsidR="00011682" w:rsidRDefault="005D6C7B">
    <w:pPr>
      <w:pStyle w:val="Zhlav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F9E17E9" wp14:editId="3C3805E4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36410" w14:textId="77777777" w:rsidR="00A74111" w:rsidRPr="00A74111" w:rsidRDefault="00A74111" w:rsidP="00A741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3D64" w14:textId="0AA1A177" w:rsidR="00A74111" w:rsidRPr="00940A66" w:rsidRDefault="00A74111" w:rsidP="00940A66">
    <w:pPr>
      <w:pStyle w:val="Zhlav"/>
      <w:tabs>
        <w:tab w:val="clear" w:pos="4680"/>
        <w:tab w:val="clear" w:pos="9360"/>
        <w:tab w:val="left" w:pos="1560"/>
      </w:tabs>
      <w:ind w:left="0" w:firstLine="4820"/>
      <w:jc w:val="left"/>
      <w:rPr>
        <w:rFonts w:ascii="UnitPro-Black" w:hAnsi="UnitPro-Black" w:cs="UnitPro-Black"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2CAAF28" wp14:editId="4C46C4F5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40CBC4" w:rsidRPr="00940A66">
      <w:rPr>
        <w:rFonts w:ascii="UnitPro-Black" w:hAnsi="UnitPro-Black" w:cs="UnitPro-Black"/>
        <w:sz w:val="28"/>
        <w:szCs w:val="28"/>
      </w:rPr>
      <w:t xml:space="preserve">OBJEDNÁVKA ZAK </w:t>
    </w:r>
    <w:r w:rsidR="3340CBC4" w:rsidRPr="000F0D4A">
      <w:rPr>
        <w:rFonts w:ascii="UnitPro-Black" w:hAnsi="UnitPro-Black" w:cs="UnitPro-Black"/>
        <w:sz w:val="28"/>
        <w:szCs w:val="28"/>
      </w:rPr>
      <w:t>25-0092/3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797911726">
    <w:abstractNumId w:val="23"/>
  </w:num>
  <w:num w:numId="2" w16cid:durableId="1634553842">
    <w:abstractNumId w:val="8"/>
  </w:num>
  <w:num w:numId="3" w16cid:durableId="169100546">
    <w:abstractNumId w:val="3"/>
  </w:num>
  <w:num w:numId="4" w16cid:durableId="207841612">
    <w:abstractNumId w:val="2"/>
  </w:num>
  <w:num w:numId="5" w16cid:durableId="1672173890">
    <w:abstractNumId w:val="1"/>
  </w:num>
  <w:num w:numId="6" w16cid:durableId="1137526463">
    <w:abstractNumId w:val="0"/>
  </w:num>
  <w:num w:numId="7" w16cid:durableId="207840637">
    <w:abstractNumId w:val="9"/>
  </w:num>
  <w:num w:numId="8" w16cid:durableId="971517211">
    <w:abstractNumId w:val="7"/>
  </w:num>
  <w:num w:numId="9" w16cid:durableId="1393654115">
    <w:abstractNumId w:val="6"/>
  </w:num>
  <w:num w:numId="10" w16cid:durableId="1323896261">
    <w:abstractNumId w:val="5"/>
  </w:num>
  <w:num w:numId="11" w16cid:durableId="1352486200">
    <w:abstractNumId w:val="4"/>
  </w:num>
  <w:num w:numId="12" w16cid:durableId="898634313">
    <w:abstractNumId w:val="10"/>
  </w:num>
  <w:num w:numId="13" w16cid:durableId="1887331881">
    <w:abstractNumId w:val="18"/>
  </w:num>
  <w:num w:numId="14" w16cid:durableId="630669546">
    <w:abstractNumId w:val="22"/>
  </w:num>
  <w:num w:numId="15" w16cid:durableId="1651520595">
    <w:abstractNumId w:val="11"/>
  </w:num>
  <w:num w:numId="16" w16cid:durableId="1093207537">
    <w:abstractNumId w:val="19"/>
  </w:num>
  <w:num w:numId="17" w16cid:durableId="1380783395">
    <w:abstractNumId w:val="11"/>
    <w:lvlOverride w:ilvl="0">
      <w:startOverride w:val="1"/>
    </w:lvlOverride>
  </w:num>
  <w:num w:numId="18" w16cid:durableId="1424492342">
    <w:abstractNumId w:val="16"/>
  </w:num>
  <w:num w:numId="19" w16cid:durableId="768504591">
    <w:abstractNumId w:val="15"/>
  </w:num>
  <w:num w:numId="20" w16cid:durableId="1480002036">
    <w:abstractNumId w:val="17"/>
  </w:num>
  <w:num w:numId="21" w16cid:durableId="549615087">
    <w:abstractNumId w:val="11"/>
    <w:lvlOverride w:ilvl="0">
      <w:startOverride w:val="1"/>
    </w:lvlOverride>
  </w:num>
  <w:num w:numId="22" w16cid:durableId="127168724">
    <w:abstractNumId w:val="11"/>
    <w:lvlOverride w:ilvl="0">
      <w:startOverride w:val="1"/>
    </w:lvlOverride>
  </w:num>
  <w:num w:numId="23" w16cid:durableId="1554077632">
    <w:abstractNumId w:val="24"/>
  </w:num>
  <w:num w:numId="24" w16cid:durableId="1624459027">
    <w:abstractNumId w:val="21"/>
  </w:num>
  <w:num w:numId="25" w16cid:durableId="1744915361">
    <w:abstractNumId w:val="20"/>
  </w:num>
  <w:num w:numId="26" w16cid:durableId="579410690">
    <w:abstractNumId w:val="14"/>
  </w:num>
  <w:num w:numId="27" w16cid:durableId="1013385986">
    <w:abstractNumId w:val="12"/>
  </w:num>
  <w:num w:numId="28" w16cid:durableId="360474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66"/>
    <w:rsid w:val="000115FF"/>
    <w:rsid w:val="00011682"/>
    <w:rsid w:val="00040F21"/>
    <w:rsid w:val="00053699"/>
    <w:rsid w:val="00067F2D"/>
    <w:rsid w:val="000835F9"/>
    <w:rsid w:val="00095787"/>
    <w:rsid w:val="000E5995"/>
    <w:rsid w:val="000F0D4A"/>
    <w:rsid w:val="00107595"/>
    <w:rsid w:val="0011645F"/>
    <w:rsid w:val="00125A8E"/>
    <w:rsid w:val="001464FA"/>
    <w:rsid w:val="0018135E"/>
    <w:rsid w:val="001B465F"/>
    <w:rsid w:val="001C736F"/>
    <w:rsid w:val="001F7688"/>
    <w:rsid w:val="00221C1A"/>
    <w:rsid w:val="00227EEF"/>
    <w:rsid w:val="002314B8"/>
    <w:rsid w:val="00236044"/>
    <w:rsid w:val="00257EB4"/>
    <w:rsid w:val="0027093A"/>
    <w:rsid w:val="00290F60"/>
    <w:rsid w:val="00323802"/>
    <w:rsid w:val="00326F8A"/>
    <w:rsid w:val="00327156"/>
    <w:rsid w:val="00332747"/>
    <w:rsid w:val="00333872"/>
    <w:rsid w:val="00346B0E"/>
    <w:rsid w:val="00374C86"/>
    <w:rsid w:val="00397125"/>
    <w:rsid w:val="003A6099"/>
    <w:rsid w:val="003B5E8E"/>
    <w:rsid w:val="0040039B"/>
    <w:rsid w:val="0042087A"/>
    <w:rsid w:val="0043279E"/>
    <w:rsid w:val="0045724F"/>
    <w:rsid w:val="00465E84"/>
    <w:rsid w:val="0048196B"/>
    <w:rsid w:val="00482B2A"/>
    <w:rsid w:val="004955E9"/>
    <w:rsid w:val="004A3B28"/>
    <w:rsid w:val="004A62FF"/>
    <w:rsid w:val="004B201E"/>
    <w:rsid w:val="004D02A0"/>
    <w:rsid w:val="004E581D"/>
    <w:rsid w:val="00526F5C"/>
    <w:rsid w:val="0052729A"/>
    <w:rsid w:val="00547117"/>
    <w:rsid w:val="00554577"/>
    <w:rsid w:val="005603CD"/>
    <w:rsid w:val="00565455"/>
    <w:rsid w:val="005B6479"/>
    <w:rsid w:val="005D6C7B"/>
    <w:rsid w:val="005D7ECF"/>
    <w:rsid w:val="00602F42"/>
    <w:rsid w:val="00605C08"/>
    <w:rsid w:val="00613B92"/>
    <w:rsid w:val="006216CB"/>
    <w:rsid w:val="00642B90"/>
    <w:rsid w:val="00651E96"/>
    <w:rsid w:val="00663A4F"/>
    <w:rsid w:val="006853D6"/>
    <w:rsid w:val="006C441D"/>
    <w:rsid w:val="006D5F11"/>
    <w:rsid w:val="006E73B1"/>
    <w:rsid w:val="006F0743"/>
    <w:rsid w:val="006F17EC"/>
    <w:rsid w:val="006F6F21"/>
    <w:rsid w:val="00700931"/>
    <w:rsid w:val="00715E79"/>
    <w:rsid w:val="00724FFC"/>
    <w:rsid w:val="00734343"/>
    <w:rsid w:val="007375C1"/>
    <w:rsid w:val="00742401"/>
    <w:rsid w:val="00747779"/>
    <w:rsid w:val="00754AF2"/>
    <w:rsid w:val="00776110"/>
    <w:rsid w:val="00777367"/>
    <w:rsid w:val="0077798F"/>
    <w:rsid w:val="00780713"/>
    <w:rsid w:val="00782822"/>
    <w:rsid w:val="007A170A"/>
    <w:rsid w:val="007D30F0"/>
    <w:rsid w:val="007E6960"/>
    <w:rsid w:val="007F43E5"/>
    <w:rsid w:val="007F519F"/>
    <w:rsid w:val="007F6A0D"/>
    <w:rsid w:val="008012A7"/>
    <w:rsid w:val="00812366"/>
    <w:rsid w:val="00834681"/>
    <w:rsid w:val="008541E5"/>
    <w:rsid w:val="008706F6"/>
    <w:rsid w:val="00870E1B"/>
    <w:rsid w:val="008747A8"/>
    <w:rsid w:val="008749FE"/>
    <w:rsid w:val="008E2C6F"/>
    <w:rsid w:val="00935077"/>
    <w:rsid w:val="00940A66"/>
    <w:rsid w:val="00941F02"/>
    <w:rsid w:val="00946788"/>
    <w:rsid w:val="009477E4"/>
    <w:rsid w:val="00973E6D"/>
    <w:rsid w:val="00975B8E"/>
    <w:rsid w:val="00981457"/>
    <w:rsid w:val="00984FF0"/>
    <w:rsid w:val="009A1B70"/>
    <w:rsid w:val="009F158B"/>
    <w:rsid w:val="009F7A11"/>
    <w:rsid w:val="00A115E0"/>
    <w:rsid w:val="00A60BC6"/>
    <w:rsid w:val="00A60F27"/>
    <w:rsid w:val="00A74111"/>
    <w:rsid w:val="00A9536E"/>
    <w:rsid w:val="00AC2677"/>
    <w:rsid w:val="00AD3C1A"/>
    <w:rsid w:val="00AD6ED6"/>
    <w:rsid w:val="00AE003F"/>
    <w:rsid w:val="00AE3C08"/>
    <w:rsid w:val="00B23E7E"/>
    <w:rsid w:val="00B24C44"/>
    <w:rsid w:val="00B31F1F"/>
    <w:rsid w:val="00B45690"/>
    <w:rsid w:val="00B608FA"/>
    <w:rsid w:val="00B77ACB"/>
    <w:rsid w:val="00BA10F9"/>
    <w:rsid w:val="00BA36F5"/>
    <w:rsid w:val="00BB3125"/>
    <w:rsid w:val="00BC3E28"/>
    <w:rsid w:val="00BD21DA"/>
    <w:rsid w:val="00C047D8"/>
    <w:rsid w:val="00C10F05"/>
    <w:rsid w:val="00C135A9"/>
    <w:rsid w:val="00C13C7A"/>
    <w:rsid w:val="00C51DA7"/>
    <w:rsid w:val="00C57356"/>
    <w:rsid w:val="00C72405"/>
    <w:rsid w:val="00C740CD"/>
    <w:rsid w:val="00CB7A1A"/>
    <w:rsid w:val="00CC4F60"/>
    <w:rsid w:val="00CD227C"/>
    <w:rsid w:val="00CE00F5"/>
    <w:rsid w:val="00D108C3"/>
    <w:rsid w:val="00D1554F"/>
    <w:rsid w:val="00D444FA"/>
    <w:rsid w:val="00D46BC6"/>
    <w:rsid w:val="00D46DE3"/>
    <w:rsid w:val="00D53D2C"/>
    <w:rsid w:val="00D742C7"/>
    <w:rsid w:val="00D82C53"/>
    <w:rsid w:val="00D93D02"/>
    <w:rsid w:val="00DE3DD4"/>
    <w:rsid w:val="00DF3496"/>
    <w:rsid w:val="00E55BD9"/>
    <w:rsid w:val="00E73EE1"/>
    <w:rsid w:val="00E808D8"/>
    <w:rsid w:val="00EA7039"/>
    <w:rsid w:val="00ED25F5"/>
    <w:rsid w:val="00ED3FAF"/>
    <w:rsid w:val="00EF6388"/>
    <w:rsid w:val="00F076E4"/>
    <w:rsid w:val="00F11F13"/>
    <w:rsid w:val="00F16809"/>
    <w:rsid w:val="00F33D4F"/>
    <w:rsid w:val="00F51FE6"/>
    <w:rsid w:val="00F61DA7"/>
    <w:rsid w:val="00F62613"/>
    <w:rsid w:val="00F70441"/>
    <w:rsid w:val="00F8512B"/>
    <w:rsid w:val="00F93CAD"/>
    <w:rsid w:val="00F96135"/>
    <w:rsid w:val="00FA3EAF"/>
    <w:rsid w:val="00FC1E41"/>
    <w:rsid w:val="00FD085F"/>
    <w:rsid w:val="00FF1E26"/>
    <w:rsid w:val="021FF62A"/>
    <w:rsid w:val="0261FDEA"/>
    <w:rsid w:val="029D41D3"/>
    <w:rsid w:val="030AA045"/>
    <w:rsid w:val="031E8C68"/>
    <w:rsid w:val="036921E6"/>
    <w:rsid w:val="058F05CB"/>
    <w:rsid w:val="07DE9166"/>
    <w:rsid w:val="0837ECC0"/>
    <w:rsid w:val="0B574472"/>
    <w:rsid w:val="0B8A62B7"/>
    <w:rsid w:val="0EED98A4"/>
    <w:rsid w:val="14172BDA"/>
    <w:rsid w:val="18190FC2"/>
    <w:rsid w:val="1874EF78"/>
    <w:rsid w:val="18C96219"/>
    <w:rsid w:val="1981FCB2"/>
    <w:rsid w:val="19F8814E"/>
    <w:rsid w:val="19FDB8D0"/>
    <w:rsid w:val="1A252C1C"/>
    <w:rsid w:val="1B2AB745"/>
    <w:rsid w:val="1B2E1D1A"/>
    <w:rsid w:val="1B4C8524"/>
    <w:rsid w:val="1BD4B69A"/>
    <w:rsid w:val="1C07F8AE"/>
    <w:rsid w:val="1E101594"/>
    <w:rsid w:val="1F910D57"/>
    <w:rsid w:val="231B8DE0"/>
    <w:rsid w:val="2439A695"/>
    <w:rsid w:val="24B73672"/>
    <w:rsid w:val="283EAE8B"/>
    <w:rsid w:val="2851ED76"/>
    <w:rsid w:val="2BA0A2BB"/>
    <w:rsid w:val="2C2B50BA"/>
    <w:rsid w:val="2DF9D12D"/>
    <w:rsid w:val="2E869892"/>
    <w:rsid w:val="2EA6065A"/>
    <w:rsid w:val="3134F425"/>
    <w:rsid w:val="3340CBC4"/>
    <w:rsid w:val="373D796C"/>
    <w:rsid w:val="38EFA580"/>
    <w:rsid w:val="3D4FB3C9"/>
    <w:rsid w:val="3DD0900A"/>
    <w:rsid w:val="3EC448CD"/>
    <w:rsid w:val="4002ED94"/>
    <w:rsid w:val="401A9A39"/>
    <w:rsid w:val="40E9B5BA"/>
    <w:rsid w:val="439DFC11"/>
    <w:rsid w:val="47F5A623"/>
    <w:rsid w:val="4D8C9DBD"/>
    <w:rsid w:val="4F1D0E48"/>
    <w:rsid w:val="516EE715"/>
    <w:rsid w:val="51E7903F"/>
    <w:rsid w:val="5364FCC4"/>
    <w:rsid w:val="53DC394F"/>
    <w:rsid w:val="547278D4"/>
    <w:rsid w:val="56897F89"/>
    <w:rsid w:val="5C934A20"/>
    <w:rsid w:val="5F9C3E62"/>
    <w:rsid w:val="62DB5CE4"/>
    <w:rsid w:val="62F8F38D"/>
    <w:rsid w:val="6351C0D1"/>
    <w:rsid w:val="6511CFB3"/>
    <w:rsid w:val="65BFB5C2"/>
    <w:rsid w:val="6A316069"/>
    <w:rsid w:val="6B05FAE9"/>
    <w:rsid w:val="6BD849B6"/>
    <w:rsid w:val="6C49C591"/>
    <w:rsid w:val="6C913CDF"/>
    <w:rsid w:val="6E51DF86"/>
    <w:rsid w:val="6F35AF12"/>
    <w:rsid w:val="6F9C7686"/>
    <w:rsid w:val="730FA9E7"/>
    <w:rsid w:val="73A86C4C"/>
    <w:rsid w:val="777A0B48"/>
    <w:rsid w:val="79E8BDD4"/>
    <w:rsid w:val="7AD2DBBE"/>
    <w:rsid w:val="7AF4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9B8E4"/>
  <w15:chartTrackingRefBased/>
  <w15:docId w15:val="{BC93FA42-B868-409E-8D80-55B4A736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940A66"/>
    <w:pPr>
      <w:spacing w:after="229" w:line="249" w:lineRule="auto"/>
      <w:ind w:left="5333" w:hanging="10"/>
      <w:jc w:val="both"/>
    </w:pPr>
    <w:rPr>
      <w:rFonts w:ascii="Arial" w:eastAsia="Arial" w:hAnsi="Arial" w:cs="Arial"/>
      <w:color w:val="000000"/>
      <w:kern w:val="2"/>
      <w:szCs w:val="24"/>
      <w:lang w:val="cs-CZ"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ln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sz w:val="19"/>
      <w:lang w:val="cs-CZ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rFonts w:ascii="UnitSlabPro-Light" w:hAnsi="UnitSlabPro-Light"/>
      <w:sz w:val="19"/>
      <w:lang w:val="cs-CZ"/>
    </w:rPr>
  </w:style>
  <w:style w:type="character" w:customStyle="1" w:styleId="slovnIChar">
    <w:name w:val="Číslování I. Char"/>
    <w:basedOn w:val="Standardnpsmoodstavce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ln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hAnsi="UnitPro-Medi" w:cs="UnitPro-Medi"/>
      <w:sz w:val="15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Vet-kurzva0">
    <w:name w:val="Výčet - (kurzíva)"/>
    <w:next w:val="Normln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sz w:val="19"/>
      <w:lang w:val="cs-CZ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ln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sz w:val="19"/>
      <w:lang w:val="cs-CZ"/>
    </w:rPr>
  </w:style>
  <w:style w:type="paragraph" w:customStyle="1" w:styleId="slovna">
    <w:name w:val="Číslování a)"/>
    <w:next w:val="Normln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rFonts w:ascii="UnitSlabPro-Light" w:hAnsi="UnitSlabPro-Light"/>
      <w:sz w:val="19"/>
      <w:lang w:val="cs-CZ"/>
    </w:rPr>
  </w:style>
  <w:style w:type="character" w:customStyle="1" w:styleId="Vet-kurzvaChar0">
    <w:name w:val="Výčet - (kurzíva Char"/>
    <w:aliases w:val="tučné) Char"/>
    <w:basedOn w:val="Standardnpsmoodstavce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ln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  <w:rPr>
      <w:rFonts w:ascii="UnitSlabPro-Light" w:hAnsi="UnitSlabPro-Light"/>
      <w:sz w:val="19"/>
    </w:rPr>
  </w:style>
  <w:style w:type="character" w:customStyle="1" w:styleId="slovnaChar">
    <w:name w:val="Číslování a) Char"/>
    <w:basedOn w:val="Standardnpsmoodstavce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ln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Standardnpsmoodstavce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Arial" w:hAnsi="Arial" w:cs="Arial"/>
      <w:color w:val="000000"/>
      <w:kern w:val="2"/>
      <w:sz w:val="20"/>
      <w:szCs w:val="20"/>
      <w:lang w:val="cs-CZ" w:eastAsia="cs-CZ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locked/>
    <w:rPr>
      <w:sz w:val="16"/>
      <w:szCs w:val="16"/>
    </w:rPr>
  </w:style>
  <w:style w:type="character" w:styleId="Hypertextovodkaz">
    <w:name w:val="Hyperlink"/>
    <w:locked/>
    <w:rsid w:val="003B5E8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locked/>
    <w:rsid w:val="003B5E8E"/>
    <w:pPr>
      <w:spacing w:before="120" w:after="0" w:line="240" w:lineRule="auto"/>
      <w:ind w:left="1620" w:firstLine="0"/>
    </w:pPr>
    <w:rPr>
      <w:rFonts w:ascii="Times New Roman" w:eastAsia="Times New Roman" w:hAnsi="Times New Roman" w:cs="Times New Roman"/>
      <w:color w:val="auto"/>
      <w:kern w:val="0"/>
      <w:szCs w:val="22"/>
      <w:lang w:val="x-none" w:eastAsia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3B5E8E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29aae-f969-4401-a5c1-b60022aacc5a">
      <Terms xmlns="http://schemas.microsoft.com/office/infopath/2007/PartnerControls"/>
    </lcf76f155ced4ddcb4097134ff3c332f>
    <TaxCatchAll xmlns="d8f5183f-3204-489a-927e-fd4a4126bb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548780E0D1B4DBFC056C145ECC169" ma:contentTypeVersion="13" ma:contentTypeDescription="Vytvoří nový dokument" ma:contentTypeScope="" ma:versionID="7ace27f0eddfed1438da67291d7716b0">
  <xsd:schema xmlns:xsd="http://www.w3.org/2001/XMLSchema" xmlns:xs="http://www.w3.org/2001/XMLSchema" xmlns:p="http://schemas.microsoft.com/office/2006/metadata/properties" xmlns:ns2="13429aae-f969-4401-a5c1-b60022aacc5a" xmlns:ns3="d8f5183f-3204-489a-927e-fd4a4126bb9b" targetNamespace="http://schemas.microsoft.com/office/2006/metadata/properties" ma:root="true" ma:fieldsID="7dc8ee51f7b3cc0f3ad0ddc98185f7ff" ns2:_="" ns3:_="">
    <xsd:import namespace="13429aae-f969-4401-a5c1-b60022aacc5a"/>
    <xsd:import namespace="d8f5183f-3204-489a-927e-fd4a4126b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29aae-f969-4401-a5c1-b60022aac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5183f-3204-489a-927e-fd4a4126bb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ff280b-8369-4bbb-ba47-af8ccd7b0e11}" ma:internalName="TaxCatchAll" ma:showField="CatchAllData" ma:web="d8f5183f-3204-489a-927e-fd4a4126b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7A27-60C3-4EC3-8BEA-EEDA4635F453}">
  <ds:schemaRefs>
    <ds:schemaRef ds:uri="http://schemas.microsoft.com/office/2006/metadata/properties"/>
    <ds:schemaRef ds:uri="http://schemas.microsoft.com/office/infopath/2007/PartnerControls"/>
    <ds:schemaRef ds:uri="13429aae-f969-4401-a5c1-b60022aacc5a"/>
    <ds:schemaRef ds:uri="d8f5183f-3204-489a-927e-fd4a4126bb9b"/>
  </ds:schemaRefs>
</ds:datastoreItem>
</file>

<file path=customXml/itemProps2.xml><?xml version="1.0" encoding="utf-8"?>
<ds:datastoreItem xmlns:ds="http://schemas.openxmlformats.org/officeDocument/2006/customXml" ds:itemID="{A5BDF1FE-3293-4A55-9659-77FE6DC11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EAB39-DD72-4FB3-B4B9-A191BC21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29aae-f969-4401-a5c1-b60022aacc5a"/>
    <ds:schemaRef ds:uri="d8f5183f-3204-489a-927e-fd4a4126b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FF7B0-830A-4ADB-9099-AE074408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Landkammer Dominik Ing. arch.</dc:creator>
  <cp:keywords/>
  <dc:description/>
  <cp:lastModifiedBy>Pincová Jitka (SPR/VEZ)</cp:lastModifiedBy>
  <cp:revision>3</cp:revision>
  <cp:lastPrinted>2025-06-09T13:37:00Z</cp:lastPrinted>
  <dcterms:created xsi:type="dcterms:W3CDTF">2025-06-11T08:14:00Z</dcterms:created>
  <dcterms:modified xsi:type="dcterms:W3CDTF">2025-06-11T08:16:00Z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0x010100DDC548780E0D1B4DBFC056C145ECC169</vt:lpwstr>
  </property>
  <property fmtid="{D5CDD505-2E9C-101B-9397-08002B2CF9AE}" pid="3" name="MediaServiceImageTags">
    <vt:lpwstr/>
  </property>
</Properties>
</file>