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3C4811D3" w:rsidR="00D859C2" w:rsidRPr="00726B26" w:rsidRDefault="00010E7F" w:rsidP="00D859C2">
      <w:pPr>
        <w:rPr>
          <w:b/>
        </w:rPr>
      </w:pPr>
      <w:proofErr w:type="spellStart"/>
      <w:r w:rsidRPr="00E4320C">
        <w:rPr>
          <w:b/>
        </w:rPr>
        <w:t>SoPHIS</w:t>
      </w:r>
      <w:proofErr w:type="spellEnd"/>
      <w:r w:rsidRPr="00E4320C">
        <w:rPr>
          <w:b/>
        </w:rPr>
        <w:t>, a.s.</w:t>
      </w:r>
    </w:p>
    <w:p w14:paraId="3DADA2B1" w14:textId="756BB1BF" w:rsidR="00D859C2" w:rsidRDefault="00D859C2" w:rsidP="00D859C2">
      <w:r>
        <w:t xml:space="preserve">IČ: </w:t>
      </w:r>
      <w:r w:rsidR="00010E7F">
        <w:t>26305879</w:t>
      </w:r>
    </w:p>
    <w:p w14:paraId="494735B8" w14:textId="143906F7" w:rsidR="00D859C2" w:rsidRPr="00512AB9" w:rsidRDefault="00D859C2" w:rsidP="00D859C2">
      <w:r>
        <w:t xml:space="preserve">DIČ: </w:t>
      </w:r>
      <w:r w:rsidR="00010E7F">
        <w:t>CZ26305879</w:t>
      </w:r>
    </w:p>
    <w:p w14:paraId="4BE4B061" w14:textId="34BCDE3C" w:rsidR="00D859C2" w:rsidRPr="00512AB9" w:rsidRDefault="00D859C2" w:rsidP="00D859C2">
      <w:r>
        <w:t>se sídlem</w:t>
      </w:r>
      <w:r w:rsidRPr="00512AB9">
        <w:t xml:space="preserve">: </w:t>
      </w:r>
      <w:r w:rsidR="00010E7F">
        <w:t>Malostranská 646/36, 625 00 Brno – Starý Lískovec</w:t>
      </w:r>
    </w:p>
    <w:p w14:paraId="1F4F5F98" w14:textId="4109C555" w:rsidR="00D859C2" w:rsidRPr="00512AB9" w:rsidRDefault="00D859C2" w:rsidP="00010E7F">
      <w:r>
        <w:t>zastoupena</w:t>
      </w:r>
      <w:r w:rsidRPr="00512AB9">
        <w:t xml:space="preserve">: </w:t>
      </w:r>
      <w:r w:rsidR="00010E7F">
        <w:t>Ing. Radkem Uchytilem, Ph.D.</w:t>
      </w:r>
      <w:r w:rsidR="00E4320C">
        <w:t xml:space="preserve"> </w:t>
      </w:r>
      <w:r w:rsidR="00010E7F">
        <w:t>předsedou představenstva a ředitelem společnosti</w:t>
      </w:r>
    </w:p>
    <w:p w14:paraId="43130257" w14:textId="53CBAE6F" w:rsidR="00D859C2" w:rsidRPr="00512AB9" w:rsidRDefault="00D859C2" w:rsidP="00D859C2">
      <w:r w:rsidRPr="00512AB9">
        <w:t xml:space="preserve">bankovní spojení: </w:t>
      </w:r>
      <w:proofErr w:type="spellStart"/>
      <w:r w:rsidR="00E4320C">
        <w:t>Fio</w:t>
      </w:r>
      <w:proofErr w:type="spellEnd"/>
      <w:r w:rsidR="00E4320C">
        <w:t xml:space="preserve"> banka a.s.</w:t>
      </w:r>
    </w:p>
    <w:p w14:paraId="4B4D9F51" w14:textId="0216C66F" w:rsidR="00D859C2" w:rsidRPr="00512AB9" w:rsidRDefault="00D859C2" w:rsidP="00D859C2">
      <w:r w:rsidRPr="00512AB9">
        <w:t xml:space="preserve">číslo účtu: </w:t>
      </w:r>
      <w:r w:rsidR="00E4320C">
        <w:t>2800070620/2010</w:t>
      </w:r>
    </w:p>
    <w:p w14:paraId="7BE5CCD9" w14:textId="4ECD9C3C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E4320C">
        <w:t xml:space="preserve">Krajským </w:t>
      </w:r>
      <w:r w:rsidRPr="00652864">
        <w:t>soudem v </w:t>
      </w:r>
      <w:r w:rsidR="00E4320C">
        <w:t>Brně</w:t>
      </w:r>
      <w:r w:rsidRPr="00652864">
        <w:t xml:space="preserve">, oddíl </w:t>
      </w:r>
      <w:r w:rsidR="00E4320C">
        <w:t>B</w:t>
      </w:r>
      <w:r w:rsidRPr="00652864">
        <w:t xml:space="preserve">, vložka </w:t>
      </w:r>
      <w:r w:rsidR="00E4320C">
        <w:t>3831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2662805E" w:rsidR="00EC68C2" w:rsidRDefault="00D859C2" w:rsidP="00D859C2">
      <w:pPr>
        <w:rPr>
          <w:rStyle w:val="platne1"/>
        </w:rPr>
      </w:pPr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  <w:r w:rsidR="00EC68C2">
        <w:rPr>
          <w:rStyle w:val="platne1"/>
        </w:rP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29B026B9" w14:textId="5B39926F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</w:t>
      </w:r>
      <w:r w:rsidR="00A73431">
        <w:t>, resp. výzvou k podání nabídek</w:t>
      </w:r>
      <w:r>
        <w:t xml:space="preserve">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A20DF8">
        <w:rPr>
          <w:rFonts w:eastAsia="Arial"/>
          <w:b/>
        </w:rPr>
        <w:t>„</w:t>
      </w:r>
      <w:r w:rsidR="002050C7">
        <w:rPr>
          <w:b/>
        </w:rPr>
        <w:t xml:space="preserve">Doplnění HW pro implementaci </w:t>
      </w:r>
      <w:proofErr w:type="spellStart"/>
      <w:r w:rsidR="002050C7">
        <w:rPr>
          <w:b/>
        </w:rPr>
        <w:t>Doctis</w:t>
      </w:r>
      <w:proofErr w:type="spellEnd"/>
      <w:r w:rsidR="719E714E" w:rsidRPr="38690F1A">
        <w:rPr>
          <w:rFonts w:eastAsia="Arial"/>
        </w:rPr>
        <w:t>“</w:t>
      </w:r>
      <w:r>
        <w:t>, část</w:t>
      </w:r>
      <w:r w:rsidR="00C81E48">
        <w:t xml:space="preserve"> 1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384E6B28" w14:textId="4F9416FE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 xml:space="preserve"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</w:t>
      </w:r>
      <w:r w:rsidR="00A73431">
        <w:t xml:space="preserve">veřejné </w:t>
      </w:r>
      <w:r>
        <w:t>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</w:pPr>
      <w:r w:rsidRPr="00D859C2">
        <w:t>Předmět smlouvy</w:t>
      </w:r>
    </w:p>
    <w:p w14:paraId="3693EC94" w14:textId="7F42DD65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</w:t>
      </w:r>
      <w:r w:rsidR="00670A36">
        <w:t>Z</w:t>
      </w:r>
      <w:r w:rsidR="00670A36" w:rsidRPr="00D859C2">
        <w:t xml:space="preserve">boží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104AE9F" w14:textId="77777777" w:rsidR="00601A3A" w:rsidRDefault="00142BD2" w:rsidP="00D859C2">
      <w:pPr>
        <w:pStyle w:val="Odstavecsmlouvy"/>
      </w:pPr>
      <w:r w:rsidRPr="00D859C2">
        <w:t xml:space="preserve">Prodávající </w:t>
      </w:r>
      <w:r w:rsidR="00670A36">
        <w:t>je povinen</w:t>
      </w:r>
      <w:r w:rsidRPr="00D859C2">
        <w:t xml:space="preserve"> dodat </w:t>
      </w:r>
      <w:r w:rsidR="00ED3A3E" w:rsidRPr="00D859C2">
        <w:t>Kupujícímu</w:t>
      </w:r>
    </w:p>
    <w:p w14:paraId="4A1B3E3F" w14:textId="77777777" w:rsidR="00746227" w:rsidRPr="00746227" w:rsidRDefault="00601A3A" w:rsidP="00180D92">
      <w:pPr>
        <w:pStyle w:val="Odstavecsmlouvy"/>
        <w:numPr>
          <w:ilvl w:val="3"/>
          <w:numId w:val="17"/>
        </w:numPr>
        <w:ind w:left="794" w:hanging="227"/>
      </w:pPr>
      <w:r w:rsidRPr="00601A3A">
        <w:t>9</w:t>
      </w:r>
      <w:r>
        <w:t xml:space="preserve"> kusů</w:t>
      </w:r>
      <w:r w:rsidR="00180D92">
        <w:t xml:space="preserve">    </w:t>
      </w:r>
      <w:r>
        <w:t xml:space="preserve">PC </w:t>
      </w:r>
      <w:proofErr w:type="spellStart"/>
      <w:r>
        <w:t>All</w:t>
      </w:r>
      <w:proofErr w:type="spellEnd"/>
      <w:r>
        <w:t xml:space="preserve"> in </w:t>
      </w:r>
      <w:proofErr w:type="spellStart"/>
      <w:r>
        <w:t>One</w:t>
      </w:r>
      <w:proofErr w:type="spellEnd"/>
      <w:r w:rsidR="008645D8" w:rsidRPr="00D859C2">
        <w:rPr>
          <w:b/>
        </w:rPr>
        <w:t>,</w:t>
      </w:r>
    </w:p>
    <w:p w14:paraId="2632A860" w14:textId="6AB77A70" w:rsidR="00601A3A" w:rsidRPr="00601A3A" w:rsidRDefault="008645D8" w:rsidP="00746227">
      <w:pPr>
        <w:pStyle w:val="Odstavecsmlouvy"/>
        <w:numPr>
          <w:ilvl w:val="0"/>
          <w:numId w:val="21"/>
        </w:numPr>
      </w:pPr>
      <w:r w:rsidRPr="00601A3A">
        <w:t xml:space="preserve">typ: </w:t>
      </w:r>
      <w:proofErr w:type="spellStart"/>
      <w:r w:rsidR="00746227">
        <w:t>Lenovo</w:t>
      </w:r>
      <w:proofErr w:type="spellEnd"/>
      <w:r w:rsidR="00746227">
        <w:t xml:space="preserve"> </w:t>
      </w:r>
      <w:proofErr w:type="spellStart"/>
      <w:r w:rsidR="00746227">
        <w:t>ThinkCentre</w:t>
      </w:r>
      <w:proofErr w:type="spellEnd"/>
      <w:r w:rsidR="00746227">
        <w:t xml:space="preserve"> </w:t>
      </w:r>
      <w:proofErr w:type="spellStart"/>
      <w:r w:rsidR="00746227">
        <w:t>Neo</w:t>
      </w:r>
      <w:proofErr w:type="spellEnd"/>
      <w:r w:rsidR="00746227">
        <w:t xml:space="preserve"> 50a 24 Gen 4 černá, 2 roky záruka, </w:t>
      </w:r>
      <w:r w:rsidR="004453FF" w:rsidRPr="00601A3A">
        <w:t>výrobce</w:t>
      </w:r>
      <w:r w:rsidR="00180D92">
        <w:t xml:space="preserve">: </w:t>
      </w:r>
      <w:proofErr w:type="spellStart"/>
      <w:r w:rsidR="00746227">
        <w:t>Lenovo</w:t>
      </w:r>
      <w:proofErr w:type="spellEnd"/>
      <w:r w:rsidR="004453FF" w:rsidRPr="00601A3A">
        <w:t xml:space="preserve"> </w:t>
      </w:r>
    </w:p>
    <w:p w14:paraId="75136A5F" w14:textId="6E0672A6" w:rsidR="00D86891" w:rsidRPr="00D859C2" w:rsidRDefault="00142BD2" w:rsidP="00180D92">
      <w:pPr>
        <w:pStyle w:val="Odstavecsmlouvy"/>
        <w:numPr>
          <w:ilvl w:val="0"/>
          <w:numId w:val="0"/>
        </w:numPr>
        <w:ind w:left="567"/>
      </w:pP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51D88F44" w14:textId="45150115" w:rsidR="00A73431" w:rsidRDefault="00A73431" w:rsidP="004F2985">
      <w:pPr>
        <w:pStyle w:val="Odstavecsmlouvy"/>
      </w:pPr>
      <w:r w:rsidRPr="00D859C2">
        <w:t>Prodávající prohlašuje, že v době dodání Zboží bude oprávněn jako výlučný vlastník volně disponovat se Zbožím, zejména je zcizovat.</w:t>
      </w:r>
      <w:r>
        <w:t xml:space="preserve"> Prodávající je povinen za podmínek této smlouvy převést na Kupujícího vlastnické právo ke Zboží. Kupující je povinen za podmínek této smlouvy řádně a včas dodané Zboží převzít a zaplatit za něj sjednanou kupní cenu.</w:t>
      </w:r>
    </w:p>
    <w:p w14:paraId="75136A66" w14:textId="028E8C4A" w:rsidR="00B9193B" w:rsidRPr="00EC68C2" w:rsidRDefault="003A1056" w:rsidP="0074273F">
      <w:pPr>
        <w:pStyle w:val="Odstavecsmlouvy"/>
      </w:pPr>
      <w:r w:rsidRPr="00D859C2">
        <w:t xml:space="preserve">Prodávající se zavazuje </w:t>
      </w:r>
      <w:r w:rsidR="00670A36">
        <w:t>K</w:t>
      </w:r>
      <w:r w:rsidRPr="00D859C2">
        <w:t xml:space="preserve">upujícímu </w:t>
      </w:r>
      <w:r w:rsidR="00670A36">
        <w:t xml:space="preserve">dodat, resp. zpřístupnit </w:t>
      </w:r>
      <w:r w:rsidRPr="00D859C2">
        <w:t xml:space="preserve">společně se Zbožím i </w:t>
      </w:r>
      <w:r w:rsidR="001F13BA" w:rsidRPr="00D859C2">
        <w:t xml:space="preserve">veškeré </w:t>
      </w:r>
      <w:r w:rsidRPr="00D859C2">
        <w:t xml:space="preserve">doklady, které se k </w:t>
      </w:r>
      <w:r w:rsidR="00670A36">
        <w:t>němu</w:t>
      </w:r>
      <w:r w:rsidR="00670A36" w:rsidRPr="00D859C2">
        <w:t xml:space="preserve"> </w:t>
      </w:r>
      <w:r w:rsidRPr="00D859C2">
        <w:t xml:space="preserve">vztahují, tj. zejména </w:t>
      </w:r>
      <w:r w:rsidR="001F13BA" w:rsidRPr="00D859C2">
        <w:t>doklady nutné k převzetí a k řádnému užívání zboží</w:t>
      </w:r>
      <w:r w:rsidR="00670A36">
        <w:t xml:space="preserve">, a to minimálně </w:t>
      </w:r>
      <w:r w:rsidR="009A3D16" w:rsidRPr="00D859C2">
        <w:t>n</w:t>
      </w:r>
      <w:r w:rsidR="001F13BA" w:rsidRPr="00D859C2">
        <w:t xml:space="preserve">ávod k ovládání </w:t>
      </w:r>
      <w:r w:rsidR="009A3D16" w:rsidRPr="00D859C2">
        <w:t xml:space="preserve">Zboží </w:t>
      </w:r>
      <w:r w:rsidR="001F13BA" w:rsidRPr="00D859C2">
        <w:t>v českém jazyce 1x v listinné podobě</w:t>
      </w:r>
      <w:r w:rsidR="00670A36">
        <w:t xml:space="preserve"> a</w:t>
      </w:r>
      <w:r w:rsidR="001F13BA" w:rsidRPr="00D859C2">
        <w:t xml:space="preserve">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670A36">
        <w:t>.</w:t>
      </w: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471471C6" w14:textId="50A5B39D" w:rsidR="00C1361F" w:rsidRPr="00D859C2" w:rsidRDefault="003A1056" w:rsidP="00C1361F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A20DF8" w:rsidRPr="00A20DF8">
        <w:rPr>
          <w:rFonts w:eastAsia="Arial"/>
          <w:b/>
          <w:bCs/>
        </w:rPr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 xml:space="preserve">smlouvy a Kupující se zavazuje dodané Zboží </w:t>
      </w:r>
      <w:r w:rsidR="00A73431">
        <w:t xml:space="preserve">za podmínek této smlouvy </w:t>
      </w:r>
      <w:r w:rsidR="00250E90">
        <w:t>převzít.</w:t>
      </w:r>
      <w:r w:rsidR="19907203">
        <w:t xml:space="preserve"> </w:t>
      </w:r>
      <w:r w:rsidR="00C1361F">
        <w:t>Součástí povinnosti Prodávajícího dodat Zboží je i instalace a zprovoznění Zboží dle přílohy č. 1 této smlouvy.</w:t>
      </w:r>
    </w:p>
    <w:p w14:paraId="75136A6D" w14:textId="67A9E2D6" w:rsidR="00BE2371" w:rsidRPr="00A20DF8" w:rsidRDefault="003F7B02" w:rsidP="00EC68C2">
      <w:pPr>
        <w:pStyle w:val="Odstavecsmlouvy"/>
      </w:pPr>
      <w:r>
        <w:t xml:space="preserve">Místem dodání Zboží </w:t>
      </w:r>
      <w:r w:rsidR="00D50BBE">
        <w:t xml:space="preserve">je </w:t>
      </w:r>
      <w:r w:rsidR="00A20DF8" w:rsidRPr="00EC68C2">
        <w:rPr>
          <w:rFonts w:eastAsia="Arial"/>
          <w:b/>
        </w:rPr>
        <w:t>FN Brno, Pracoviště Nemocnice Bohunice, COS I a Centrální sterilizace, Jihlavská 20, 625 00 Brno</w:t>
      </w:r>
      <w:r w:rsidR="00C81E48" w:rsidRPr="00EC68C2">
        <w:rPr>
          <w:rFonts w:eastAsia="Arial"/>
          <w:b/>
        </w:rPr>
        <w:t xml:space="preserve"> (8ks)</w:t>
      </w:r>
      <w:r w:rsidR="00A20DF8" w:rsidRPr="00EC68C2">
        <w:rPr>
          <w:rFonts w:eastAsia="Arial"/>
          <w:b/>
        </w:rPr>
        <w:t xml:space="preserve"> a Pracoviště Dětská nemocnice, COS III, Černopolní 9, 613 00 Brno</w:t>
      </w:r>
      <w:r w:rsidR="00C81E48" w:rsidRPr="00EC68C2">
        <w:rPr>
          <w:rFonts w:eastAsia="Arial"/>
          <w:b/>
        </w:rPr>
        <w:t xml:space="preserve"> (1 ks)</w:t>
      </w:r>
      <w:r w:rsidR="00A20DF8">
        <w:rPr>
          <w:rFonts w:eastAsia="Arial"/>
        </w:rPr>
        <w:t>.</w:t>
      </w:r>
    </w:p>
    <w:p w14:paraId="75136A6F" w14:textId="540D50DF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7A5BAB">
        <w:rPr>
          <w:rFonts w:eastAsia="Arial"/>
          <w:b/>
          <w:bCs/>
        </w:rPr>
        <w:lastRenderedPageBreak/>
        <w:t>XXXXXX</w:t>
      </w:r>
      <w:r w:rsidR="00DE3A3F" w:rsidRPr="00A20DF8">
        <w:t>,</w:t>
      </w:r>
      <w:r w:rsidR="00DE3A3F">
        <w:t xml:space="preserve"> tel.: 532</w:t>
      </w:r>
      <w:r w:rsidR="00A20DF8">
        <w:t> </w:t>
      </w:r>
      <w:r w:rsidR="007A5BAB">
        <w:t>XXXXXX</w:t>
      </w:r>
      <w:r w:rsidR="00DE3A3F">
        <w:t xml:space="preserve"> a písemně na e-mail: </w:t>
      </w:r>
      <w:r w:rsidR="007A5BAB">
        <w:rPr>
          <w:rFonts w:eastAsia="Arial"/>
          <w:b/>
          <w:bCs/>
        </w:rPr>
        <w:t>XXXXXX</w:t>
      </w:r>
      <w:r w:rsidR="00A20DF8" w:rsidRPr="00A20DF8">
        <w:rPr>
          <w:rFonts w:eastAsia="Arial"/>
          <w:b/>
          <w:bCs/>
        </w:rPr>
        <w:t>@fnbrno.cz</w:t>
      </w:r>
      <w:r w:rsidR="00A20DF8">
        <w:rPr>
          <w:rFonts w:eastAsia="Arial"/>
          <w:b/>
          <w:bCs/>
        </w:rPr>
        <w:t>.</w:t>
      </w:r>
      <w:r>
        <w:t xml:space="preserve"> Bez tohoto oznámení není Kupující povinen Zboží převzít.</w:t>
      </w:r>
      <w:r w:rsidR="00B91037">
        <w:t xml:space="preserve"> </w:t>
      </w:r>
    </w:p>
    <w:p w14:paraId="75136A72" w14:textId="1A2D1DBF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</w:t>
      </w:r>
      <w:r w:rsidR="00C1361F">
        <w:t xml:space="preserve"> </w:t>
      </w:r>
      <w:r>
        <w:t>předávací protokol (dále a výše též pouze „</w:t>
      </w:r>
      <w:r w:rsidR="00670A36">
        <w:rPr>
          <w:b/>
          <w:bCs/>
        </w:rPr>
        <w:t>p</w:t>
      </w:r>
      <w:r w:rsidR="00670A36" w:rsidRPr="38690F1A">
        <w:rPr>
          <w:b/>
          <w:bCs/>
        </w:rPr>
        <w:t xml:space="preserve">ředávací </w:t>
      </w:r>
      <w:r w:rsidRPr="38690F1A">
        <w:rPr>
          <w:b/>
          <w:bCs/>
        </w:rPr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41BE0DED" w14:textId="393DACAA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</w:t>
      </w:r>
      <w:r w:rsidR="00670A36">
        <w:t xml:space="preserve">předávacího </w:t>
      </w:r>
      <w:r>
        <w:t xml:space="preserve">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6B76BC08" w14:textId="2EC932B3" w:rsidR="00354D6A" w:rsidRPr="00354D6A" w:rsidRDefault="00354D6A" w:rsidP="00354D6A">
      <w:pPr>
        <w:tabs>
          <w:tab w:val="left" w:pos="0"/>
        </w:tabs>
        <w:spacing w:before="60" w:after="60" w:line="240" w:lineRule="auto"/>
        <w:ind w:left="-284"/>
        <w:jc w:val="left"/>
        <w:rPr>
          <w:rFonts w:eastAsia="Calibri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Pr="00354D6A">
        <w:rPr>
          <w:rFonts w:eastAsia="Calibri"/>
          <w:lang w:eastAsia="en-US"/>
        </w:rPr>
        <w:t xml:space="preserve">Část 1.  9 kusů PC ALL in </w:t>
      </w:r>
      <w:proofErr w:type="spellStart"/>
      <w:r w:rsidRPr="00354D6A">
        <w:rPr>
          <w:rFonts w:eastAsia="Calibri"/>
          <w:lang w:eastAsia="en-US"/>
        </w:rPr>
        <w:t>One</w:t>
      </w:r>
      <w:proofErr w:type="spellEnd"/>
    </w:p>
    <w:tbl>
      <w:tblPr>
        <w:tblW w:w="8505" w:type="dxa"/>
        <w:tblInd w:w="562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354D6A" w:rsidRPr="00354D6A" w14:paraId="78286A62" w14:textId="77777777" w:rsidTr="00354D6A">
        <w:trPr>
          <w:trHeight w:val="34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187EA9" w14:textId="77777777" w:rsidR="00354D6A" w:rsidRPr="00354D6A" w:rsidRDefault="00354D6A" w:rsidP="00354D6A">
            <w:pPr>
              <w:spacing w:before="20" w:line="276" w:lineRule="auto"/>
              <w:rPr>
                <w:rFonts w:eastAsia="Calibri"/>
                <w:color w:val="00000A"/>
                <w:lang w:eastAsia="en-US"/>
              </w:rPr>
            </w:pPr>
            <w:r w:rsidRPr="00354D6A">
              <w:rPr>
                <w:rFonts w:eastAsia="Calibri"/>
                <w:color w:val="00000A"/>
                <w:lang w:eastAsia="en-US"/>
              </w:rPr>
              <w:t>Cena za kus bez DPH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FE7B2" w14:textId="61B49333" w:rsidR="00354D6A" w:rsidRPr="00354D6A" w:rsidRDefault="004A3010" w:rsidP="00354D6A">
            <w:pPr>
              <w:spacing w:before="20" w:line="360" w:lineRule="auto"/>
              <w:rPr>
                <w:rFonts w:eastAsia="Calibri"/>
                <w:b/>
                <w:bCs/>
                <w:color w:val="00000A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lang w:eastAsia="en-US"/>
              </w:rPr>
              <w:t xml:space="preserve">   32 352,00 Kč</w:t>
            </w:r>
          </w:p>
        </w:tc>
      </w:tr>
      <w:tr w:rsidR="00354D6A" w:rsidRPr="00354D6A" w14:paraId="27A857BB" w14:textId="77777777" w:rsidTr="00354D6A">
        <w:trPr>
          <w:trHeight w:val="34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861FD2" w14:textId="491BFAF7" w:rsidR="00354D6A" w:rsidRPr="00354D6A" w:rsidRDefault="00354D6A" w:rsidP="00354D6A">
            <w:pPr>
              <w:spacing w:before="20" w:line="276" w:lineRule="auto"/>
              <w:rPr>
                <w:rFonts w:eastAsiaTheme="minorEastAsia"/>
                <w:color w:val="00000A"/>
                <w:lang w:eastAsia="en-US"/>
              </w:rPr>
            </w:pPr>
            <w:r w:rsidRPr="00354D6A">
              <w:rPr>
                <w:rFonts w:eastAsia="Calibri"/>
                <w:color w:val="00000A"/>
                <w:lang w:eastAsia="en-US"/>
              </w:rPr>
              <w:t>Celková cena bez DPH: [v Kč]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7F9C9F" w14:textId="3623E75B" w:rsidR="00354D6A" w:rsidRPr="00354D6A" w:rsidRDefault="00354D6A" w:rsidP="00354D6A">
            <w:pPr>
              <w:spacing w:before="20" w:line="360" w:lineRule="auto"/>
              <w:rPr>
                <w:rFonts w:eastAsiaTheme="minorEastAsia"/>
                <w:b/>
                <w:bCs/>
                <w:color w:val="00000A"/>
                <w:lang w:eastAsia="en-US"/>
              </w:rPr>
            </w:pPr>
            <w:r w:rsidRPr="00354D6A">
              <w:rPr>
                <w:rFonts w:eastAsia="Calibri"/>
                <w:b/>
                <w:bCs/>
                <w:color w:val="00000A"/>
                <w:lang w:eastAsia="en-US"/>
              </w:rPr>
              <w:t xml:space="preserve"> </w:t>
            </w:r>
            <w:r w:rsidR="0090683D">
              <w:rPr>
                <w:rFonts w:eastAsia="Calibri"/>
                <w:b/>
                <w:bCs/>
                <w:color w:val="00000A"/>
                <w:lang w:eastAsia="en-US"/>
              </w:rPr>
              <w:t>291 168</w:t>
            </w:r>
            <w:r w:rsidRPr="00354D6A">
              <w:rPr>
                <w:rFonts w:eastAsia="Calibri"/>
                <w:b/>
                <w:bCs/>
                <w:color w:val="00000A"/>
                <w:lang w:eastAsia="en-US"/>
              </w:rPr>
              <w:t>,00 Kč</w:t>
            </w:r>
          </w:p>
        </w:tc>
      </w:tr>
      <w:tr w:rsidR="00354D6A" w:rsidRPr="00354D6A" w14:paraId="61F1768A" w14:textId="77777777" w:rsidTr="00354D6A">
        <w:trPr>
          <w:trHeight w:val="34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3A5DDB" w14:textId="77777777" w:rsidR="00354D6A" w:rsidRPr="00354D6A" w:rsidRDefault="00354D6A" w:rsidP="00354D6A">
            <w:pPr>
              <w:spacing w:before="20" w:line="276" w:lineRule="auto"/>
              <w:rPr>
                <w:rFonts w:eastAsiaTheme="minorEastAsia"/>
                <w:color w:val="00000A"/>
                <w:lang w:eastAsia="en-US"/>
              </w:rPr>
            </w:pPr>
            <w:r w:rsidRPr="00354D6A">
              <w:rPr>
                <w:rFonts w:eastAsia="Calibri"/>
                <w:color w:val="00000A"/>
                <w:lang w:eastAsia="en-US"/>
              </w:rPr>
              <w:t>DPH (sazba 21 %):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F4185" w14:textId="2735740D" w:rsidR="00354D6A" w:rsidRPr="00354D6A" w:rsidRDefault="00354D6A" w:rsidP="00354D6A">
            <w:pPr>
              <w:spacing w:before="20" w:line="360" w:lineRule="auto"/>
              <w:rPr>
                <w:rFonts w:eastAsiaTheme="minorEastAsia"/>
                <w:b/>
                <w:bCs/>
                <w:color w:val="00000A"/>
                <w:lang w:eastAsia="en-US"/>
              </w:rPr>
            </w:pPr>
            <w:r w:rsidRPr="00354D6A">
              <w:rPr>
                <w:rFonts w:eastAsia="Calibri"/>
                <w:b/>
                <w:bCs/>
                <w:color w:val="00000A"/>
                <w:lang w:eastAsia="en-US"/>
              </w:rPr>
              <w:t xml:space="preserve">   </w:t>
            </w:r>
            <w:r w:rsidR="0090683D">
              <w:rPr>
                <w:rFonts w:eastAsia="Calibri"/>
                <w:b/>
                <w:bCs/>
                <w:color w:val="00000A"/>
                <w:lang w:eastAsia="en-US"/>
              </w:rPr>
              <w:t>61 145,28</w:t>
            </w:r>
            <w:r w:rsidRPr="00354D6A">
              <w:rPr>
                <w:rFonts w:eastAsia="Calibri"/>
                <w:b/>
                <w:bCs/>
                <w:color w:val="00000A"/>
                <w:lang w:eastAsia="en-US"/>
              </w:rPr>
              <w:t xml:space="preserve"> Kč</w:t>
            </w:r>
          </w:p>
        </w:tc>
      </w:tr>
      <w:tr w:rsidR="00354D6A" w:rsidRPr="00354D6A" w14:paraId="48DB8F6E" w14:textId="77777777" w:rsidTr="00354D6A">
        <w:trPr>
          <w:trHeight w:val="40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75D7197" w14:textId="5177AD65" w:rsidR="00354D6A" w:rsidRPr="00354D6A" w:rsidRDefault="00354D6A" w:rsidP="00354D6A">
            <w:pPr>
              <w:spacing w:before="20" w:line="276" w:lineRule="auto"/>
              <w:rPr>
                <w:rFonts w:eastAsia="Calibri"/>
                <w:b/>
                <w:color w:val="00000A"/>
                <w:lang w:eastAsia="en-US"/>
              </w:rPr>
            </w:pPr>
            <w:r w:rsidRPr="00354D6A">
              <w:rPr>
                <w:rFonts w:eastAsia="Calibri"/>
                <w:b/>
                <w:color w:val="00000A"/>
                <w:lang w:eastAsia="en-US"/>
              </w:rPr>
              <w:t>Celková cena včetně DPH: [Kč]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B5F16" w14:textId="26B0BA61" w:rsidR="00354D6A" w:rsidRPr="00354D6A" w:rsidRDefault="00354D6A" w:rsidP="00354D6A">
            <w:pPr>
              <w:spacing w:before="20" w:line="360" w:lineRule="auto"/>
              <w:rPr>
                <w:rFonts w:eastAsiaTheme="minorEastAsia"/>
                <w:color w:val="00000A"/>
                <w:lang w:eastAsia="en-US"/>
              </w:rPr>
            </w:pPr>
            <w:r w:rsidRPr="00354D6A">
              <w:rPr>
                <w:rFonts w:eastAsia="Calibri"/>
                <w:b/>
                <w:color w:val="00000A"/>
                <w:lang w:eastAsia="en-US"/>
              </w:rPr>
              <w:t xml:space="preserve"> </w:t>
            </w:r>
            <w:r w:rsidR="0090683D">
              <w:rPr>
                <w:rFonts w:eastAsia="Calibri"/>
                <w:b/>
                <w:color w:val="00000A"/>
                <w:lang w:eastAsia="en-US"/>
              </w:rPr>
              <w:t>352 313,28</w:t>
            </w:r>
            <w:r w:rsidRPr="00354D6A">
              <w:rPr>
                <w:rFonts w:eastAsia="Calibri"/>
                <w:b/>
                <w:color w:val="00000A"/>
                <w:lang w:eastAsia="en-US"/>
              </w:rPr>
              <w:t xml:space="preserve"> Kč</w:t>
            </w:r>
          </w:p>
        </w:tc>
      </w:tr>
    </w:tbl>
    <w:p w14:paraId="3D12679E" w14:textId="77777777" w:rsidR="00354D6A" w:rsidRPr="00354D6A" w:rsidRDefault="00354D6A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A41E830" w14:textId="126DB93E" w:rsidR="00D70368" w:rsidRPr="00D859C2" w:rsidRDefault="00EC68C2" w:rsidP="00EC68C2">
      <w:pPr>
        <w:pStyle w:val="Odstavecsmlouvy"/>
      </w:pPr>
      <w:r>
        <w:tab/>
      </w:r>
      <w:r w:rsidR="00D70368" w:rsidRPr="00D859C2">
        <w:t xml:space="preserve">Sjednaná </w:t>
      </w:r>
      <w:r w:rsidR="00D70368">
        <w:t>kupní c</w:t>
      </w:r>
      <w:r w:rsidR="00D70368" w:rsidRPr="00D859C2">
        <w:t xml:space="preserve">ena zahrnuje kromě Zboží, zejména náklady na dopravu do místa plnění, obaly, naložení, složení, pojištění během dopravy, případné clo, instalaci vč. konfigurace modalit, uvedení do provozu, recyklační poplatek (pouze u Zboží, které tomuto poplatku podle </w:t>
      </w:r>
      <w:r w:rsidR="00D70368">
        <w:t xml:space="preserve">právních předpisů </w:t>
      </w:r>
      <w:r w:rsidR="00D70368" w:rsidRPr="00D859C2">
        <w:t>podléhá).</w:t>
      </w:r>
    </w:p>
    <w:p w14:paraId="75136A93" w14:textId="1B7A5591" w:rsidR="002E1388" w:rsidRPr="00D859C2" w:rsidRDefault="002E1388" w:rsidP="00094B12">
      <w:pPr>
        <w:pStyle w:val="Odstavecsmlouvy"/>
      </w:pPr>
      <w:r w:rsidRPr="00D859C2">
        <w:t>Prodávající potvrzuje, že sjednaná kupní cena zcela odpovídá nabídce Prodávajícího předložené v</w:t>
      </w:r>
      <w:r w:rsidR="00A73431">
        <w:t> </w:t>
      </w:r>
      <w:r w:rsidRPr="00D859C2">
        <w:t>zadávacím</w:t>
      </w:r>
      <w:r w:rsidR="00A73431">
        <w:t>, resp. výběrovém</w:t>
      </w:r>
      <w:r w:rsidRPr="00D859C2">
        <w:t xml:space="preserve"> řízení, ve kterém byla jeho nabídka vybrána jako nejvhodnější. V případě rozporu mezi touto smlouvou a nabídkou Prodávajícího uhradí Kupující kupní cenu pro Kupujícího výhodnější. </w:t>
      </w:r>
    </w:p>
    <w:p w14:paraId="5D094038" w14:textId="7968A0C9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</w:t>
      </w:r>
      <w:r>
        <w:rPr>
          <w:color w:val="000000"/>
        </w:rPr>
        <w:lastRenderedPageBreak/>
        <w:t>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4273F">
        <w:t>, číslo této smlouvy uvedené v záhlaví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A" w14:textId="0CF8FB85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</w:t>
      </w:r>
      <w:r w:rsidR="00A17F49" w:rsidRPr="00D859C2">
        <w:t>.</w:t>
      </w: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75136AB4" w14:textId="77777777" w:rsidR="00DE3A3F" w:rsidRPr="00D859C2" w:rsidRDefault="00DE3A3F" w:rsidP="00094B12">
      <w:pPr>
        <w:pStyle w:val="Odstavecsmlouvy"/>
      </w:pPr>
      <w:r w:rsidRPr="00D859C2">
        <w:lastRenderedPageBreak/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1" w14:textId="4A21E3B8" w:rsidR="00F06B76" w:rsidRPr="00D859C2" w:rsidRDefault="00B733E1" w:rsidP="00094B12">
      <w:pPr>
        <w:pStyle w:val="Odstavecsmlouvy"/>
      </w:pPr>
      <w:r>
        <w:t xml:space="preserve">Prodávající se pro případ prodlení s dodáním Zboží řádně a včas zavazuje </w:t>
      </w:r>
      <w:r w:rsidR="009547FF">
        <w:t xml:space="preserve">uhradit </w:t>
      </w:r>
      <w:r>
        <w:t>K</w:t>
      </w:r>
      <w:r w:rsidR="009547FF">
        <w:t xml:space="preserve">upujícímu smluvní pokutu ve výši </w:t>
      </w:r>
      <w:r>
        <w:t>0,</w:t>
      </w:r>
      <w:r w:rsidR="009A4F9F">
        <w:t>2</w:t>
      </w:r>
      <w:r w:rsidR="005B3940">
        <w:t xml:space="preserve"> </w:t>
      </w:r>
      <w:r>
        <w:t>% z</w:t>
      </w:r>
      <w:r w:rsidR="00F06B76">
        <w:t xml:space="preserve"> celkové </w:t>
      </w:r>
      <w:r>
        <w:t xml:space="preserve">kupní ceny </w:t>
      </w:r>
      <w:r w:rsidR="00670A36">
        <w:t xml:space="preserve">bez </w:t>
      </w:r>
      <w:r>
        <w:t xml:space="preserve">DPH </w:t>
      </w:r>
      <w:r w:rsidR="009547FF">
        <w:t xml:space="preserve">za každý </w:t>
      </w:r>
      <w:r w:rsidR="00521D38">
        <w:t xml:space="preserve">pracovní </w:t>
      </w:r>
      <w:r w:rsidR="009547FF">
        <w:t>den prodlení.</w:t>
      </w:r>
    </w:p>
    <w:p w14:paraId="544794F0" w14:textId="46E4A659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0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prodlení.</w:t>
      </w:r>
      <w:bookmarkEnd w:id="0"/>
    </w:p>
    <w:p w14:paraId="2E5402E5" w14:textId="2F1575F9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="00521D38">
        <w:t>pracovn</w:t>
      </w:r>
      <w:r w:rsidR="007922A8">
        <w:t>í</w:t>
      </w:r>
      <w:bookmarkStart w:id="1" w:name="_GoBack"/>
      <w:bookmarkEnd w:id="1"/>
      <w:r w:rsidR="00521D38">
        <w:t xml:space="preserve">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75136AC9" w14:textId="1DC94B60" w:rsidR="00D82704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2" w14:textId="0A20D646" w:rsidR="00D813B7" w:rsidRPr="00D859C2" w:rsidRDefault="00D813B7" w:rsidP="00094B12">
      <w:pPr>
        <w:pStyle w:val="Odstavecsmlouvy"/>
      </w:pPr>
      <w:r w:rsidRPr="00D859C2">
        <w:lastRenderedPageBreak/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8" w14:textId="02C1A2C2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521D38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</w:t>
      </w:r>
      <w:r w:rsidRPr="00521D38">
        <w:rPr>
          <w:snapToGrid w:val="0"/>
        </w:rPr>
        <w:t>obdrží</w:t>
      </w:r>
      <w:r w:rsidR="00521D38" w:rsidRPr="00521D38">
        <w:rPr>
          <w:snapToGrid w:val="0"/>
        </w:rPr>
        <w:t xml:space="preserve"> </w:t>
      </w:r>
      <w:r w:rsidRPr="00521D38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6770D5CD" w14:textId="77777777" w:rsidR="0096600E" w:rsidRDefault="0096600E" w:rsidP="00EC68C2">
      <w:pPr>
        <w:pStyle w:val="Odstavecsmlouvy"/>
      </w:pPr>
      <w:r>
        <w:t>Nedílnou součástí této smlouvy jsou:</w:t>
      </w:r>
    </w:p>
    <w:p w14:paraId="6EC6FB1A" w14:textId="5025C964" w:rsidR="0096600E" w:rsidRDefault="0096600E" w:rsidP="00EC68C2">
      <w:pPr>
        <w:pStyle w:val="Psmenoodstavce"/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4665DF3A" w14:textId="1CCBBF86" w:rsidR="00D071E8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4F7F3B31" w14:textId="4D262E59" w:rsidR="00EC68C2" w:rsidRDefault="0046090C" w:rsidP="0046090C">
      <w:pPr>
        <w:tabs>
          <w:tab w:val="center" w:pos="2268"/>
          <w:tab w:val="center" w:pos="7088"/>
        </w:tabs>
      </w:pPr>
      <w:r>
        <w:tab/>
      </w:r>
      <w:r w:rsidRPr="00627B78">
        <w:t>V Brně</w:t>
      </w:r>
      <w:r w:rsidRPr="001150C5">
        <w:t xml:space="preserve"> dne</w:t>
      </w:r>
      <w:r>
        <w:t>:</w:t>
      </w:r>
      <w:r>
        <w:tab/>
      </w:r>
      <w:r w:rsidRPr="00627B78">
        <w:t>V Brně</w:t>
      </w:r>
      <w:r w:rsidRPr="001150C5">
        <w:t xml:space="preserve"> dne</w:t>
      </w:r>
      <w:r>
        <w:t>:</w:t>
      </w:r>
    </w:p>
    <w:p w14:paraId="4CCCE92B" w14:textId="4B176E33" w:rsidR="0046090C" w:rsidRDefault="0046090C" w:rsidP="0046090C">
      <w:pPr>
        <w:tabs>
          <w:tab w:val="center" w:pos="2268"/>
          <w:tab w:val="center" w:pos="7088"/>
        </w:tabs>
      </w:pPr>
    </w:p>
    <w:p w14:paraId="5CEB81A1" w14:textId="5163FA78" w:rsidR="0046090C" w:rsidRDefault="0046090C" w:rsidP="0046090C">
      <w:pPr>
        <w:tabs>
          <w:tab w:val="center" w:pos="2268"/>
          <w:tab w:val="center" w:pos="7088"/>
        </w:tabs>
      </w:pPr>
    </w:p>
    <w:p w14:paraId="038CA0C5" w14:textId="0A1C3DAD" w:rsidR="0046090C" w:rsidRDefault="0046090C" w:rsidP="0046090C">
      <w:pPr>
        <w:tabs>
          <w:tab w:val="center" w:pos="2268"/>
          <w:tab w:val="center" w:pos="7088"/>
        </w:tabs>
      </w:pPr>
      <w:r>
        <w:tab/>
        <w:t>________________________________</w:t>
      </w:r>
      <w:r>
        <w:tab/>
        <w:t>________________________________</w:t>
      </w:r>
    </w:p>
    <w:p w14:paraId="7876D323" w14:textId="226046C5" w:rsidR="0046090C" w:rsidRDefault="0046090C" w:rsidP="0046090C">
      <w:pPr>
        <w:tabs>
          <w:tab w:val="center" w:pos="2268"/>
          <w:tab w:val="center" w:pos="7088"/>
        </w:tabs>
      </w:pPr>
      <w:r>
        <w:tab/>
        <w:t>za Prodávajícího</w:t>
      </w:r>
      <w:r>
        <w:tab/>
        <w:t>za Kupujícího</w:t>
      </w:r>
    </w:p>
    <w:p w14:paraId="6287BBCC" w14:textId="04C122E4" w:rsidR="0046090C" w:rsidRDefault="0046090C" w:rsidP="0046090C">
      <w:pPr>
        <w:tabs>
          <w:tab w:val="center" w:pos="2268"/>
          <w:tab w:val="center" w:pos="7088"/>
        </w:tabs>
        <w:rPr>
          <w:b/>
        </w:rPr>
      </w:pPr>
      <w:r>
        <w:tab/>
      </w:r>
      <w:proofErr w:type="spellStart"/>
      <w:r w:rsidRPr="00627B78">
        <w:rPr>
          <w:b/>
        </w:rPr>
        <w:t>SoPHIS</w:t>
      </w:r>
      <w:proofErr w:type="spellEnd"/>
      <w:r w:rsidRPr="00627B78">
        <w:rPr>
          <w:b/>
        </w:rPr>
        <w:t>, a.s.</w:t>
      </w:r>
      <w:r>
        <w:rPr>
          <w:b/>
        </w:rPr>
        <w:tab/>
      </w:r>
      <w:r w:rsidRPr="00D722DC">
        <w:rPr>
          <w:b/>
        </w:rPr>
        <w:t>Fakultní nemocnice Brno</w:t>
      </w:r>
    </w:p>
    <w:p w14:paraId="00644426" w14:textId="5DFA30BE" w:rsidR="0046090C" w:rsidRDefault="0046090C" w:rsidP="0046090C">
      <w:pPr>
        <w:tabs>
          <w:tab w:val="center" w:pos="2268"/>
          <w:tab w:val="center" w:pos="7088"/>
        </w:tabs>
      </w:pPr>
      <w:r>
        <w:rPr>
          <w:b/>
        </w:rPr>
        <w:tab/>
      </w:r>
      <w:r w:rsidRPr="00627B78">
        <w:t>Ing. Radek Uchytil, Ph</w:t>
      </w:r>
      <w:r>
        <w:t>.</w:t>
      </w:r>
      <w:r w:rsidRPr="00627B78">
        <w:t>D</w:t>
      </w:r>
      <w:r>
        <w:t>.</w:t>
      </w:r>
      <w:r>
        <w:tab/>
      </w:r>
      <w:r w:rsidRPr="001150C5">
        <w:t xml:space="preserve">MUDr. </w:t>
      </w:r>
      <w:r>
        <w:t>Ivo Rovný</w:t>
      </w:r>
      <w:r w:rsidRPr="001150C5">
        <w:t xml:space="preserve">, </w:t>
      </w:r>
      <w:r>
        <w:t>MBA</w:t>
      </w:r>
    </w:p>
    <w:p w14:paraId="622CE088" w14:textId="58C99398" w:rsidR="0046090C" w:rsidRDefault="0046090C" w:rsidP="0046090C">
      <w:pPr>
        <w:tabs>
          <w:tab w:val="center" w:pos="2268"/>
          <w:tab w:val="center" w:pos="7088"/>
        </w:tabs>
      </w:pPr>
      <w:r>
        <w:tab/>
        <w:t>Předseda představenstva a ředitel společnosti</w:t>
      </w:r>
      <w:r>
        <w:tab/>
      </w:r>
      <w:r w:rsidRPr="001150C5">
        <w:t>ředitel</w:t>
      </w:r>
    </w:p>
    <w:p w14:paraId="3B516DDF" w14:textId="77777777" w:rsidR="00EC68C2" w:rsidRPr="00D859C2" w:rsidRDefault="00EC68C2" w:rsidP="00EC68C2">
      <w:pPr>
        <w:pStyle w:val="Odstavecsmlouvy"/>
        <w:numPr>
          <w:ilvl w:val="0"/>
          <w:numId w:val="0"/>
        </w:numPr>
        <w:tabs>
          <w:tab w:val="left" w:pos="2552"/>
          <w:tab w:val="left" w:pos="7088"/>
        </w:tabs>
      </w:pP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0D1277CB" w14:textId="77777777" w:rsidR="003175B7" w:rsidRDefault="003175B7" w:rsidP="003175B7">
      <w:pPr>
        <w:pStyle w:val="Bezmezer"/>
        <w:tabs>
          <w:tab w:val="left" w:pos="0"/>
        </w:tabs>
        <w:spacing w:before="60" w:after="60"/>
        <w:ind w:left="-284"/>
        <w:rPr>
          <w:rFonts w:ascii="Arial" w:hAnsi="Arial" w:cs="Arial"/>
          <w:b/>
        </w:rPr>
      </w:pPr>
      <w:r w:rsidRPr="003175B7">
        <w:rPr>
          <w:rFonts w:ascii="Arial" w:hAnsi="Arial" w:cs="Arial"/>
          <w:b/>
        </w:rPr>
        <w:t xml:space="preserve">Část č. 1  </w:t>
      </w:r>
    </w:p>
    <w:p w14:paraId="73049F01" w14:textId="0AED2F25" w:rsidR="003175B7" w:rsidRDefault="003175B7" w:rsidP="003175B7">
      <w:pPr>
        <w:pStyle w:val="Bezmezer"/>
        <w:tabs>
          <w:tab w:val="left" w:pos="0"/>
        </w:tabs>
        <w:spacing w:before="60" w:after="60"/>
        <w:ind w:left="-284"/>
        <w:rPr>
          <w:rFonts w:ascii="Arial" w:hAnsi="Arial" w:cs="Arial"/>
          <w:b/>
        </w:rPr>
      </w:pPr>
      <w:r w:rsidRPr="003175B7">
        <w:rPr>
          <w:rFonts w:ascii="Arial" w:hAnsi="Arial" w:cs="Arial"/>
          <w:b/>
        </w:rPr>
        <w:t xml:space="preserve">9 kusů PC ALL in </w:t>
      </w:r>
      <w:proofErr w:type="spellStart"/>
      <w:r w:rsidRPr="003175B7">
        <w:rPr>
          <w:rFonts w:ascii="Arial" w:hAnsi="Arial" w:cs="Arial"/>
          <w:b/>
        </w:rPr>
        <w:t>One</w:t>
      </w:r>
      <w:proofErr w:type="spellEnd"/>
    </w:p>
    <w:p w14:paraId="0C33F885" w14:textId="01B4CCEF" w:rsidR="003175B7" w:rsidRPr="003175B7" w:rsidRDefault="003175B7" w:rsidP="003175B7">
      <w:pPr>
        <w:pStyle w:val="Bezmezer"/>
        <w:tabs>
          <w:tab w:val="left" w:pos="0"/>
        </w:tabs>
        <w:spacing w:before="60" w:after="60"/>
        <w:ind w:left="-284"/>
        <w:rPr>
          <w:rFonts w:ascii="Arial" w:hAnsi="Arial" w:cs="Arial"/>
          <w:b/>
        </w:rPr>
      </w:pPr>
      <w:r w:rsidRPr="003175B7">
        <w:rPr>
          <w:rFonts w:ascii="Arial" w:hAnsi="Arial" w:cs="Arial"/>
          <w:b/>
        </w:rPr>
        <w:t>typ:</w:t>
      </w:r>
      <w:r w:rsidR="0090683D">
        <w:rPr>
          <w:rFonts w:ascii="Arial" w:hAnsi="Arial" w:cs="Arial"/>
          <w:b/>
        </w:rPr>
        <w:t xml:space="preserve"> </w:t>
      </w:r>
      <w:proofErr w:type="spellStart"/>
      <w:r w:rsidR="0090683D">
        <w:rPr>
          <w:rFonts w:ascii="Arial" w:hAnsi="Arial" w:cs="Arial"/>
          <w:b/>
        </w:rPr>
        <w:t>Lenovo</w:t>
      </w:r>
      <w:proofErr w:type="spellEnd"/>
      <w:r w:rsidR="0090683D">
        <w:rPr>
          <w:rFonts w:ascii="Arial" w:hAnsi="Arial" w:cs="Arial"/>
          <w:b/>
        </w:rPr>
        <w:t xml:space="preserve"> </w:t>
      </w:r>
      <w:proofErr w:type="spellStart"/>
      <w:r w:rsidR="0090683D">
        <w:rPr>
          <w:rFonts w:ascii="Arial" w:hAnsi="Arial" w:cs="Arial"/>
          <w:b/>
        </w:rPr>
        <w:t>ThinkCentre</w:t>
      </w:r>
      <w:proofErr w:type="spellEnd"/>
      <w:r w:rsidR="0090683D">
        <w:rPr>
          <w:rFonts w:ascii="Arial" w:hAnsi="Arial" w:cs="Arial"/>
          <w:b/>
        </w:rPr>
        <w:t xml:space="preserve"> </w:t>
      </w:r>
      <w:proofErr w:type="spellStart"/>
      <w:r w:rsidR="0090683D">
        <w:rPr>
          <w:rFonts w:ascii="Arial" w:hAnsi="Arial" w:cs="Arial"/>
          <w:b/>
        </w:rPr>
        <w:t>Neo</w:t>
      </w:r>
      <w:proofErr w:type="spellEnd"/>
      <w:r w:rsidR="0090683D">
        <w:rPr>
          <w:rFonts w:ascii="Arial" w:hAnsi="Arial" w:cs="Arial"/>
          <w:b/>
        </w:rPr>
        <w:t xml:space="preserve"> 50a 24 Gen 4 černá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3130"/>
        <w:gridCol w:w="1461"/>
        <w:gridCol w:w="852"/>
        <w:gridCol w:w="2251"/>
      </w:tblGrid>
      <w:tr w:rsidR="003175B7" w14:paraId="650B61D1" w14:textId="77777777" w:rsidTr="003175B7">
        <w:trPr>
          <w:trHeight w:val="510"/>
        </w:trPr>
        <w:tc>
          <w:tcPr>
            <w:tcW w:w="328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9C83EF5" w14:textId="77777777" w:rsidR="003175B7" w:rsidRPr="003175B7" w:rsidRDefault="003175B7" w:rsidP="00A55B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75B7">
              <w:rPr>
                <w:b/>
                <w:bCs/>
                <w:i/>
                <w:iCs/>
                <w:sz w:val="28"/>
                <w:szCs w:val="28"/>
              </w:rPr>
              <w:t>Funkcionalita / požadované parametry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14:paraId="422420E2" w14:textId="77777777" w:rsidR="003175B7" w:rsidRPr="003175B7" w:rsidRDefault="003175B7" w:rsidP="00A55BA0">
            <w:pPr>
              <w:jc w:val="center"/>
              <w:rPr>
                <w:b/>
                <w:bCs/>
                <w:i/>
                <w:iCs/>
              </w:rPr>
            </w:pPr>
            <w:r w:rsidRPr="003175B7">
              <w:rPr>
                <w:b/>
                <w:bCs/>
                <w:i/>
                <w:iCs/>
              </w:rPr>
              <w:t>min.  max.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7F0E5CCF" w14:textId="77777777" w:rsidR="003175B7" w:rsidRPr="003175B7" w:rsidRDefault="003175B7" w:rsidP="00A55B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75B7">
              <w:rPr>
                <w:b/>
                <w:bCs/>
                <w:i/>
                <w:iCs/>
                <w:sz w:val="28"/>
                <w:szCs w:val="28"/>
              </w:rPr>
              <w:t>Sestava PC  AIO</w:t>
            </w:r>
          </w:p>
        </w:tc>
      </w:tr>
      <w:tr w:rsidR="003175B7" w14:paraId="6249B3BD" w14:textId="77777777" w:rsidTr="003175B7">
        <w:trPr>
          <w:trHeight w:val="375"/>
        </w:trPr>
        <w:tc>
          <w:tcPr>
            <w:tcW w:w="328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46912" w14:textId="77777777" w:rsidR="003175B7" w:rsidRPr="003175B7" w:rsidRDefault="003175B7" w:rsidP="00A55BA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42F785C" w14:textId="77777777" w:rsidR="003175B7" w:rsidRPr="003175B7" w:rsidRDefault="003175B7" w:rsidP="00A55B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4C292A54" w14:textId="77777777" w:rsidR="003175B7" w:rsidRPr="003175B7" w:rsidRDefault="003175B7" w:rsidP="00A55B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175B7" w14:paraId="3F1AF037" w14:textId="77777777" w:rsidTr="003175B7">
        <w:trPr>
          <w:trHeight w:val="495"/>
        </w:trPr>
        <w:tc>
          <w:tcPr>
            <w:tcW w:w="328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14C4D" w14:textId="77777777" w:rsidR="003175B7" w:rsidRPr="003175B7" w:rsidRDefault="003175B7" w:rsidP="00A55BA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B58FC5E" w14:textId="77777777" w:rsidR="003175B7" w:rsidRPr="003175B7" w:rsidRDefault="003175B7" w:rsidP="00A55BA0">
            <w:pPr>
              <w:rPr>
                <w:b/>
                <w:bCs/>
                <w:i/>
                <w:iCs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5FD6662F" w14:textId="77777777" w:rsidR="003175B7" w:rsidRPr="003175B7" w:rsidRDefault="003175B7" w:rsidP="00A55BA0">
            <w:pPr>
              <w:jc w:val="center"/>
              <w:rPr>
                <w:b/>
                <w:bCs/>
                <w:i/>
                <w:iCs/>
              </w:rPr>
            </w:pPr>
            <w:r w:rsidRPr="003175B7">
              <w:rPr>
                <w:b/>
                <w:bCs/>
                <w:i/>
                <w:iCs/>
              </w:rPr>
              <w:t>Požadované parametry</w:t>
            </w:r>
          </w:p>
        </w:tc>
      </w:tr>
      <w:tr w:rsidR="003175B7" w14:paraId="6A5D4701" w14:textId="77777777" w:rsidTr="003175B7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77E5157" w14:textId="77777777" w:rsidR="003175B7" w:rsidRPr="003175B7" w:rsidRDefault="003175B7" w:rsidP="00A55BA0">
            <w:r w:rsidRPr="003175B7">
              <w:t>Displej antireflexní dotykový</w:t>
            </w:r>
          </w:p>
        </w:tc>
        <w:tc>
          <w:tcPr>
            <w:tcW w:w="2539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1403248A" w14:textId="77777777" w:rsidR="003175B7" w:rsidRPr="003175B7" w:rsidRDefault="003175B7" w:rsidP="00A55BA0">
            <w:r w:rsidRPr="003175B7">
              <w:t>Rozlišení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14:paraId="579D82DF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B27C74" w14:textId="77777777" w:rsidR="003175B7" w:rsidRPr="003175B7" w:rsidRDefault="003175B7" w:rsidP="00A55BA0">
            <w:r w:rsidRPr="003175B7">
              <w:t xml:space="preserve">1920 x 1080 </w:t>
            </w:r>
            <w:proofErr w:type="spellStart"/>
            <w:r w:rsidRPr="003175B7">
              <w:t>px</w:t>
            </w:r>
            <w:proofErr w:type="spellEnd"/>
          </w:p>
        </w:tc>
      </w:tr>
      <w:tr w:rsidR="003175B7" w14:paraId="50FC8697" w14:textId="77777777" w:rsidTr="003175B7">
        <w:trPr>
          <w:trHeight w:val="300"/>
        </w:trPr>
        <w:tc>
          <w:tcPr>
            <w:tcW w:w="745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779DB8A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8E7FF5F" w14:textId="77777777" w:rsidR="003175B7" w:rsidRPr="003175B7" w:rsidRDefault="003175B7" w:rsidP="00A55BA0">
            <w:r w:rsidRPr="003175B7">
              <w:t>Úhlopříčka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14:paraId="373CA8DE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271FD2" w14:textId="77777777" w:rsidR="003175B7" w:rsidRPr="003175B7" w:rsidRDefault="003175B7" w:rsidP="00A55BA0">
            <w:r w:rsidRPr="003175B7">
              <w:t>23,8“</w:t>
            </w:r>
          </w:p>
        </w:tc>
      </w:tr>
      <w:tr w:rsidR="003175B7" w14:paraId="38180501" w14:textId="77777777" w:rsidTr="003175B7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C43DC1" w14:textId="77777777" w:rsidR="003175B7" w:rsidRPr="003175B7" w:rsidRDefault="003175B7" w:rsidP="00A55BA0">
            <w:r w:rsidRPr="003175B7">
              <w:t>CPU (procesor)</w:t>
            </w:r>
          </w:p>
        </w:tc>
        <w:tc>
          <w:tcPr>
            <w:tcW w:w="2539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81C1FF" w14:textId="77777777" w:rsidR="003175B7" w:rsidRPr="003175B7" w:rsidRDefault="003175B7" w:rsidP="00A55BA0">
            <w:proofErr w:type="spellStart"/>
            <w:r w:rsidRPr="003175B7">
              <w:t>Passmark</w:t>
            </w:r>
            <w:proofErr w:type="spellEnd"/>
            <w:r w:rsidRPr="003175B7">
              <w:t xml:space="preserve"> CPU (www.passmark.com)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5FC25E9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47370F" w14:textId="77777777" w:rsidR="003175B7" w:rsidRPr="003175B7" w:rsidRDefault="003175B7" w:rsidP="00A55BA0">
            <w:r w:rsidRPr="003175B7">
              <w:t>10000</w:t>
            </w:r>
          </w:p>
        </w:tc>
      </w:tr>
      <w:tr w:rsidR="003175B7" w14:paraId="5D5BC499" w14:textId="77777777" w:rsidTr="003175B7">
        <w:trPr>
          <w:trHeight w:val="300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C6F1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CD0BB47" w14:textId="77777777" w:rsidR="003175B7" w:rsidRPr="003175B7" w:rsidRDefault="003175B7" w:rsidP="00A55BA0">
            <w:proofErr w:type="spellStart"/>
            <w:r w:rsidRPr="003175B7">
              <w:t>Virtualizace</w:t>
            </w:r>
            <w:proofErr w:type="spellEnd"/>
            <w:r w:rsidRPr="003175B7">
              <w:t xml:space="preserve"> procesoru a síťové karty</w:t>
            </w:r>
          </w:p>
        </w:tc>
        <w:tc>
          <w:tcPr>
            <w:tcW w:w="471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AD87AE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3B05D6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7C0C9CAB" w14:textId="77777777" w:rsidTr="003175B7">
        <w:trPr>
          <w:trHeight w:val="31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2041D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0B4A0E8" w14:textId="77777777" w:rsidR="003175B7" w:rsidRPr="003175B7" w:rsidRDefault="003175B7" w:rsidP="00A55BA0">
            <w:r w:rsidRPr="003175B7">
              <w:t>Technologie 64 bit</w:t>
            </w:r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8DABFC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20BDC3B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3AD3D188" w14:textId="77777777" w:rsidTr="003175B7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E35924" w14:textId="77777777" w:rsidR="003175B7" w:rsidRPr="003175B7" w:rsidRDefault="003175B7" w:rsidP="00A55BA0">
            <w:r w:rsidRPr="003175B7">
              <w:t>Operační paměť</w:t>
            </w:r>
          </w:p>
        </w:tc>
        <w:tc>
          <w:tcPr>
            <w:tcW w:w="173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4EDF67DC" w14:textId="77777777" w:rsidR="003175B7" w:rsidRPr="003175B7" w:rsidRDefault="003175B7" w:rsidP="00A55BA0">
            <w:r w:rsidRPr="003175B7">
              <w:t>Typ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A03C16" w14:textId="77777777" w:rsidR="003175B7" w:rsidRPr="003175B7" w:rsidRDefault="003175B7" w:rsidP="00A55BA0">
            <w:r w:rsidRPr="003175B7"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2DF7AC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838009" w14:textId="77777777" w:rsidR="003175B7" w:rsidRPr="003175B7" w:rsidRDefault="003175B7" w:rsidP="00A55BA0">
            <w:r w:rsidRPr="003175B7">
              <w:t>DDR4</w:t>
            </w:r>
          </w:p>
        </w:tc>
      </w:tr>
      <w:tr w:rsidR="003175B7" w14:paraId="645DDBD5" w14:textId="77777777" w:rsidTr="003175B7">
        <w:trPr>
          <w:trHeight w:val="31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1A1656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2D7C977" w14:textId="77777777" w:rsidR="003175B7" w:rsidRPr="003175B7" w:rsidRDefault="003175B7" w:rsidP="00A55BA0">
            <w:r w:rsidRPr="003175B7">
              <w:t>Celková instalovaná velikost</w:t>
            </w:r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58CD8C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D23C3D" w14:textId="77777777" w:rsidR="003175B7" w:rsidRPr="003175B7" w:rsidRDefault="003175B7" w:rsidP="00A55BA0">
            <w:r w:rsidRPr="003175B7">
              <w:t>8 GB</w:t>
            </w:r>
          </w:p>
        </w:tc>
      </w:tr>
      <w:tr w:rsidR="003175B7" w14:paraId="31E094A1" w14:textId="77777777" w:rsidTr="003175B7">
        <w:trPr>
          <w:trHeight w:val="300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754E4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1098DB" w14:textId="77777777" w:rsidR="003175B7" w:rsidRPr="003175B7" w:rsidRDefault="003175B7" w:rsidP="00A55BA0">
            <w:r w:rsidRPr="003175B7">
              <w:t xml:space="preserve">Zabezpečení heslem proti neoprávněnému přístupu do </w:t>
            </w:r>
            <w:proofErr w:type="gramStart"/>
            <w:r w:rsidRPr="003175B7">
              <w:t>BIOS</w:t>
            </w:r>
            <w:proofErr w:type="gramEnd"/>
            <w:r w:rsidRPr="003175B7">
              <w:t>.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C4BDF0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B75264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3AA59139" w14:textId="77777777" w:rsidTr="003175B7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2B736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562B5A79" w14:textId="77777777" w:rsidR="003175B7" w:rsidRPr="003175B7" w:rsidRDefault="003175B7" w:rsidP="00A55BA0">
            <w:r w:rsidRPr="003175B7">
              <w:t xml:space="preserve">Možnost zabezpečení heslem proti neoprávněnému přístupu do </w:t>
            </w:r>
            <w:proofErr w:type="gramStart"/>
            <w:r w:rsidRPr="003175B7">
              <w:t>BIOS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AB536" w14:textId="77777777" w:rsidR="003175B7" w:rsidRPr="003175B7" w:rsidRDefault="003175B7" w:rsidP="00A55BA0">
            <w:pPr>
              <w:jc w:val="center"/>
            </w:pP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46CFFA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27FF1650" w14:textId="77777777" w:rsidTr="003175B7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104A8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DC8FC7" w14:textId="77777777" w:rsidR="003175B7" w:rsidRPr="003175B7" w:rsidRDefault="003175B7" w:rsidP="00A55BA0">
            <w:r w:rsidRPr="003175B7">
              <w:t>Možnost zablokování zavedení operačního systému z periférií.</w:t>
            </w:r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848AC1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CBD033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57F0FDF1" w14:textId="77777777" w:rsidTr="003175B7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7B031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1FEF2F6" w14:textId="77777777" w:rsidR="003175B7" w:rsidRPr="003175B7" w:rsidRDefault="003175B7" w:rsidP="00A55BA0">
            <w:r w:rsidRPr="003175B7">
              <w:t>Možnost zaměnit BIOS za UEFI (</w:t>
            </w:r>
            <w:proofErr w:type="spellStart"/>
            <w:r w:rsidRPr="003175B7">
              <w:t>Unified</w:t>
            </w:r>
            <w:proofErr w:type="spellEnd"/>
            <w:r w:rsidRPr="003175B7">
              <w:t xml:space="preserve"> </w:t>
            </w:r>
            <w:proofErr w:type="spellStart"/>
            <w:r w:rsidRPr="003175B7">
              <w:t>Extensible</w:t>
            </w:r>
            <w:proofErr w:type="spellEnd"/>
            <w:r w:rsidRPr="003175B7">
              <w:t xml:space="preserve"> Firmware Interface)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BB92D2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2FC6664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7F3663DD" w14:textId="77777777" w:rsidTr="003175B7">
        <w:trPr>
          <w:trHeight w:val="315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AEAE1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219BE4" w14:textId="77777777" w:rsidR="003175B7" w:rsidRPr="003175B7" w:rsidRDefault="003175B7" w:rsidP="00A55BA0">
            <w:r w:rsidRPr="003175B7">
              <w:t>Možnost zablokování vybraných zařízení (periférií) tak, aby s nimi nemohl pracovat OS.</w:t>
            </w:r>
          </w:p>
        </w:tc>
        <w:tc>
          <w:tcPr>
            <w:tcW w:w="471" w:type="pct"/>
            <w:tcBorders>
              <w:top w:val="dotted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667815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6199A03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127D7102" w14:textId="77777777" w:rsidTr="003175B7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22260" w14:textId="77777777" w:rsidR="003175B7" w:rsidRPr="003175B7" w:rsidRDefault="003175B7" w:rsidP="00A55BA0">
            <w:r w:rsidRPr="003175B7">
              <w:t>Pevný disk</w:t>
            </w:r>
          </w:p>
        </w:tc>
        <w:tc>
          <w:tcPr>
            <w:tcW w:w="1731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0D97EA" w14:textId="77777777" w:rsidR="003175B7" w:rsidRPr="003175B7" w:rsidRDefault="003175B7" w:rsidP="00A55BA0">
            <w:r w:rsidRPr="003175B7">
              <w:t>SSD M2 slot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1389BA16" w14:textId="77777777" w:rsidR="003175B7" w:rsidRPr="003175B7" w:rsidRDefault="003175B7" w:rsidP="00A55BA0">
            <w:r w:rsidRPr="003175B7">
              <w:t>kapacita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B49BCF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CA286C" w14:textId="77777777" w:rsidR="003175B7" w:rsidRPr="003175B7" w:rsidRDefault="003175B7" w:rsidP="00A55BA0">
            <w:r w:rsidRPr="003175B7">
              <w:t>500GB</w:t>
            </w:r>
          </w:p>
        </w:tc>
      </w:tr>
      <w:tr w:rsidR="003175B7" w14:paraId="3F6FB132" w14:textId="77777777" w:rsidTr="003175B7">
        <w:trPr>
          <w:trHeight w:val="28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50EEC" w14:textId="77777777" w:rsidR="003175B7" w:rsidRPr="003175B7" w:rsidRDefault="003175B7" w:rsidP="00A55BA0"/>
        </w:tc>
        <w:tc>
          <w:tcPr>
            <w:tcW w:w="1731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CFA7296" w14:textId="77777777" w:rsidR="003175B7" w:rsidRPr="003175B7" w:rsidRDefault="003175B7" w:rsidP="00A55BA0"/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0AD243" w14:textId="77777777" w:rsidR="003175B7" w:rsidRPr="003175B7" w:rsidRDefault="003175B7" w:rsidP="00A55BA0">
            <w:r w:rsidRPr="003175B7">
              <w:t xml:space="preserve">rychlost čtení / zápis </w:t>
            </w:r>
            <w:proofErr w:type="spellStart"/>
            <w:r w:rsidRPr="003175B7">
              <w:t>Mb</w:t>
            </w:r>
            <w:proofErr w:type="spellEnd"/>
            <w:r w:rsidRPr="003175B7">
              <w:t xml:space="preserve"> / sec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313227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35DC588" w14:textId="77777777" w:rsidR="003175B7" w:rsidRPr="003175B7" w:rsidRDefault="003175B7" w:rsidP="00A55BA0">
            <w:r w:rsidRPr="003175B7">
              <w:t>2000/2000</w:t>
            </w:r>
          </w:p>
        </w:tc>
      </w:tr>
      <w:tr w:rsidR="003175B7" w14:paraId="6B77F61A" w14:textId="77777777" w:rsidTr="003175B7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DAD3F" w14:textId="77777777" w:rsidR="003175B7" w:rsidRPr="003175B7" w:rsidRDefault="003175B7" w:rsidP="00A55BA0">
            <w:r w:rsidRPr="003175B7">
              <w:t>Základní deska</w:t>
            </w:r>
          </w:p>
        </w:tc>
        <w:tc>
          <w:tcPr>
            <w:tcW w:w="2539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1C1ACF" w14:textId="77777777" w:rsidR="003175B7" w:rsidRPr="003175B7" w:rsidRDefault="003175B7" w:rsidP="00A55BA0">
            <w:r w:rsidRPr="003175B7">
              <w:t xml:space="preserve">Integrovaná síťová karta - 100/1000 </w:t>
            </w:r>
            <w:proofErr w:type="spellStart"/>
            <w:r w:rsidRPr="003175B7">
              <w:t>Mbit</w:t>
            </w:r>
            <w:proofErr w:type="spellEnd"/>
            <w:r w:rsidRPr="003175B7">
              <w:t xml:space="preserve">/sec, RJ45, </w:t>
            </w:r>
            <w:proofErr w:type="spellStart"/>
            <w:r w:rsidRPr="003175B7">
              <w:t>Wake</w:t>
            </w:r>
            <w:proofErr w:type="spellEnd"/>
            <w:r w:rsidRPr="003175B7">
              <w:t xml:space="preserve"> on LAN, podpora "802.1X", PXE (</w:t>
            </w:r>
            <w:proofErr w:type="spellStart"/>
            <w:r w:rsidRPr="003175B7">
              <w:t>Preboot</w:t>
            </w:r>
            <w:proofErr w:type="spellEnd"/>
            <w:r w:rsidRPr="003175B7">
              <w:t xml:space="preserve"> </w:t>
            </w:r>
            <w:proofErr w:type="spellStart"/>
            <w:r w:rsidRPr="003175B7">
              <w:t>eXecution</w:t>
            </w:r>
            <w:proofErr w:type="spellEnd"/>
            <w:r w:rsidRPr="003175B7">
              <w:t xml:space="preserve"> </w:t>
            </w:r>
            <w:proofErr w:type="spellStart"/>
            <w:r w:rsidRPr="003175B7">
              <w:t>Environment</w:t>
            </w:r>
            <w:proofErr w:type="spellEnd"/>
            <w:r w:rsidRPr="003175B7"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3D57A3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1C57B2ED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75A6A44B" w14:textId="77777777" w:rsidTr="003175B7">
        <w:trPr>
          <w:trHeight w:val="300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932A3" w14:textId="77777777" w:rsidR="003175B7" w:rsidRPr="003175B7" w:rsidRDefault="003175B7" w:rsidP="00A55BA0"/>
        </w:tc>
        <w:tc>
          <w:tcPr>
            <w:tcW w:w="2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888655" w14:textId="77777777" w:rsidR="003175B7" w:rsidRPr="003175B7" w:rsidRDefault="003175B7" w:rsidP="00A55BA0">
            <w:r w:rsidRPr="003175B7">
              <w:t>Integrovaná zvuková karta</w:t>
            </w:r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96531A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FEFFC2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6C571CAD" w14:textId="77777777" w:rsidTr="003175B7">
        <w:trPr>
          <w:trHeight w:val="43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9C3F7" w14:textId="77777777" w:rsidR="003175B7" w:rsidRPr="003175B7" w:rsidRDefault="003175B7" w:rsidP="00A55BA0"/>
        </w:tc>
        <w:tc>
          <w:tcPr>
            <w:tcW w:w="1731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DF91CD" w14:textId="77777777" w:rsidR="003175B7" w:rsidRPr="003175B7" w:rsidRDefault="003175B7" w:rsidP="00A55BA0">
            <w:r w:rsidRPr="003175B7">
              <w:t>Integrovaná konektivita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952B8" w14:textId="77777777" w:rsidR="003175B7" w:rsidRPr="003175B7" w:rsidRDefault="003175B7" w:rsidP="00A55BA0">
            <w:r w:rsidRPr="003175B7">
              <w:t>USB 2.0, USB 3.0 (nebo vyšší)</w:t>
            </w:r>
          </w:p>
        </w:tc>
        <w:tc>
          <w:tcPr>
            <w:tcW w:w="47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17303E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4DA2745E" w14:textId="77777777" w:rsidR="003175B7" w:rsidRPr="003175B7" w:rsidRDefault="003175B7" w:rsidP="00A55BA0">
            <w:r w:rsidRPr="003175B7">
              <w:t>3x</w:t>
            </w:r>
          </w:p>
        </w:tc>
      </w:tr>
      <w:tr w:rsidR="003175B7" w14:paraId="448C4AC8" w14:textId="77777777" w:rsidTr="003175B7">
        <w:trPr>
          <w:trHeight w:val="300"/>
        </w:trPr>
        <w:tc>
          <w:tcPr>
            <w:tcW w:w="745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4F41394" w14:textId="77777777" w:rsidR="003175B7" w:rsidRPr="003175B7" w:rsidRDefault="003175B7" w:rsidP="00A55BA0">
            <w:r w:rsidRPr="003175B7">
              <w:t>Napájecí zdroj</w:t>
            </w:r>
          </w:p>
        </w:tc>
        <w:tc>
          <w:tcPr>
            <w:tcW w:w="2539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2A002FD" w14:textId="77777777" w:rsidR="003175B7" w:rsidRPr="003175B7" w:rsidRDefault="003175B7" w:rsidP="00A55BA0">
            <w:r w:rsidRPr="003175B7">
              <w:t>Výkon odpovídající stabilnímu chodu sestavy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9F5ECE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004D5D6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742C0130" w14:textId="77777777" w:rsidTr="003175B7">
        <w:trPr>
          <w:trHeight w:val="330"/>
        </w:trPr>
        <w:tc>
          <w:tcPr>
            <w:tcW w:w="745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DC4E7" w14:textId="77777777" w:rsidR="003175B7" w:rsidRPr="003175B7" w:rsidRDefault="003175B7" w:rsidP="00A55BA0">
            <w:pPr>
              <w:jc w:val="center"/>
            </w:pPr>
            <w:r w:rsidRPr="003175B7">
              <w:t>Skříň</w:t>
            </w:r>
          </w:p>
        </w:tc>
        <w:tc>
          <w:tcPr>
            <w:tcW w:w="25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17C17C" w14:textId="77777777" w:rsidR="003175B7" w:rsidRPr="003175B7" w:rsidRDefault="003175B7" w:rsidP="00A55BA0">
            <w:r w:rsidRPr="003175B7">
              <w:t>Provedení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669DA6" w14:textId="77777777" w:rsidR="003175B7" w:rsidRPr="003175B7" w:rsidRDefault="003175B7" w:rsidP="00A55BA0">
            <w:pPr>
              <w:jc w:val="center"/>
            </w:pP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BA967D" w14:textId="77777777" w:rsidR="003175B7" w:rsidRPr="003175B7" w:rsidRDefault="003175B7" w:rsidP="00A55BA0">
            <w:r w:rsidRPr="003175B7">
              <w:t>AIO</w:t>
            </w:r>
          </w:p>
        </w:tc>
      </w:tr>
      <w:tr w:rsidR="003175B7" w14:paraId="78D41B01" w14:textId="77777777" w:rsidTr="003175B7">
        <w:trPr>
          <w:trHeight w:val="660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368F17" w14:textId="77777777" w:rsidR="003175B7" w:rsidRPr="003175B7" w:rsidRDefault="003175B7" w:rsidP="00A55BA0">
            <w:r w:rsidRPr="003175B7">
              <w:t>Systémová platforma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1C3A8C" w14:textId="77777777" w:rsidR="003175B7" w:rsidRPr="003175B7" w:rsidRDefault="003175B7" w:rsidP="00A55BA0">
            <w:r w:rsidRPr="003175B7">
              <w:t>Základní předinstalované programové vybavení (image na disku) - OS OEM MS Windows 10/11 Professional CZ  64 bit.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EFADB" w14:textId="77777777" w:rsidR="003175B7" w:rsidRPr="003175B7" w:rsidRDefault="003175B7" w:rsidP="00A55BA0">
            <w:pPr>
              <w:jc w:val="center"/>
            </w:pPr>
            <w:r w:rsidRPr="003175B7">
              <w:t> 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EA6FE8" w14:textId="77777777" w:rsidR="003175B7" w:rsidRPr="003175B7" w:rsidRDefault="003175B7" w:rsidP="00A55BA0">
            <w:r w:rsidRPr="003175B7">
              <w:t>ano</w:t>
            </w:r>
          </w:p>
        </w:tc>
      </w:tr>
      <w:tr w:rsidR="003175B7" w14:paraId="36DA541B" w14:textId="77777777" w:rsidTr="003175B7">
        <w:trPr>
          <w:trHeight w:val="300"/>
        </w:trPr>
        <w:tc>
          <w:tcPr>
            <w:tcW w:w="74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CDBC9" w14:textId="77777777" w:rsidR="003175B7" w:rsidRPr="003175B7" w:rsidRDefault="003175B7" w:rsidP="00A55BA0">
            <w:r w:rsidRPr="003175B7">
              <w:t>Záruka</w:t>
            </w:r>
          </w:p>
        </w:tc>
        <w:tc>
          <w:tcPr>
            <w:tcW w:w="25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8B9E8" w14:textId="77777777" w:rsidR="003175B7" w:rsidRPr="003175B7" w:rsidRDefault="003175B7" w:rsidP="00A55BA0">
            <w:r w:rsidRPr="003175B7">
              <w:t xml:space="preserve">Záruka v ČR garantovaná výrobcem 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0FE48" w14:textId="77777777" w:rsidR="003175B7" w:rsidRPr="003175B7" w:rsidRDefault="003175B7" w:rsidP="00A55BA0">
            <w:pPr>
              <w:jc w:val="center"/>
            </w:pPr>
            <w:r w:rsidRPr="003175B7">
              <w:t>min.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D7D385" w14:textId="77777777" w:rsidR="003175B7" w:rsidRPr="003175B7" w:rsidRDefault="003175B7" w:rsidP="00A55BA0">
            <w:r w:rsidRPr="003175B7">
              <w:t>2 roky</w:t>
            </w:r>
          </w:p>
        </w:tc>
      </w:tr>
    </w:tbl>
    <w:p w14:paraId="4073F216" w14:textId="77777777" w:rsidR="003175B7" w:rsidRDefault="003175B7" w:rsidP="00094B12"/>
    <w:sectPr w:rsidR="003175B7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9B80" w14:textId="77777777" w:rsidR="006E4F12" w:rsidRDefault="006E4F12" w:rsidP="00FF18EB">
      <w:pPr>
        <w:spacing w:line="240" w:lineRule="auto"/>
      </w:pPr>
      <w:r>
        <w:separator/>
      </w:r>
    </w:p>
    <w:p w14:paraId="12CC46DC" w14:textId="77777777" w:rsidR="006E4F12" w:rsidRDefault="006E4F12"/>
  </w:endnote>
  <w:endnote w:type="continuationSeparator" w:id="0">
    <w:p w14:paraId="0D265B3D" w14:textId="77777777" w:rsidR="006E4F12" w:rsidRDefault="006E4F12" w:rsidP="00FF18EB">
      <w:pPr>
        <w:spacing w:line="240" w:lineRule="auto"/>
      </w:pPr>
      <w:r>
        <w:continuationSeparator/>
      </w:r>
    </w:p>
    <w:p w14:paraId="1386FBB2" w14:textId="77777777" w:rsidR="006E4F12" w:rsidRDefault="006E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735407F5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7922A8" w:rsidRPr="007922A8">
          <w:rPr>
            <w:rFonts w:ascii="Arial" w:hAnsi="Arial"/>
            <w:noProof/>
            <w:sz w:val="20"/>
            <w:lang w:val="cs-CZ"/>
          </w:rPr>
          <w:t>7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DCF6" w14:textId="77777777" w:rsidR="006E4F12" w:rsidRDefault="006E4F12" w:rsidP="00FF18EB">
      <w:pPr>
        <w:spacing w:line="240" w:lineRule="auto"/>
      </w:pPr>
      <w:r>
        <w:separator/>
      </w:r>
    </w:p>
    <w:p w14:paraId="644FAD2B" w14:textId="77777777" w:rsidR="006E4F12" w:rsidRDefault="006E4F12"/>
  </w:footnote>
  <w:footnote w:type="continuationSeparator" w:id="0">
    <w:p w14:paraId="7BF9D5F1" w14:textId="77777777" w:rsidR="006E4F12" w:rsidRDefault="006E4F12" w:rsidP="00FF18EB">
      <w:pPr>
        <w:spacing w:line="240" w:lineRule="auto"/>
      </w:pPr>
      <w:r>
        <w:continuationSeparator/>
      </w:r>
    </w:p>
    <w:p w14:paraId="3A917E9B" w14:textId="77777777" w:rsidR="006E4F12" w:rsidRDefault="006E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C2E4" w14:textId="3F2BBCD1" w:rsidR="0074273F" w:rsidRPr="0074273F" w:rsidRDefault="0074273F" w:rsidP="0074273F">
    <w:pPr>
      <w:pStyle w:val="Zhlav"/>
      <w:jc w:val="right"/>
      <w:rPr>
        <w:lang w:val="cs-CZ"/>
      </w:rPr>
    </w:pPr>
    <w:r>
      <w:rPr>
        <w:lang w:val="cs-CZ"/>
      </w:rPr>
      <w:t>KP/</w:t>
    </w:r>
    <w:r w:rsidR="001B2CFE">
      <w:rPr>
        <w:lang w:val="cs-CZ"/>
      </w:rPr>
      <w:t>2242/2025/</w:t>
    </w:r>
    <w:proofErr w:type="spellStart"/>
    <w:r w:rsidR="001B2CFE">
      <w:rPr>
        <w:lang w:val="cs-CZ"/>
      </w:rPr>
      <w:t>Lm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1D9"/>
    <w:multiLevelType w:val="hybridMultilevel"/>
    <w:tmpl w:val="B0309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3577"/>
    <w:multiLevelType w:val="hybridMultilevel"/>
    <w:tmpl w:val="67581CD2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657F3"/>
    <w:multiLevelType w:val="hybridMultilevel"/>
    <w:tmpl w:val="929A8A22"/>
    <w:lvl w:ilvl="0" w:tplc="040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7CF0"/>
    <w:multiLevelType w:val="hybridMultilevel"/>
    <w:tmpl w:val="20F4A862"/>
    <w:lvl w:ilvl="0" w:tplc="0405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8916CBC"/>
    <w:multiLevelType w:val="multilevel"/>
    <w:tmpl w:val="6A468962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C5B04"/>
    <w:multiLevelType w:val="hybridMultilevel"/>
    <w:tmpl w:val="57D85770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1"/>
  </w:num>
  <w:num w:numId="5">
    <w:abstractNumId w:val="16"/>
  </w:num>
  <w:num w:numId="6">
    <w:abstractNumId w:val="1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10"/>
  </w:num>
  <w:num w:numId="19">
    <w:abstractNumId w:val="0"/>
  </w:num>
  <w:num w:numId="20">
    <w:abstractNumId w:val="8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0E7F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652FE"/>
    <w:rsid w:val="0006532A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D6BFC"/>
    <w:rsid w:val="000F4C59"/>
    <w:rsid w:val="001023A1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0D92"/>
    <w:rsid w:val="00181B85"/>
    <w:rsid w:val="00182640"/>
    <w:rsid w:val="00183226"/>
    <w:rsid w:val="00183727"/>
    <w:rsid w:val="00185F96"/>
    <w:rsid w:val="001874D4"/>
    <w:rsid w:val="00196288"/>
    <w:rsid w:val="001A3D28"/>
    <w:rsid w:val="001B2CFE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050C7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DF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2F736D"/>
    <w:rsid w:val="003073CD"/>
    <w:rsid w:val="003122E6"/>
    <w:rsid w:val="00312759"/>
    <w:rsid w:val="003175B7"/>
    <w:rsid w:val="00327588"/>
    <w:rsid w:val="00330DC4"/>
    <w:rsid w:val="003360BF"/>
    <w:rsid w:val="00341AD8"/>
    <w:rsid w:val="003477DB"/>
    <w:rsid w:val="00351229"/>
    <w:rsid w:val="00354D6A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6090C"/>
    <w:rsid w:val="004820A4"/>
    <w:rsid w:val="00487BCE"/>
    <w:rsid w:val="00494052"/>
    <w:rsid w:val="004A1880"/>
    <w:rsid w:val="004A3010"/>
    <w:rsid w:val="004A6335"/>
    <w:rsid w:val="004B52F7"/>
    <w:rsid w:val="004B5BAE"/>
    <w:rsid w:val="004B647F"/>
    <w:rsid w:val="004B7BE2"/>
    <w:rsid w:val="004C2151"/>
    <w:rsid w:val="004D237F"/>
    <w:rsid w:val="004E74F7"/>
    <w:rsid w:val="004F3A6F"/>
    <w:rsid w:val="005013EF"/>
    <w:rsid w:val="00503008"/>
    <w:rsid w:val="00506DFF"/>
    <w:rsid w:val="005153A4"/>
    <w:rsid w:val="0051540C"/>
    <w:rsid w:val="005203B5"/>
    <w:rsid w:val="00521953"/>
    <w:rsid w:val="00521D38"/>
    <w:rsid w:val="005371E9"/>
    <w:rsid w:val="00546C21"/>
    <w:rsid w:val="005515B0"/>
    <w:rsid w:val="00560C16"/>
    <w:rsid w:val="005627DD"/>
    <w:rsid w:val="00563528"/>
    <w:rsid w:val="00566409"/>
    <w:rsid w:val="00571D58"/>
    <w:rsid w:val="0057465B"/>
    <w:rsid w:val="00584B72"/>
    <w:rsid w:val="0058691F"/>
    <w:rsid w:val="00586BB3"/>
    <w:rsid w:val="005A31F8"/>
    <w:rsid w:val="005A3B45"/>
    <w:rsid w:val="005A6D97"/>
    <w:rsid w:val="005B3940"/>
    <w:rsid w:val="005B688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1A3A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27B78"/>
    <w:rsid w:val="00633149"/>
    <w:rsid w:val="006369BD"/>
    <w:rsid w:val="006412CC"/>
    <w:rsid w:val="00642628"/>
    <w:rsid w:val="00642C81"/>
    <w:rsid w:val="00656B08"/>
    <w:rsid w:val="00660EC1"/>
    <w:rsid w:val="0067085F"/>
    <w:rsid w:val="00670A36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4F12"/>
    <w:rsid w:val="006E54D0"/>
    <w:rsid w:val="006E7930"/>
    <w:rsid w:val="006F6297"/>
    <w:rsid w:val="00705FC9"/>
    <w:rsid w:val="00706012"/>
    <w:rsid w:val="0070757B"/>
    <w:rsid w:val="00713B7F"/>
    <w:rsid w:val="0071478F"/>
    <w:rsid w:val="007157D9"/>
    <w:rsid w:val="00735D41"/>
    <w:rsid w:val="0073763C"/>
    <w:rsid w:val="0074273F"/>
    <w:rsid w:val="00743435"/>
    <w:rsid w:val="00744E5D"/>
    <w:rsid w:val="00746227"/>
    <w:rsid w:val="00750739"/>
    <w:rsid w:val="0075205D"/>
    <w:rsid w:val="00775695"/>
    <w:rsid w:val="00787C20"/>
    <w:rsid w:val="007922A8"/>
    <w:rsid w:val="00794661"/>
    <w:rsid w:val="00795312"/>
    <w:rsid w:val="0079592F"/>
    <w:rsid w:val="007A084F"/>
    <w:rsid w:val="007A1C4B"/>
    <w:rsid w:val="007A5BAB"/>
    <w:rsid w:val="007A70F3"/>
    <w:rsid w:val="007B7887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0683D"/>
    <w:rsid w:val="00916EE4"/>
    <w:rsid w:val="009206F6"/>
    <w:rsid w:val="0092292F"/>
    <w:rsid w:val="00924699"/>
    <w:rsid w:val="00931C39"/>
    <w:rsid w:val="00932EBD"/>
    <w:rsid w:val="009343BC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4FC"/>
    <w:rsid w:val="009C2784"/>
    <w:rsid w:val="009C7D00"/>
    <w:rsid w:val="009D3B32"/>
    <w:rsid w:val="009E1C26"/>
    <w:rsid w:val="009E4B10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0DF8"/>
    <w:rsid w:val="00A24A8D"/>
    <w:rsid w:val="00A31178"/>
    <w:rsid w:val="00A36B03"/>
    <w:rsid w:val="00A4060F"/>
    <w:rsid w:val="00A516F5"/>
    <w:rsid w:val="00A51741"/>
    <w:rsid w:val="00A51E29"/>
    <w:rsid w:val="00A52F13"/>
    <w:rsid w:val="00A71BE8"/>
    <w:rsid w:val="00A73431"/>
    <w:rsid w:val="00A739A7"/>
    <w:rsid w:val="00A73C62"/>
    <w:rsid w:val="00A74BD6"/>
    <w:rsid w:val="00A75857"/>
    <w:rsid w:val="00A77DC6"/>
    <w:rsid w:val="00A87EEE"/>
    <w:rsid w:val="00A92F5B"/>
    <w:rsid w:val="00A9354F"/>
    <w:rsid w:val="00A937E1"/>
    <w:rsid w:val="00AA0B1A"/>
    <w:rsid w:val="00AA378C"/>
    <w:rsid w:val="00AA4B53"/>
    <w:rsid w:val="00AB13EA"/>
    <w:rsid w:val="00AB1F0E"/>
    <w:rsid w:val="00AB2F46"/>
    <w:rsid w:val="00AB799A"/>
    <w:rsid w:val="00AC06B9"/>
    <w:rsid w:val="00AC3D88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361F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81E48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BCD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373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320C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274E"/>
    <w:rsid w:val="00E73ADF"/>
    <w:rsid w:val="00E76E3A"/>
    <w:rsid w:val="00E80D56"/>
    <w:rsid w:val="00E80E5D"/>
    <w:rsid w:val="00E826DA"/>
    <w:rsid w:val="00E84314"/>
    <w:rsid w:val="00E9244D"/>
    <w:rsid w:val="00E928B3"/>
    <w:rsid w:val="00EA0F46"/>
    <w:rsid w:val="00EB0962"/>
    <w:rsid w:val="00EB6947"/>
    <w:rsid w:val="00EB7849"/>
    <w:rsid w:val="00EC68C2"/>
    <w:rsid w:val="00ED3A3E"/>
    <w:rsid w:val="00ED41AA"/>
    <w:rsid w:val="00ED7C48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02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A33E27A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EC68C2"/>
    <w:pPr>
      <w:numPr>
        <w:numId w:val="4"/>
      </w:numPr>
      <w:spacing w:before="120" w:after="120" w:line="240" w:lineRule="auto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qFormat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EC68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EC68C2"/>
    <w:pPr>
      <w:numPr>
        <w:ilvl w:val="1"/>
        <w:numId w:val="4"/>
      </w:numPr>
      <w:spacing w:after="120"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EC68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E48D6-F4FC-411E-98C1-B8248744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F037C0-BC7F-4E36-9504-36688836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2728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Lámerová Barbora</cp:lastModifiedBy>
  <cp:revision>4</cp:revision>
  <cp:lastPrinted>2025-05-30T06:51:00Z</cp:lastPrinted>
  <dcterms:created xsi:type="dcterms:W3CDTF">2025-05-30T06:51:00Z</dcterms:created>
  <dcterms:modified xsi:type="dcterms:W3CDTF">2025-05-30T07:02:00Z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