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c.JH312408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79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2857500" cy="55880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27432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TestLine Clinical Diagnostics s.r.o.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Křižíkova 188/68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61200 Brno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4" name="Freeform 104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7" name="Freeform 107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8" name="Freeform 108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2576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3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5" w:lineRule="exact"/>
        <w:ind w:left="103" w:right="-4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  </w:t>
      </w:r>
      <w:r/>
      <w:r>
        <w:rPr lang="cs-CZ" sz="18" baseline="0" dirty="0">
          <w:jc w:val="left"/>
          <w:rFonts w:ascii="Arial" w:hAnsi="Arial" w:cs="Arial"/>
          <w:b/>
          <w:bCs/>
          <w:color w:val="FF0000"/>
          <w:spacing w:val="-1"/>
          <w:sz w:val="18"/>
          <w:szCs w:val="18"/>
        </w:rPr>
        <w:t>MÍSTO DODÁNÍ: MIKROBIOLOGIE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47913240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CZ47913240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541 243 390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779" w:space="13"/>
            <w:col w:w="3400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6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order@testlinecd.com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243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BD-BGL024_JH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BlueBLOT-LINE Borrelia IgG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7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 bal = 24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37" w:space="2337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BD-BML024_JH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BlueBLOT-LINE Borrelia IgM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20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 bal = 24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BD-CAL024_JH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BlueBLOT-LINE Chlamydia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78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IgA 1 bal = 24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30" w:space="244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BD-CGL024_JH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BlueBLOT-LINE Chlamydia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2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IgG 1 bal = 24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TgA096_JH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EIA Toxoplasma IgA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96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22" w:space="2452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TgE096_JH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EIA Toxoplasma IgE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96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7065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88 066,22 Kč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225" w:lineRule="exact"/>
        <w:ind w:left="103" w:right="5317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MÍSTO DODÁNÍ: MIKROBIOLOGIE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2025-06-10 08:23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42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4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6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0" locked="0" layoutInCell="1" allowOverlap="1">
            <wp:simplePos x="0" y="0"/>
            <wp:positionH relativeFrom="page">
              <wp:posOffset>5462942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6469935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6570634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100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4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0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8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278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http://www.tcpdf.org/"/><Relationship Id="rId103" Type="http://schemas.openxmlformats.org/officeDocument/2006/relationships/hyperlink" TargetMode="External" Target="mailto:obchodni@nemjh.cz"/><Relationship Id="rId106" Type="http://schemas.openxmlformats.org/officeDocument/2006/relationships/hyperlink" TargetMode="External" Target="mailto:order@testlinecd.com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2025-06-10T08:14:51Z</dcterms:created>
  <dcterms:modified xsi:type="dcterms:W3CDTF">2025-06-10T08:14:51Z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