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550/2025</w:t>
      </w:r>
      <w:bookmarkEnd w:id="6"/>
      <w:bookmarkEnd w:id="7"/>
      <w:bookmarkEnd w:id="8"/>
    </w:p>
    <w:p>
      <w:pPr>
        <w:pStyle w:val="Style5"/>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28/05/2025</w:t>
      </w:r>
      <w:bookmarkEnd w:id="10"/>
      <w:bookmarkEnd w:id="11"/>
      <w:bookmarkEnd w:id="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“PPV, Březenec - porucha hráze – havárie”</w:t>
      </w:r>
    </w:p>
    <w:p>
      <w:pPr>
        <w:pStyle w:val="Style5"/>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5"/>
        <w:keepNext/>
        <w:keepLines/>
        <w:widowControl w:val="0"/>
        <w:shd w:val="clear" w:color="auto" w:fill="auto"/>
        <w:tabs>
          <w:tab w:pos="2777"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5"/>
        <w:keepNext/>
        <w:keepLines/>
        <w:widowControl w:val="0"/>
        <w:shd w:val="clear" w:color="auto" w:fill="auto"/>
        <w:tabs>
          <w:tab w:pos="277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5"/>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5"/>
        <w:keepNext/>
        <w:keepLines/>
        <w:widowControl w:val="0"/>
        <w:shd w:val="clear" w:color="auto" w:fill="auto"/>
        <w:tabs>
          <w:tab w:pos="2777"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5"/>
        <w:keepNext/>
        <w:keepLines/>
        <w:widowControl w:val="0"/>
        <w:shd w:val="clear" w:color="auto" w:fill="auto"/>
        <w:tabs>
          <w:tab w:pos="2777"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5"/>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5"/>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5"/>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5"/>
        <w:keepNext/>
        <w:keepLines/>
        <w:widowControl w:val="0"/>
        <w:shd w:val="clear" w:color="auto" w:fill="auto"/>
        <w:tabs>
          <w:tab w:pos="2777"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Bauvant s.r.o.</w:t>
      </w:r>
      <w:bookmarkEnd w:id="47"/>
      <w:bookmarkEnd w:id="48"/>
      <w:bookmarkEnd w:id="49"/>
    </w:p>
    <w:p>
      <w:pPr>
        <w:pStyle w:val="Style5"/>
        <w:keepNext/>
        <w:keepLines/>
        <w:widowControl w:val="0"/>
        <w:shd w:val="clear" w:color="auto" w:fill="auto"/>
        <w:tabs>
          <w:tab w:pos="2777"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Karla Engliše 1499/15, 150 00 Praha 5</w:t>
      </w:r>
      <w:bookmarkEnd w:id="50"/>
      <w:bookmarkEnd w:id="51"/>
      <w:bookmarkEnd w:id="52"/>
    </w:p>
    <w:p>
      <w:pPr>
        <w:pStyle w:val="Style5"/>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5"/>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5"/>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5"/>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5"/>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5"/>
        <w:keepNext/>
        <w:keepLines/>
        <w:widowControl w:val="0"/>
        <w:shd w:val="clear" w:color="auto" w:fill="auto"/>
        <w:tabs>
          <w:tab w:pos="2777"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27449416</w:t>
      </w:r>
      <w:bookmarkEnd w:id="69"/>
      <w:bookmarkEnd w:id="70"/>
      <w:bookmarkEnd w:id="71"/>
    </w:p>
    <w:p>
      <w:pPr>
        <w:pStyle w:val="Style5"/>
        <w:keepNext/>
        <w:keepLines/>
        <w:widowControl w:val="0"/>
        <w:shd w:val="clear" w:color="auto" w:fill="auto"/>
        <w:tabs>
          <w:tab w:pos="2777"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CZ27449416</w:t>
      </w:r>
      <w:bookmarkEnd w:id="72"/>
      <w:bookmarkEnd w:id="73"/>
      <w:bookmarkEnd w:id="74"/>
    </w:p>
    <w:p>
      <w:pPr>
        <w:pStyle w:val="Style5"/>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5"/>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5"/>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Městského soudu v Praze oddíl C vložka 113539</w:t>
      </w:r>
      <w:bookmarkEnd w:id="81"/>
      <w:bookmarkEnd w:id="82"/>
      <w:bookmarkEnd w:id="83"/>
    </w:p>
    <w:p>
      <w:pPr>
        <w:pStyle w:val="Style5"/>
        <w:keepNext/>
        <w:keepLines/>
        <w:widowControl w:val="0"/>
        <w:shd w:val="clear" w:color="auto" w:fill="auto"/>
        <w:tabs>
          <w:tab w:pos="2777" w:val="left"/>
        </w:tabs>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tel.:</w:t>
        <w:tab/>
        <w:t>e-mail:</w:t>
      </w:r>
      <w:bookmarkEnd w:id="84"/>
      <w:bookmarkEnd w:id="85"/>
      <w:bookmarkEnd w:id="86"/>
    </w:p>
    <w:p>
      <w:pPr>
        <w:pStyle w:val="Style5"/>
        <w:keepNext/>
        <w:keepLines/>
        <w:widowControl w:val="0"/>
        <w:shd w:val="clear" w:color="auto" w:fill="auto"/>
        <w:bidi w:val="0"/>
        <w:spacing w:before="0" w:after="18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„PPV, Březenec - porucha hráze – havárie” (dále jen „Veřejná zakázka“), ve kterém byla nabídka zhotovitele vyhodnocena jako ekonomicky nejvýhodnější.</w:t>
      </w:r>
      <w:bookmarkEnd w:id="90"/>
      <w:bookmarkEnd w:id="91"/>
      <w:bookmarkEnd w:id="93"/>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Předmětem veřejné zakázky je sanace mělkého sesuvu vzdušného svahu hráze Březenec, stabilizace navržena odtěžením a sanací kamenným pohozem. Stavbou dojde ke stabilizaci stávajícího vzdušného svahu hráze přivaděče průmyslové vody, čímž dojde ke stabilizaci území a ochraně přilehlých pozemků a staveb před možným poškozením.</w:t>
      </w:r>
      <w:bookmarkEnd w:id="94"/>
      <w:bookmarkEnd w:id="95"/>
      <w:bookmarkEnd w:id="97"/>
    </w:p>
    <w:p>
      <w:pPr>
        <w:pStyle w:val="Style2"/>
        <w:keepNext w:val="0"/>
        <w:keepLines w:val="0"/>
        <w:widowControl w:val="0"/>
        <w:shd w:val="clear" w:color="auto" w:fill="auto"/>
        <w:bidi w:val="0"/>
        <w:spacing w:before="0" w:line="240" w:lineRule="auto"/>
        <w:ind w:left="380" w:right="0" w:firstLine="20"/>
        <w:jc w:val="both"/>
      </w:pPr>
      <w:bookmarkStart w:id="98" w:name="bookmark98"/>
      <w:bookmarkStart w:id="99" w:name="bookmark99"/>
      <w:r>
        <w:rPr>
          <w:color w:val="000000"/>
          <w:spacing w:val="0"/>
          <w:w w:val="100"/>
          <w:position w:val="0"/>
          <w:shd w:val="clear" w:color="auto" w:fill="auto"/>
          <w:lang w:val="cs-CZ" w:eastAsia="cs-CZ" w:bidi="cs-CZ"/>
        </w:rPr>
        <w:t>V rámci stavby se předpokládá pouze mýcení dílčích náletových dřevin a likvidace 1ks pařezu.</w:t>
      </w:r>
      <w:bookmarkEnd w:id="98"/>
      <w:bookmarkEnd w:id="99"/>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„PPV, Březenec - porucha hráze – havárie“ zpracovaná firmou Sweco a.s., Táborská 31, 140 16 Praha 4, IČO 26475081, z 11/2024, která tvoří přílohu č. 2 této smlouvy.</w:t>
      </w:r>
      <w:bookmarkEnd w:id="100"/>
      <w:bookmarkEnd w:id="101"/>
      <w:bookmarkEnd w:id="103"/>
    </w:p>
    <w:p>
      <w:pPr>
        <w:pStyle w:val="Style5"/>
        <w:keepNext/>
        <w:keepLines/>
        <w:widowControl w:val="0"/>
        <w:shd w:val="clear" w:color="auto" w:fill="auto"/>
        <w:bidi w:val="0"/>
        <w:spacing w:before="0" w:after="200" w:line="240" w:lineRule="auto"/>
        <w:ind w:right="0" w:firstLine="20"/>
        <w:jc w:val="both"/>
      </w:pPr>
      <w:bookmarkStart w:id="104" w:name="bookmark104"/>
      <w:bookmarkStart w:id="105" w:name="bookmark105"/>
      <w:bookmarkStart w:id="106" w:name="bookmark106"/>
      <w:r>
        <w:rPr>
          <w:color w:val="000000"/>
          <w:spacing w:val="0"/>
          <w:w w:val="100"/>
          <w:position w:val="0"/>
          <w:shd w:val="clear" w:color="auto" w:fill="auto"/>
          <w:lang w:val="cs-CZ" w:eastAsia="cs-CZ" w:bidi="cs-CZ"/>
        </w:rPr>
        <w:t>Místo provádění díla: PPV - přivaděč průmyslové vody před jeho zaústěním do nádrže Březenec, k. ú. Březenec, kraj Ústecký</w:t>
      </w:r>
      <w:bookmarkEnd w:id="104"/>
      <w:bookmarkEnd w:id="105"/>
      <w:bookmarkEnd w:id="106"/>
    </w:p>
    <w:p>
      <w:pPr>
        <w:pStyle w:val="Style5"/>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 předmět díla se dále považuje:</w:t>
      </w:r>
      <w:bookmarkEnd w:id="107"/>
      <w:bookmarkEnd w:id="108"/>
      <w:bookmarkEnd w:id="110"/>
    </w:p>
    <w:p>
      <w:pPr>
        <w:pStyle w:val="Style5"/>
        <w:keepNext/>
        <w:keepLines/>
        <w:widowControl w:val="0"/>
        <w:numPr>
          <w:ilvl w:val="0"/>
          <w:numId w:val="3"/>
        </w:numPr>
        <w:shd w:val="clear" w:color="auto" w:fill="auto"/>
        <w:tabs>
          <w:tab w:pos="989" w:val="left"/>
        </w:tabs>
        <w:bidi w:val="0"/>
        <w:spacing w:before="0" w:after="0" w:line="240" w:lineRule="auto"/>
        <w:ind w:left="1020" w:right="0" w:hanging="62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podrobného harmonogramu postupu prací, který bude schválen objednatelem,</w:t>
      </w:r>
      <w:bookmarkEnd w:id="111"/>
      <w:bookmarkEnd w:id="112"/>
      <w:bookmarkEnd w:id="114"/>
    </w:p>
    <w:p>
      <w:pPr>
        <w:pStyle w:val="Style5"/>
        <w:keepNext/>
        <w:keepLines/>
        <w:widowControl w:val="0"/>
        <w:numPr>
          <w:ilvl w:val="0"/>
          <w:numId w:val="3"/>
        </w:numPr>
        <w:shd w:val="clear" w:color="auto" w:fill="auto"/>
        <w:tabs>
          <w:tab w:pos="989" w:val="left"/>
        </w:tabs>
        <w:bidi w:val="0"/>
        <w:spacing w:before="0" w:after="0" w:line="240" w:lineRule="auto"/>
        <w:ind w:left="0" w:right="0" w:firstLine="3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ověření a případná aktualizace výskytu a uložení podzemních zařízení</w:t>
      </w:r>
      <w:bookmarkEnd w:id="115"/>
      <w:bookmarkEnd w:id="116"/>
      <w:bookmarkEnd w:id="118"/>
    </w:p>
    <w:p>
      <w:pPr>
        <w:pStyle w:val="Style5"/>
        <w:keepNext/>
        <w:keepLines/>
        <w:widowControl w:val="0"/>
        <w:numPr>
          <w:ilvl w:val="0"/>
          <w:numId w:val="3"/>
        </w:numPr>
        <w:shd w:val="clear" w:color="auto" w:fill="auto"/>
        <w:tabs>
          <w:tab w:pos="989" w:val="left"/>
        </w:tabs>
        <w:bidi w:val="0"/>
        <w:spacing w:before="0" w:after="0" w:line="240" w:lineRule="auto"/>
        <w:ind w:left="1020" w:right="0" w:hanging="62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a předání dokumentace skutečného provedení stavby (1 paré v listinné podobě, 1x v digitální podobě ve formátu.pdf a 1x v digitální podobě v editovatelných formátech .docx, .xls, .dwg apod.), vč. zákresu geodetického zaměření skutečného provedení do katastrální mapy,</w:t>
      </w:r>
      <w:bookmarkEnd w:id="119"/>
      <w:bookmarkEnd w:id="120"/>
      <w:bookmarkEnd w:id="122"/>
    </w:p>
    <w:p>
      <w:pPr>
        <w:pStyle w:val="Style5"/>
        <w:keepNext/>
        <w:keepLines/>
        <w:widowControl w:val="0"/>
        <w:numPr>
          <w:ilvl w:val="0"/>
          <w:numId w:val="3"/>
        </w:numPr>
        <w:shd w:val="clear" w:color="auto" w:fill="auto"/>
        <w:tabs>
          <w:tab w:pos="989" w:val="left"/>
        </w:tabs>
        <w:bidi w:val="0"/>
        <w:spacing w:before="0" w:after="0" w:line="240" w:lineRule="auto"/>
        <w:ind w:left="1020" w:right="0" w:hanging="62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3"/>
      <w:bookmarkEnd w:id="124"/>
      <w:bookmarkEnd w:id="126"/>
    </w:p>
    <w:p>
      <w:pPr>
        <w:pStyle w:val="Style5"/>
        <w:keepNext/>
        <w:keepLines/>
        <w:widowControl w:val="0"/>
        <w:numPr>
          <w:ilvl w:val="0"/>
          <w:numId w:val="3"/>
        </w:numPr>
        <w:shd w:val="clear" w:color="auto" w:fill="auto"/>
        <w:tabs>
          <w:tab w:pos="1108" w:val="left"/>
        </w:tabs>
        <w:bidi w:val="0"/>
        <w:spacing w:before="0" w:after="0" w:line="240" w:lineRule="auto"/>
        <w:ind w:left="1020" w:right="0" w:hanging="62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7"/>
      <w:bookmarkEnd w:id="128"/>
      <w:bookmarkEnd w:id="130"/>
    </w:p>
    <w:p>
      <w:pPr>
        <w:pStyle w:val="Style5"/>
        <w:keepNext/>
        <w:keepLines/>
        <w:widowControl w:val="0"/>
        <w:numPr>
          <w:ilvl w:val="0"/>
          <w:numId w:val="3"/>
        </w:numPr>
        <w:shd w:val="clear" w:color="auto" w:fill="auto"/>
        <w:tabs>
          <w:tab w:pos="1108" w:val="left"/>
        </w:tabs>
        <w:bidi w:val="0"/>
        <w:spacing w:before="0" w:after="0" w:line="240" w:lineRule="auto"/>
        <w:ind w:left="1020" w:right="0" w:hanging="62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1"/>
      <w:bookmarkEnd w:id="132"/>
      <w:bookmarkEnd w:id="134"/>
    </w:p>
    <w:p>
      <w:pPr>
        <w:pStyle w:val="Style5"/>
        <w:keepNext/>
        <w:keepLines/>
        <w:widowControl w:val="0"/>
        <w:numPr>
          <w:ilvl w:val="0"/>
          <w:numId w:val="3"/>
        </w:numPr>
        <w:shd w:val="clear" w:color="auto" w:fill="auto"/>
        <w:tabs>
          <w:tab w:pos="989" w:val="left"/>
        </w:tabs>
        <w:bidi w:val="0"/>
        <w:spacing w:before="0" w:after="0" w:line="240" w:lineRule="auto"/>
        <w:ind w:left="1020" w:right="0" w:hanging="62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35"/>
      <w:bookmarkEnd w:id="136"/>
      <w:bookmarkEnd w:id="138"/>
    </w:p>
    <w:p>
      <w:pPr>
        <w:pStyle w:val="Style5"/>
        <w:keepNext/>
        <w:keepLines/>
        <w:widowControl w:val="0"/>
        <w:numPr>
          <w:ilvl w:val="0"/>
          <w:numId w:val="3"/>
        </w:numPr>
        <w:shd w:val="clear" w:color="auto" w:fill="auto"/>
        <w:tabs>
          <w:tab w:pos="1108" w:val="left"/>
        </w:tabs>
        <w:bidi w:val="0"/>
        <w:spacing w:before="0" w:after="200" w:line="240" w:lineRule="auto"/>
        <w:ind w:left="1020" w:right="0" w:hanging="6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9"/>
      <w:bookmarkEnd w:id="140"/>
      <w:bookmarkEnd w:id="142"/>
    </w:p>
    <w:p>
      <w:pPr>
        <w:pStyle w:val="Style5"/>
        <w:keepNext/>
        <w:keepLines/>
        <w:widowControl w:val="0"/>
        <w:numPr>
          <w:ilvl w:val="0"/>
          <w:numId w:val="3"/>
        </w:numPr>
        <w:shd w:val="clear" w:color="auto" w:fill="auto"/>
        <w:tabs>
          <w:tab w:pos="1087" w:val="left"/>
        </w:tabs>
        <w:bidi w:val="0"/>
        <w:spacing w:before="0" w:after="0" w:line="240" w:lineRule="auto"/>
        <w:ind w:left="1020" w:right="0" w:hanging="60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43"/>
      <w:bookmarkEnd w:id="144"/>
      <w:bookmarkEnd w:id="146"/>
    </w:p>
    <w:p>
      <w:pPr>
        <w:pStyle w:val="Style5"/>
        <w:keepNext/>
        <w:keepLines/>
        <w:widowControl w:val="0"/>
        <w:numPr>
          <w:ilvl w:val="0"/>
          <w:numId w:val="3"/>
        </w:numPr>
        <w:shd w:val="clear" w:color="auto" w:fill="auto"/>
        <w:tabs>
          <w:tab w:pos="1087" w:val="left"/>
        </w:tabs>
        <w:bidi w:val="0"/>
        <w:spacing w:before="0" w:after="0" w:line="240" w:lineRule="auto"/>
        <w:ind w:left="1020" w:right="0" w:hanging="60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7"/>
      <w:bookmarkEnd w:id="148"/>
      <w:bookmarkEnd w:id="150"/>
    </w:p>
    <w:p>
      <w:pPr>
        <w:pStyle w:val="Style5"/>
        <w:keepNext/>
        <w:keepLines/>
        <w:widowControl w:val="0"/>
        <w:numPr>
          <w:ilvl w:val="0"/>
          <w:numId w:val="3"/>
        </w:numPr>
        <w:shd w:val="clear" w:color="auto" w:fill="auto"/>
        <w:tabs>
          <w:tab w:pos="982" w:val="left"/>
        </w:tabs>
        <w:bidi w:val="0"/>
        <w:spacing w:before="0" w:after="0" w:line="240" w:lineRule="auto"/>
        <w:ind w:left="1020" w:right="0" w:hanging="6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zpracování vlastního plánu kontrol a zkoušek, který stanoví odpovědnou osobu za kontrolu a odebírání vzorků</w:t>
      </w:r>
      <w:bookmarkEnd w:id="151"/>
      <w:bookmarkEnd w:id="152"/>
      <w:bookmarkEnd w:id="154"/>
    </w:p>
    <w:p>
      <w:pPr>
        <w:pStyle w:val="Style5"/>
        <w:keepNext/>
        <w:keepLines/>
        <w:widowControl w:val="0"/>
        <w:numPr>
          <w:ilvl w:val="0"/>
          <w:numId w:val="3"/>
        </w:numPr>
        <w:shd w:val="clear" w:color="auto" w:fill="auto"/>
        <w:tabs>
          <w:tab w:pos="1087" w:val="left"/>
        </w:tabs>
        <w:bidi w:val="0"/>
        <w:spacing w:before="0" w:after="0" w:line="240" w:lineRule="auto"/>
        <w:ind w:left="1020" w:right="0" w:hanging="60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5"/>
      <w:bookmarkEnd w:id="156"/>
      <w:bookmarkEnd w:id="158"/>
    </w:p>
    <w:p>
      <w:pPr>
        <w:pStyle w:val="Style5"/>
        <w:keepNext/>
        <w:keepLines/>
        <w:widowControl w:val="0"/>
        <w:numPr>
          <w:ilvl w:val="0"/>
          <w:numId w:val="3"/>
        </w:numPr>
        <w:shd w:val="clear" w:color="auto" w:fill="auto"/>
        <w:tabs>
          <w:tab w:pos="1087" w:val="left"/>
        </w:tabs>
        <w:bidi w:val="0"/>
        <w:spacing w:before="0" w:after="0" w:line="240" w:lineRule="auto"/>
        <w:ind w:left="1020" w:right="0" w:hanging="6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9"/>
      <w:bookmarkEnd w:id="160"/>
      <w:bookmarkEnd w:id="162"/>
    </w:p>
    <w:p>
      <w:pPr>
        <w:pStyle w:val="Style5"/>
        <w:keepNext/>
        <w:keepLines/>
        <w:widowControl w:val="0"/>
        <w:numPr>
          <w:ilvl w:val="0"/>
          <w:numId w:val="3"/>
        </w:numPr>
        <w:shd w:val="clear" w:color="auto" w:fill="auto"/>
        <w:tabs>
          <w:tab w:pos="1087" w:val="left"/>
        </w:tabs>
        <w:bidi w:val="0"/>
        <w:spacing w:before="0" w:after="0" w:line="240" w:lineRule="auto"/>
        <w:ind w:left="1020" w:right="0" w:hanging="60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3"/>
      <w:bookmarkEnd w:id="164"/>
      <w:bookmarkEnd w:id="166"/>
    </w:p>
    <w:p>
      <w:pPr>
        <w:pStyle w:val="Style5"/>
        <w:keepNext/>
        <w:keepLines/>
        <w:widowControl w:val="0"/>
        <w:numPr>
          <w:ilvl w:val="0"/>
          <w:numId w:val="3"/>
        </w:numPr>
        <w:shd w:val="clear" w:color="auto" w:fill="auto"/>
        <w:tabs>
          <w:tab w:pos="982" w:val="left"/>
        </w:tabs>
        <w:bidi w:val="0"/>
        <w:spacing w:before="0" w:after="0" w:line="240" w:lineRule="auto"/>
        <w:ind w:left="1020" w:right="0" w:hanging="60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7"/>
      <w:bookmarkEnd w:id="168"/>
      <w:bookmarkEnd w:id="170"/>
    </w:p>
    <w:p>
      <w:pPr>
        <w:pStyle w:val="Style5"/>
        <w:keepNext/>
        <w:keepLines/>
        <w:widowControl w:val="0"/>
        <w:numPr>
          <w:ilvl w:val="0"/>
          <w:numId w:val="3"/>
        </w:numPr>
        <w:shd w:val="clear" w:color="auto" w:fill="auto"/>
        <w:tabs>
          <w:tab w:pos="1087" w:val="left"/>
        </w:tabs>
        <w:bidi w:val="0"/>
        <w:spacing w:before="0" w:after="0" w:line="240" w:lineRule="auto"/>
        <w:ind w:left="1020" w:right="0" w:hanging="60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1"/>
      <w:bookmarkEnd w:id="172"/>
      <w:bookmarkEnd w:id="174"/>
    </w:p>
    <w:p>
      <w:pPr>
        <w:pStyle w:val="Style5"/>
        <w:keepNext/>
        <w:keepLines/>
        <w:widowControl w:val="0"/>
        <w:numPr>
          <w:ilvl w:val="0"/>
          <w:numId w:val="3"/>
        </w:numPr>
        <w:shd w:val="clear" w:color="auto" w:fill="auto"/>
        <w:tabs>
          <w:tab w:pos="982" w:val="left"/>
        </w:tabs>
        <w:bidi w:val="0"/>
        <w:spacing w:before="0" w:after="120" w:line="240" w:lineRule="auto"/>
        <w:ind w:left="1020" w:right="0" w:hanging="60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75"/>
      <w:bookmarkEnd w:id="176"/>
      <w:bookmarkEnd w:id="178"/>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9"/>
      <w:bookmarkEnd w:id="180"/>
      <w:bookmarkEnd w:id="182"/>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3"/>
      <w:bookmarkEnd w:id="184"/>
      <w:bookmarkEnd w:id="186"/>
    </w:p>
    <w:p>
      <w:pPr>
        <w:pStyle w:val="Style5"/>
        <w:keepNext/>
        <w:keepLines/>
        <w:widowControl w:val="0"/>
        <w:numPr>
          <w:ilvl w:val="0"/>
          <w:numId w:val="1"/>
        </w:numPr>
        <w:shd w:val="clear" w:color="auto" w:fill="auto"/>
        <w:tabs>
          <w:tab w:pos="360" w:val="left"/>
        </w:tabs>
        <w:bidi w:val="0"/>
        <w:spacing w:before="0" w:after="0" w:line="240" w:lineRule="auto"/>
        <w:ind w:right="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Objednatel předá zhotoviteli staveniště (nebo jeho ucelenou část) prosté práv třetích osob.</w:t>
      </w:r>
      <w:bookmarkEnd w:id="187"/>
      <w:bookmarkEnd w:id="188"/>
      <w:bookmarkEnd w:id="190"/>
    </w:p>
    <w:p>
      <w:pPr>
        <w:pStyle w:val="Style5"/>
        <w:keepNext/>
        <w:keepLines/>
        <w:widowControl w:val="0"/>
        <w:shd w:val="clear" w:color="auto" w:fill="auto"/>
        <w:bidi w:val="0"/>
        <w:spacing w:before="0" w:after="200" w:line="240" w:lineRule="auto"/>
        <w:ind w:right="0" w:firstLine="40"/>
        <w:jc w:val="both"/>
      </w:pPr>
      <w:bookmarkStart w:id="191" w:name="bookmark191"/>
      <w:bookmarkStart w:id="192" w:name="bookmark192"/>
      <w:bookmarkStart w:id="193" w:name="bookmark19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91"/>
      <w:bookmarkEnd w:id="192"/>
      <w:bookmarkEnd w:id="193"/>
    </w:p>
    <w:p>
      <w:pPr>
        <w:pStyle w:val="Style5"/>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V případě, že byl objednatelem určen koordinátor BOZP je zhotovitel povinen:</w:t>
      </w:r>
      <w:bookmarkEnd w:id="194"/>
      <w:bookmarkEnd w:id="195"/>
      <w:bookmarkEnd w:id="197"/>
    </w:p>
    <w:p>
      <w:pPr>
        <w:pStyle w:val="Style2"/>
        <w:keepNext w:val="0"/>
        <w:keepLines w:val="0"/>
        <w:widowControl w:val="0"/>
        <w:numPr>
          <w:ilvl w:val="0"/>
          <w:numId w:val="5"/>
        </w:numPr>
        <w:shd w:val="clear" w:color="auto" w:fill="auto"/>
        <w:tabs>
          <w:tab w:pos="772" w:val="left"/>
        </w:tabs>
        <w:bidi w:val="0"/>
        <w:spacing w:before="0" w:after="0" w:line="240" w:lineRule="auto"/>
        <w:ind w:left="380" w:right="0" w:firstLine="40"/>
        <w:jc w:val="both"/>
      </w:pPr>
      <w:bookmarkStart w:id="198" w:name="bookmark198"/>
      <w:bookmarkEnd w:id="198"/>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199" w:name="bookmark199"/>
      <w:bookmarkEnd w:id="19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5"/>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Pro účely této smlouvy se rozumí:</w:t>
      </w:r>
      <w:bookmarkEnd w:id="200"/>
      <w:bookmarkEnd w:id="201"/>
      <w:bookmarkEnd w:id="203"/>
    </w:p>
    <w:p>
      <w:pPr>
        <w:pStyle w:val="Style2"/>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5"/>
        <w:keepNext/>
        <w:keepLines/>
        <w:widowControl w:val="0"/>
        <w:numPr>
          <w:ilvl w:val="0"/>
          <w:numId w:val="7"/>
        </w:numPr>
        <w:shd w:val="clear" w:color="auto" w:fill="auto"/>
        <w:tabs>
          <w:tab w:pos="382" w:val="left"/>
        </w:tabs>
        <w:bidi w:val="0"/>
        <w:spacing w:before="0" w:after="200" w:line="240" w:lineRule="auto"/>
        <w:ind w:left="0" w:right="0" w:firstLine="0"/>
        <w:jc w:val="left"/>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Smluvní strany se dohodly na následujících lhůtách a podmínkách pro realizaci díla.</w:t>
      </w:r>
      <w:bookmarkEnd w:id="204"/>
      <w:bookmarkEnd w:id="205"/>
      <w:bookmarkEnd w:id="207"/>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8" w:name="bookmark208"/>
      <w:bookmarkEnd w:id="208"/>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20 kalendářních dní od nabytí účinnosti této smlouvy o dílo.</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9" w:name="bookmark209"/>
      <w:bookmarkEnd w:id="209"/>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0" w:name="bookmark210"/>
      <w:bookmarkEnd w:id="210"/>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Nejpozději do 30 kalendářních dnů od převzetí staveniště (počínaje následujícím kalendářním dnem po předání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1" w:name="bookmark211"/>
      <w:bookmarkEnd w:id="211"/>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5"/>
        <w:keepNext/>
        <w:keepLines/>
        <w:widowControl w:val="0"/>
        <w:numPr>
          <w:ilvl w:val="0"/>
          <w:numId w:val="7"/>
        </w:numPr>
        <w:shd w:val="clear" w:color="auto" w:fill="auto"/>
        <w:tabs>
          <w:tab w:pos="382" w:val="left"/>
        </w:tabs>
        <w:bidi w:val="0"/>
        <w:spacing w:before="0" w:after="120" w:line="240" w:lineRule="auto"/>
        <w:ind w:right="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2"/>
      <w:bookmarkEnd w:id="213"/>
      <w:bookmarkEnd w:id="215"/>
    </w:p>
    <w:p>
      <w:pPr>
        <w:pStyle w:val="Style5"/>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6"/>
      <w:bookmarkEnd w:id="217"/>
      <w:bookmarkEnd w:id="219"/>
    </w:p>
    <w:p>
      <w:pPr>
        <w:pStyle w:val="Style5"/>
        <w:keepNext/>
        <w:keepLines/>
        <w:widowControl w:val="0"/>
        <w:numPr>
          <w:ilvl w:val="0"/>
          <w:numId w:val="7"/>
        </w:numPr>
        <w:shd w:val="clear" w:color="auto" w:fill="auto"/>
        <w:tabs>
          <w:tab w:pos="382" w:val="left"/>
        </w:tabs>
        <w:bidi w:val="0"/>
        <w:spacing w:before="0" w:after="120" w:line="240" w:lineRule="auto"/>
        <w:ind w:left="300" w:right="0" w:hanging="3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0"/>
      <w:bookmarkEnd w:id="221"/>
      <w:bookmarkEnd w:id="22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4"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84" w:val="left"/>
        </w:tabs>
        <w:bidi w:val="0"/>
        <w:spacing w:before="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1"/>
        </w:numPr>
        <w:shd w:val="clear" w:color="auto" w:fill="auto"/>
        <w:tabs>
          <w:tab w:pos="384"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77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Celková smluvní cena bez DPH</w:t>
        <w:tab/>
        <w:t>343 086,52 Kč</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384" w:val="left"/>
        </w:tabs>
        <w:bidi w:val="0"/>
        <w:spacing w:before="0" w:after="46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84" w:val="left"/>
        </w:tabs>
        <w:bidi w:val="0"/>
        <w:spacing w:before="0" w:line="240" w:lineRule="auto"/>
        <w:ind w:left="0" w:right="0" w:firstLine="0"/>
        <w:jc w:val="both"/>
      </w:pPr>
      <w:bookmarkStart w:id="229" w:name="bookmark229"/>
      <w:bookmarkEnd w:id="22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Cena díla bude hrazena jednorázově po dokončení díla na základě konečné faktury, kterou bude provedeno vyúčtování po dokončení, předání a převzetí díla bez vad a nedodělků. Fakturu je zhotovitel povinen prokazatelně doručit objednateli nejpozději do 10 kalendářních dnů ode dne uskutečnění plnění.</w:t>
      </w:r>
    </w:p>
    <w:p>
      <w:pPr>
        <w:pStyle w:val="Style2"/>
        <w:keepNext w:val="0"/>
        <w:keepLines w:val="0"/>
        <w:widowControl w:val="0"/>
        <w:numPr>
          <w:ilvl w:val="0"/>
          <w:numId w:val="13"/>
        </w:numPr>
        <w:shd w:val="clear" w:color="auto" w:fill="auto"/>
        <w:tabs>
          <w:tab w:pos="384" w:val="left"/>
        </w:tabs>
        <w:bidi w:val="0"/>
        <w:spacing w:before="0" w:line="240" w:lineRule="auto"/>
        <w:ind w:left="0" w:right="0" w:firstLine="0"/>
        <w:jc w:val="both"/>
      </w:pPr>
      <w:bookmarkStart w:id="231" w:name="bookmark231"/>
      <w:bookmarkEnd w:id="231"/>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Odsouhlasený soupis provedených prací je zhotovitel povinen zpracovat jak v písemné, tak v elektronické podobě, a to v elektronickém formátu XC4.</w:t>
      </w:r>
    </w:p>
    <w:p>
      <w:pPr>
        <w:pStyle w:val="Style2"/>
        <w:keepNext w:val="0"/>
        <w:keepLines w:val="0"/>
        <w:widowControl w:val="0"/>
        <w:numPr>
          <w:ilvl w:val="0"/>
          <w:numId w:val="13"/>
        </w:numPr>
        <w:shd w:val="clear" w:color="auto" w:fill="auto"/>
        <w:tabs>
          <w:tab w:pos="384" w:val="left"/>
        </w:tabs>
        <w:bidi w:val="0"/>
        <w:spacing w:before="0" w:after="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Zbývajících 5 % z celkové ceny díla bude objednatelem uhrazeno až po odstranění poslední vady.</w:t>
      </w:r>
    </w:p>
    <w:p>
      <w:pPr>
        <w:pStyle w:val="Style2"/>
        <w:keepNext w:val="0"/>
        <w:keepLines w:val="0"/>
        <w:widowControl w:val="0"/>
        <w:numPr>
          <w:ilvl w:val="0"/>
          <w:numId w:val="13"/>
        </w:numPr>
        <w:shd w:val="clear" w:color="auto" w:fill="auto"/>
        <w:tabs>
          <w:tab w:pos="384" w:val="left"/>
        </w:tabs>
        <w:bidi w:val="0"/>
        <w:spacing w:before="0" w:after="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w:t>
      </w:r>
      <w:r>
        <w:rPr>
          <w:color w:val="000000"/>
          <w:spacing w:val="0"/>
          <w:w w:val="100"/>
          <w:position w:val="0"/>
          <w:shd w:val="clear" w:color="auto" w:fill="auto"/>
          <w:lang w:val="cs-CZ" w:eastAsia="cs-CZ" w:bidi="cs-CZ"/>
        </w:rPr>
        <w:t>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60" w:val="left"/>
        </w:tabs>
        <w:bidi w:val="0"/>
        <w:spacing w:before="0" w:line="240" w:lineRule="auto"/>
        <w:ind w:left="0" w:right="0" w:firstLine="0"/>
        <w:jc w:val="both"/>
      </w:pPr>
      <w:bookmarkStart w:id="237" w:name="bookmark237"/>
      <w:bookmarkEnd w:id="237"/>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62" w:val="left"/>
        </w:tabs>
        <w:bidi w:val="0"/>
        <w:spacing w:before="0" w:after="24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2"/>
        <w:keepNext w:val="0"/>
        <w:keepLines w:val="0"/>
        <w:widowControl w:val="0"/>
        <w:numPr>
          <w:ilvl w:val="0"/>
          <w:numId w:val="13"/>
        </w:numPr>
        <w:shd w:val="clear" w:color="auto" w:fill="auto"/>
        <w:tabs>
          <w:tab w:pos="720" w:val="left"/>
        </w:tabs>
        <w:bidi w:val="0"/>
        <w:spacing w:before="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94" w:val="left"/>
        </w:tabs>
        <w:bidi w:val="0"/>
        <w:spacing w:before="0" w:after="44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7"/>
        </w:numPr>
        <w:shd w:val="clear" w:color="auto" w:fill="auto"/>
        <w:tabs>
          <w:tab w:pos="374" w:val="left"/>
        </w:tabs>
        <w:bidi w:val="0"/>
        <w:spacing w:before="0" w:after="0" w:line="240" w:lineRule="auto"/>
        <w:ind w:left="0" w:right="0" w:firstLine="0"/>
        <w:jc w:val="both"/>
      </w:pPr>
      <w:bookmarkStart w:id="256" w:name="bookmark256"/>
      <w:bookmarkEnd w:id="256"/>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257" w:name="bookmark257"/>
      <w:bookmarkEnd w:id="257"/>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58" w:name="bookmark258"/>
      <w:bookmarkEnd w:id="25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59" w:name="bookmark259"/>
      <w:bookmarkEnd w:id="25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60" w:name="bookmark260"/>
      <w:bookmarkEnd w:id="260"/>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5"/>
        <w:keepNext/>
        <w:keepLines/>
        <w:widowControl w:val="0"/>
        <w:numPr>
          <w:ilvl w:val="0"/>
          <w:numId w:val="17"/>
        </w:numPr>
        <w:shd w:val="clear" w:color="auto" w:fill="auto"/>
        <w:tabs>
          <w:tab w:pos="360" w:val="left"/>
        </w:tabs>
        <w:bidi w:val="0"/>
        <w:spacing w:before="0" w:after="120" w:line="240" w:lineRule="auto"/>
        <w:ind w:right="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61"/>
      <w:bookmarkEnd w:id="262"/>
      <w:bookmarkEnd w:id="264"/>
    </w:p>
    <w:p>
      <w:pPr>
        <w:pStyle w:val="Style5"/>
        <w:keepNext/>
        <w:keepLines/>
        <w:widowControl w:val="0"/>
        <w:numPr>
          <w:ilvl w:val="0"/>
          <w:numId w:val="17"/>
        </w:numPr>
        <w:shd w:val="clear" w:color="auto" w:fill="auto"/>
        <w:tabs>
          <w:tab w:pos="360" w:val="left"/>
        </w:tabs>
        <w:bidi w:val="0"/>
        <w:spacing w:before="0" w:after="120" w:line="240" w:lineRule="auto"/>
        <w:ind w:right="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65"/>
      <w:bookmarkEnd w:id="266"/>
      <w:bookmarkEnd w:id="268"/>
    </w:p>
    <w:p>
      <w:pPr>
        <w:pStyle w:val="Style5"/>
        <w:keepNext/>
        <w:keepLines/>
        <w:widowControl w:val="0"/>
        <w:numPr>
          <w:ilvl w:val="0"/>
          <w:numId w:val="17"/>
        </w:numPr>
        <w:shd w:val="clear" w:color="auto" w:fill="auto"/>
        <w:tabs>
          <w:tab w:pos="360" w:val="left"/>
        </w:tabs>
        <w:bidi w:val="0"/>
        <w:spacing w:before="0" w:after="120" w:line="240" w:lineRule="auto"/>
        <w:ind w:right="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69"/>
      <w:bookmarkEnd w:id="270"/>
      <w:bookmarkEnd w:id="27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21"/>
        </w:numPr>
        <w:shd w:val="clear" w:color="auto" w:fill="auto"/>
        <w:tabs>
          <w:tab w:pos="360" w:val="left"/>
        </w:tabs>
        <w:bidi w:val="0"/>
        <w:spacing w:before="0" w:after="200" w:line="240" w:lineRule="auto"/>
        <w:ind w:right="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4"/>
      <w:bookmarkEnd w:id="275"/>
      <w:bookmarkEnd w:id="27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7" w:val="left"/>
        </w:tabs>
        <w:bidi w:val="0"/>
        <w:spacing w:before="0" w:after="26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3"/>
        </w:numPr>
        <w:shd w:val="clear" w:color="auto" w:fill="auto"/>
        <w:tabs>
          <w:tab w:pos="357" w:val="left"/>
        </w:tabs>
        <w:bidi w:val="0"/>
        <w:spacing w:before="0" w:after="320" w:line="240" w:lineRule="auto"/>
        <w:ind w:right="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1"/>
      <w:bookmarkEnd w:id="282"/>
      <w:bookmarkEnd w:id="284"/>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88"/>
      <w:bookmarkEnd w:id="289"/>
      <w:bookmarkEnd w:id="291"/>
    </w:p>
    <w:p>
      <w:pPr>
        <w:pStyle w:val="Style5"/>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bezdůvodném přerušení prací zhotovitelem, které trvá více než 14 dnů,</w:t>
      </w:r>
      <w:bookmarkEnd w:id="292"/>
      <w:bookmarkEnd w:id="293"/>
      <w:bookmarkEnd w:id="295"/>
    </w:p>
    <w:p>
      <w:pPr>
        <w:pStyle w:val="Style5"/>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96"/>
      <w:bookmarkEnd w:id="297"/>
      <w:bookmarkEnd w:id="299"/>
    </w:p>
    <w:p>
      <w:pPr>
        <w:pStyle w:val="Style5"/>
        <w:keepNext/>
        <w:keepLines/>
        <w:widowControl w:val="0"/>
        <w:numPr>
          <w:ilvl w:val="0"/>
          <w:numId w:val="27"/>
        </w:numPr>
        <w:shd w:val="clear" w:color="auto" w:fill="auto"/>
        <w:tabs>
          <w:tab w:pos="1179" w:val="left"/>
        </w:tabs>
        <w:bidi w:val="0"/>
        <w:spacing w:before="0" w:after="60" w:line="240" w:lineRule="auto"/>
        <w:ind w:left="0" w:right="0" w:firstLine="80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neplněním povinností zhotovitele vést řádně zápisy do stavebního deníku.</w:t>
      </w:r>
      <w:bookmarkEnd w:id="300"/>
      <w:bookmarkEnd w:id="301"/>
      <w:bookmarkEnd w:id="303"/>
    </w:p>
    <w:p>
      <w:pPr>
        <w:pStyle w:val="Style2"/>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7" w:val="left"/>
        </w:tabs>
        <w:bidi w:val="0"/>
        <w:spacing w:before="0" w:after="12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66" w:val="left"/>
        </w:tabs>
        <w:bidi w:val="0"/>
        <w:spacing w:before="0" w:after="0" w:line="240" w:lineRule="auto"/>
        <w:ind w:left="0" w:right="0" w:firstLine="0"/>
        <w:jc w:val="both"/>
      </w:pPr>
      <w:bookmarkStart w:id="309" w:name="bookmark309"/>
      <w:bookmarkEnd w:id="309"/>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5"/>
        </w:numPr>
        <w:shd w:val="clear" w:color="auto" w:fill="auto"/>
        <w:tabs>
          <w:tab w:pos="442" w:val="left"/>
        </w:tabs>
        <w:bidi w:val="0"/>
        <w:spacing w:before="0" w:after="0" w:line="240" w:lineRule="auto"/>
        <w:ind w:left="0" w:right="0" w:firstLine="0"/>
        <w:jc w:val="both"/>
      </w:pPr>
      <w:bookmarkStart w:id="312" w:name="bookmark312"/>
      <w:bookmarkEnd w:id="31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42" w:val="left"/>
        </w:tabs>
        <w:bidi w:val="0"/>
        <w:spacing w:before="0" w:after="280" w:line="288" w:lineRule="auto"/>
        <w:ind w:left="380" w:right="0" w:hanging="380"/>
        <w:jc w:val="both"/>
      </w:pPr>
      <w:bookmarkStart w:id="315" w:name="bookmark315"/>
      <w:bookmarkEnd w:id="31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Priorita 1) Tato smlouva</w:t>
      </w:r>
      <w:r>
        <w:br w:type="page"/>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0" w:right="0" w:firstLine="0"/>
        <w:jc w:val="both"/>
      </w:pPr>
      <w:r>
        <w:rPr>
          <w:color w:val="000000"/>
          <w:spacing w:val="0"/>
          <w:w w:val="100"/>
          <w:position w:val="0"/>
          <w:shd w:val="clear" w:color="auto" w:fill="auto"/>
          <w:lang w:val="cs-CZ" w:eastAsia="cs-CZ" w:bidi="cs-CZ"/>
        </w:rPr>
        <w:t>Priorita 2) Příloha č.2: Projektová dokumentace: „PPV, Březenec - porucha hráze – havárie“ zpracovaná firmou Sweco a.s., Táborská 31, 140 16 Praha 4, IČO 26475081, z 11/2024</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2100" w:line="360" w:lineRule="auto"/>
        <w:ind w:left="0" w:right="0" w:firstLine="0"/>
        <w:jc w:val="left"/>
      </w:pPr>
      <w:r>
        <w:rPr>
          <w:color w:val="000000"/>
          <w:spacing w:val="0"/>
          <w:w w:val="100"/>
          <w:position w:val="0"/>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4005580</wp:posOffset>
                </wp:positionH>
                <wp:positionV relativeFrom="paragraph">
                  <wp:posOffset>12700</wp:posOffset>
                </wp:positionV>
                <wp:extent cx="1383665" cy="875030"/>
                <wp:wrapSquare wrapText="left"/>
                <wp:docPr id="1" name="Shape 1"/>
                <a:graphic xmlns:a="http://schemas.openxmlformats.org/drawingml/2006/main">
                  <a:graphicData uri="http://schemas.microsoft.com/office/word/2010/wordprocessingShape">
                    <wps:wsp>
                      <wps:cNvSpPr txBox="1"/>
                      <wps:spPr>
                        <a:xfrm>
                          <a:ext cx="1383665" cy="875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5.40000000000003pt;margin-top:1.pt;width:108.95pt;height:68.90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02" w:lineRule="auto"/>
        <w:ind w:left="0" w:right="0" w:firstLine="0"/>
        <w:jc w:val="left"/>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083" w:left="1405" w:right="1373" w:bottom="129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5694045</wp:posOffset>
              </wp:positionH>
              <wp:positionV relativeFrom="page">
                <wp:posOffset>9923145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8.35000000000002pt;margin-top:781.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5749290</wp:posOffset>
              </wp:positionH>
              <wp:positionV relativeFrom="page">
                <wp:posOffset>382905</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69999999999999pt;margin-top:30.150000000000002pt;width:72.5pt;height:15.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