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č.2 k SOD č. 1386/2024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Jesenice – sdružený objekt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0" distL="0" distR="0" simplePos="0" relativeHeight="125829378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2459990" cy="312737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9990" cy="312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investora: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3" w:name="bookmark3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  <w:bookmarkEnd w:id="0"/>
                            <w:bookmarkEnd w:id="1"/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je zapsán</w:t>
                            </w:r>
                            <w:bookmarkEnd w:id="4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Labem v oddílu A, vložce č. 13052</w:t>
                            </w:r>
                            <w:bookmarkEnd w:id="5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„objednatel“)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bookmarkStart w:id="12" w:name="bookmark1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400000000000006pt;margin-top:15.pt;width:193.70000000000002pt;height:246.25pt;z-index:-125829375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3" w:name="bookmark3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  <w:bookmarkEnd w:id="0"/>
                      <w:bookmarkEnd w:id="1"/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je zapsán</w:t>
                      </w:r>
                      <w:bookmarkEnd w:id="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Labem v oddílu A, vložce č. 13052</w:t>
                      </w:r>
                      <w:bookmarkEnd w:id="5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</w:t>
                      </w:r>
                      <w:bookmarkEnd w:id="6"/>
                      <w:bookmarkEnd w:id="7"/>
                      <w:bookmarkEnd w:id="8"/>
                      <w:bookmarkEnd w:id="9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bookmarkStart w:id="12" w:name="bookmark12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bookmarkEnd w:id="10"/>
                      <w:bookmarkEnd w:id="11"/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1450975" distL="0" distR="0" simplePos="0" relativeHeight="125829380" behindDoc="0" locked="0" layoutInCell="1" allowOverlap="1">
                <wp:simplePos x="0" y="0"/>
                <wp:positionH relativeFrom="page">
                  <wp:posOffset>3604260</wp:posOffset>
                </wp:positionH>
                <wp:positionV relativeFrom="paragraph">
                  <wp:posOffset>190500</wp:posOffset>
                </wp:positionV>
                <wp:extent cx="2496185" cy="16764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1676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Bezručova 4219, 430 03 Chomutov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generálním ředitelem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technické skupiny Karlovy Vary tel.:, e-mail: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3" w:name="bookmark13"/>
                            <w:bookmarkStart w:id="14" w:name="bookmark14"/>
                            <w:bookmarkStart w:id="15" w:name="bookmark1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tel.:, e-mail:</w:t>
                            </w:r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3.80000000000001pt;margin-top:15.pt;width:196.55000000000001pt;height:132.pt;z-index:-125829373;mso-wrap-distance-left:0;mso-wrap-distance-top:15.pt;mso-wrap-distance-right:0;mso-wrap-distance-bottom:114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Bezručova 4219, 430 03 Chomutov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generálním ředitelem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technické skupiny Karlovy Vary tel.:, e-mail: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3" w:name="bookmark13"/>
                      <w:bookmarkStart w:id="14" w:name="bookmark14"/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tel.:, e-mail:</w:t>
                      </w:r>
                      <w:bookmarkEnd w:id="13"/>
                      <w:bookmarkEnd w:id="14"/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1555" distB="810895" distL="0" distR="0" simplePos="0" relativeHeight="125829382" behindDoc="0" locked="0" layoutInCell="1" allowOverlap="1">
                <wp:simplePos x="0" y="0"/>
                <wp:positionH relativeFrom="page">
                  <wp:posOffset>3394075</wp:posOffset>
                </wp:positionH>
                <wp:positionV relativeFrom="paragraph">
                  <wp:posOffset>2281555</wp:posOffset>
                </wp:positionV>
                <wp:extent cx="3303905" cy="2254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0390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obchodním rejstříku Krajského soudu v Ústí nad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7.25pt;margin-top:179.65000000000001pt;width:260.14999999999998pt;height:17.75pt;z-index:-125829371;mso-wrap-distance-left:0;mso-wrap-distance-top:179.65000000000001pt;mso-wrap-distance-right:0;mso-wrap-distance-bottom:63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obchodním rejstříku Krajského soudu v Ústí nad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142"/>
        <w:gridCol w:w="4272"/>
      </w:tblGrid>
      <w:tr>
        <w:trPr>
          <w:trHeight w:val="26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k podpisu smlouvy: oprávněn(i) jednat o věcech smluvních: oprávněn(i) jednat o věcech technických: stavbyvedoucí: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ColorMax s. r. o.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Kasární náměstí 115/7, PSČ 35002, Cheb , jednatel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28042484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CZ28042484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C 22486 vedená u Krajského soudu v Plzni tel.: e-mail:</w:t>
      </w:r>
    </w:p>
    <w:p>
      <w:pPr>
        <w:widowControl w:val="0"/>
        <w:spacing w:after="199" w:line="1" w:lineRule="exact"/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16"/>
      <w:bookmarkEnd w:id="17"/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left"/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200" w:line="240" w:lineRule="auto"/>
        <w:ind w:left="0" w:right="0" w:firstLine="380"/>
        <w:jc w:val="left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víceprací a méněprací, které vyplynuly z postupu realizace stavby. Tato změna závazku ze smlouvy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 Obě smluvní strany odsouhlasily oceněný soupis víceprací a méněprací, který je nedílnou součástí tohoto dodatku ke smlouvě 1386/2024.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 na kontrolním dnu stavby dne 17.4.2025. Obě smluvní strany odsouhlasily oceněný soupis prací (viz příloha č. 1 Cenová kalkulace víceprací a méněprací), který je nedílnou součástí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200" w:line="240" w:lineRule="auto"/>
        <w:ind w:left="0" w:right="0" w:firstLine="380"/>
        <w:jc w:val="left"/>
      </w:pPr>
      <w:bookmarkStart w:id="21" w:name="bookmark21"/>
      <w:bookmarkEnd w:id="2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mění v rozsahu přílohy č. 1 Cenová kalkulace víceprací a méněprací.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after="200" w:line="240" w:lineRule="auto"/>
        <w:ind w:left="0" w:right="0" w:firstLine="380"/>
        <w:jc w:val="left"/>
      </w:pPr>
      <w:bookmarkStart w:id="22" w:name="bookmark22"/>
      <w:bookmarkEnd w:id="2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1 016 180,77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976 372,07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 vícepráce: +141 769,24 Kč bez DPH méněpráce: –181 577,94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1386/2024 se nemění. Smluvní strany nepovažují žádné ustanovení smlouvy za obchodní tajemství.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491" w:left="1359" w:right="1425" w:bottom="2369" w:header="1063" w:footer="194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kalkulace víceprací a méněprací (ze dne 30.4.2025)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7" w:left="0" w:right="0" w:bottom="80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……………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79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  <w:t>dne……………….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7" w:left="1394" w:right="1572" w:bottom="8060" w:header="0" w:footer="3" w:gutter="0"/>
          <w:cols w:num="2" w:space="720" w:equalWidth="0">
            <w:col w:w="3576" w:space="1378"/>
            <w:col w:w="39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7" w:left="0" w:right="0" w:bottom="161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3561715</wp:posOffset>
                </wp:positionH>
                <wp:positionV relativeFrom="paragraph">
                  <wp:posOffset>12700</wp:posOffset>
                </wp:positionV>
                <wp:extent cx="624840" cy="3873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0.44999999999999pt;margin-top:1.pt;width:49.200000000000003pt;height:30.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17" w:left="1394" w:right="6266" w:bottom="161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