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>DIVADLO KOKTEJL</w:t>
      </w:r>
    </w:p>
    <w:p>
      <w:pPr>
        <w:pStyle w:val="Normal"/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>SMLOUVA NA PŘEDSTAVENÍ</w:t>
      </w:r>
    </w:p>
    <w:p>
      <w:pPr>
        <w:pStyle w:val="Normal"/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>Román pro ženy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uzavřená mezi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Divadlo Koktejl s.r.o.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Zastoupený: </w:t>
      </w:r>
      <w:r>
        <w:rPr>
          <w:rFonts w:ascii="Garamond" w:hAnsi="Garamond"/>
          <w:sz w:val="28"/>
          <w:szCs w:val="28"/>
        </w:rPr>
        <w:t xml:space="preserve">Jakubem Vaškem jednatelem, 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Tel: </w:t>
      </w:r>
      <w:r>
        <w:rPr>
          <w:rFonts w:ascii="Garamond" w:hAnsi="Garamond"/>
          <w:b/>
          <w:sz w:val="28"/>
          <w:szCs w:val="28"/>
        </w:rPr>
        <w:t>xxx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IČO:</w:t>
      </w:r>
      <w:r>
        <w:rPr>
          <w:rFonts w:cs="Arial" w:ascii="Garamond" w:hAnsi="Garamond"/>
          <w:color w:val="000000"/>
          <w:sz w:val="28"/>
          <w:szCs w:val="28"/>
          <w:shd w:fill="FFFFFF" w:val="clear"/>
        </w:rPr>
        <w:t xml:space="preserve"> 19599188</w:t>
      </w:r>
      <w:r>
        <w:rPr>
          <w:rFonts w:ascii="Garamond" w:hAnsi="Garamond"/>
          <w:b/>
          <w:sz w:val="28"/>
          <w:szCs w:val="28"/>
        </w:rPr>
        <w:t xml:space="preserve"> 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Adresa: </w:t>
      </w:r>
      <w:r>
        <w:rPr>
          <w:rFonts w:cs="Arial" w:ascii="Garamond" w:hAnsi="Garamond"/>
          <w:color w:val="000000"/>
          <w:sz w:val="28"/>
          <w:szCs w:val="28"/>
          <w:shd w:fill="FFFFFF" w:val="clear"/>
        </w:rPr>
        <w:t>Klínová 620/1, Hulváky, 709 00 Ostrava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Bankovní spojení: </w:t>
      </w:r>
      <w:r>
        <w:rPr>
          <w:rFonts w:ascii="Garamond" w:hAnsi="Garamond"/>
          <w:sz w:val="28"/>
          <w:szCs w:val="28"/>
        </w:rPr>
        <w:t>Česká spořitelna</w:t>
      </w:r>
      <w:r>
        <w:rPr>
          <w:rFonts w:ascii="Garamond" w:hAnsi="Garamond"/>
          <w:b/>
          <w:sz w:val="28"/>
          <w:szCs w:val="28"/>
        </w:rPr>
        <w:t xml:space="preserve"> 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Číslo účtu: </w:t>
      </w:r>
      <w:r>
        <w:rPr>
          <w:rFonts w:ascii="Garamond" w:hAnsi="Garamond"/>
          <w:b/>
          <w:sz w:val="28"/>
          <w:szCs w:val="28"/>
        </w:rPr>
        <w:t>xxx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Produkce:</w:t>
      </w:r>
      <w:r>
        <w:rPr>
          <w:rFonts w:ascii="Garamond" w:hAnsi="Garamond"/>
          <w:sz w:val="28"/>
          <w:szCs w:val="28"/>
        </w:rPr>
        <w:t xml:space="preserve"> Tereza Pobudová, 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Tel: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xxx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E-mail: </w:t>
      </w:r>
      <w:r>
        <w:rPr>
          <w:rFonts w:ascii="Garamond" w:hAnsi="Garamond"/>
          <w:b/>
          <w:sz w:val="28"/>
          <w:szCs w:val="28"/>
        </w:rPr>
        <w:t>xxx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Web: </w:t>
      </w:r>
      <w:r>
        <w:rPr>
          <w:rFonts w:ascii="Garamond" w:hAnsi="Garamond"/>
          <w:b/>
          <w:sz w:val="28"/>
          <w:szCs w:val="28"/>
        </w:rPr>
        <w:t>xxx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( dále jen zřizovatel)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Městské kulturní středisko Jaroměř</w:t>
      </w:r>
    </w:p>
    <w:p>
      <w:pPr>
        <w:pStyle w:val="Normal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Adresa: </w:t>
      </w:r>
      <w:r>
        <w:rPr>
          <w:rFonts w:ascii="Garamond" w:hAnsi="Garamond"/>
          <w:bCs/>
          <w:sz w:val="28"/>
          <w:szCs w:val="28"/>
        </w:rPr>
        <w:t>nám. Dukelských hrdinů 240, 55101 Jaroměř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IČ: </w:t>
      </w:r>
      <w:r>
        <w:rPr>
          <w:rFonts w:ascii="Garamond" w:hAnsi="Garamond"/>
          <w:bCs/>
          <w:sz w:val="28"/>
          <w:szCs w:val="28"/>
        </w:rPr>
        <w:t>13585185</w:t>
      </w:r>
    </w:p>
    <w:p>
      <w:pPr>
        <w:pStyle w:val="Normal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Kontaktní osoba: </w:t>
      </w:r>
      <w:r>
        <w:rPr>
          <w:rFonts w:ascii="Garamond" w:hAnsi="Garamond"/>
          <w:bCs/>
          <w:sz w:val="28"/>
          <w:szCs w:val="28"/>
        </w:rPr>
        <w:t>Monika Brychová – ředitelka</w:t>
      </w:r>
    </w:p>
    <w:p>
      <w:pPr>
        <w:pStyle w:val="Normal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E-mail: </w:t>
      </w:r>
      <w:r>
        <w:rPr>
          <w:rFonts w:ascii="Garamond" w:hAnsi="Garamond"/>
          <w:b/>
          <w:bCs/>
          <w:sz w:val="28"/>
          <w:szCs w:val="28"/>
        </w:rPr>
        <w:t>xxx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Tel.: </w:t>
      </w:r>
      <w:r>
        <w:rPr>
          <w:rFonts w:ascii="Garamond" w:hAnsi="Garamond"/>
          <w:b/>
          <w:bCs/>
          <w:sz w:val="28"/>
          <w:szCs w:val="28"/>
        </w:rPr>
        <w:t>xxx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(dále jen pořadatel)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DATUM A MÍSTO KONÁNÍ PŘEDSTAVENÍ: 7.11.2026 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CENA PŘEDSTAVENÍ VČETNĚ DOPRAVY:  70 000 Kč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ZPŮSOB ÚHRADY: NA FAKTURU DLE SPLATNOSTI 5 DNŮ OD JEJÍHO VYSTAVENÍ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8% z celkových hrubých tržeb včetně předplatného.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AUTORSKÉ POPLATKY MÁ NASTAROSTI DILIA, divadelní, literární, audiovizuální agentura, z.s 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6% z celkových hrubých tržeb včetně předplatného, MÁ NASTAROSTI DRŽITEL ADAPTACE DIVADLO KOKTEJL 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ZPŮSOB ÚHRADY: NA DRUHOU FAKTURU DLE SPLATNOSTI 5 DNŮ OD JEJÍHO VYSTAVENÍ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UBYTOVÁNÍ nevyžadujeme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NEJME PLÁTCI DPH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rFonts w:ascii="Garamond" w:hAnsi="Garamond"/>
          <w:b/>
          <w:sz w:val="28"/>
          <w:szCs w:val="28"/>
          <w:lang w:val="cs-CZ"/>
        </w:rPr>
      </w:pPr>
      <w:r>
        <w:rPr>
          <w:rFonts w:ascii="Garamond" w:hAnsi="Garamond"/>
          <w:b/>
          <w:sz w:val="28"/>
          <w:szCs w:val="28"/>
          <w:lang w:val="cs-CZ"/>
        </w:rPr>
        <w:t xml:space="preserve">Další smluvní podmínky: </w:t>
      </w:r>
    </w:p>
    <w:p>
      <w:pPr>
        <w:pStyle w:val="BodyText"/>
        <w:rPr>
          <w:rFonts w:ascii="Garamond" w:hAnsi="Garamond"/>
          <w:sz w:val="28"/>
          <w:szCs w:val="28"/>
          <w:lang w:val="cs-CZ"/>
        </w:rPr>
      </w:pPr>
      <w:r>
        <w:rPr>
          <w:rFonts w:ascii="Garamond" w:hAnsi="Garamond"/>
          <w:b/>
          <w:sz w:val="28"/>
          <w:szCs w:val="28"/>
          <w:lang w:val="cs-CZ"/>
        </w:rPr>
        <w:t>1.</w:t>
      </w:r>
      <w:r>
        <w:rPr>
          <w:rFonts w:ascii="Garamond" w:hAnsi="Garamond"/>
          <w:sz w:val="28"/>
          <w:szCs w:val="28"/>
          <w:lang w:val="cs-CZ"/>
        </w:rPr>
        <w:t xml:space="preserve"> Divadlo Koktejl s.r.o. (Dále jen DK)  na straně jedné a pořadatel na straně druhé uzavřeli </w:t>
        <w:br/>
        <w:t xml:space="preserve">smlouvu o zprostředkování uměleckého výkonu za podmínek uvedených na </w:t>
        <w:br/>
        <w:t xml:space="preserve">předcházející straně. Tuto smlouvu je možné měnit, případně se dohodnout na </w:t>
        <w:br/>
        <w:t xml:space="preserve">jejím zrušení, pouze písemnou formou. </w:t>
      </w:r>
    </w:p>
    <w:p>
      <w:pPr>
        <w:pStyle w:val="BodyText"/>
        <w:rPr>
          <w:rFonts w:ascii="Garamond" w:hAnsi="Garamond"/>
          <w:sz w:val="28"/>
          <w:szCs w:val="28"/>
          <w:lang w:val="cs-CZ"/>
        </w:rPr>
      </w:pPr>
      <w:r>
        <w:rPr>
          <w:rFonts w:ascii="Garamond" w:hAnsi="Garamond"/>
          <w:b/>
          <w:sz w:val="28"/>
          <w:szCs w:val="28"/>
          <w:lang w:val="cs-CZ"/>
        </w:rPr>
        <w:t>2.</w:t>
      </w:r>
      <w:r>
        <w:rPr>
          <w:rFonts w:ascii="Garamond" w:hAnsi="Garamond"/>
          <w:sz w:val="28"/>
          <w:szCs w:val="28"/>
          <w:lang w:val="cs-CZ"/>
        </w:rPr>
        <w:t xml:space="preserve"> Pořadatel zajistí sál s profesionálním a funkčním vybavením pro uskutečnění </w:t>
        <w:br/>
        <w:t xml:space="preserve">představení. V případě nedodržení této podmínky se vystoupení neuskuteční a </w:t>
        <w:br/>
        <w:t xml:space="preserve">pořadatel je povinen uhradit DK </w:t>
      </w:r>
      <w:r>
        <w:rPr>
          <w:rFonts w:ascii="Garamond" w:hAnsi="Garamond"/>
          <w:b/>
          <w:sz w:val="28"/>
          <w:szCs w:val="28"/>
          <w:lang w:val="cs-CZ"/>
        </w:rPr>
        <w:t xml:space="preserve">v plné výši sjednanou cenu za představení. </w:t>
      </w:r>
    </w:p>
    <w:p>
      <w:pPr>
        <w:pStyle w:val="BodyText"/>
        <w:rPr>
          <w:rFonts w:ascii="Garamond" w:hAnsi="Garamond"/>
          <w:sz w:val="28"/>
          <w:szCs w:val="28"/>
          <w:lang w:val="cs-CZ"/>
        </w:rPr>
      </w:pPr>
      <w:r>
        <w:rPr>
          <w:rFonts w:ascii="Garamond" w:hAnsi="Garamond"/>
          <w:b/>
          <w:sz w:val="28"/>
          <w:szCs w:val="28"/>
          <w:lang w:val="cs-CZ"/>
        </w:rPr>
        <w:t>3.</w:t>
      </w:r>
      <w:r>
        <w:rPr>
          <w:rFonts w:ascii="Garamond" w:hAnsi="Garamond"/>
          <w:sz w:val="28"/>
          <w:szCs w:val="28"/>
          <w:lang w:val="cs-CZ"/>
        </w:rPr>
        <w:t xml:space="preserve"> Honorář této smlouvy pokládají obě strany za důvěrné a nebudou jimi zveřejněno kromě registru smluv.</w:t>
      </w:r>
    </w:p>
    <w:p>
      <w:pPr>
        <w:pStyle w:val="BodyText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b/>
          <w:sz w:val="28"/>
          <w:szCs w:val="28"/>
          <w:lang w:val="pl-PL"/>
        </w:rPr>
        <w:t>4.</w:t>
      </w:r>
      <w:r>
        <w:rPr>
          <w:rFonts w:ascii="Garamond" w:hAnsi="Garamond"/>
          <w:sz w:val="28"/>
          <w:szCs w:val="28"/>
          <w:lang w:val="pl-PL"/>
        </w:rPr>
        <w:t xml:space="preserve"> Pořadatel potvrdí smlouvu a obratem doručí DK. Nejpozději však do čtrnácti dnů po jejím obdržení. </w:t>
      </w:r>
    </w:p>
    <w:p>
      <w:pPr>
        <w:pStyle w:val="BodyText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b/>
          <w:sz w:val="28"/>
          <w:szCs w:val="28"/>
          <w:lang w:val="pl-PL"/>
        </w:rPr>
        <w:t>5</w:t>
      </w:r>
      <w:r>
        <w:rPr>
          <w:rFonts w:ascii="Garamond" w:hAnsi="Garamond"/>
          <w:sz w:val="28"/>
          <w:szCs w:val="28"/>
          <w:lang w:val="pl-PL"/>
        </w:rPr>
        <w:t xml:space="preserve">. Odřekne-li pořadatel vystoupení bez závažných dokladovaných důvodů viz </w:t>
        <w:br/>
        <w:t xml:space="preserve">odst.č.6; je povinen DK zaplatit 70% smluvní ceny.  Odřekne-li vystoupení týden před smluveným představením představením, je povinen zaplatit celou smluvní cenu. </w:t>
      </w:r>
    </w:p>
    <w:p>
      <w:pPr>
        <w:pStyle w:val="BodyText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b/>
          <w:sz w:val="28"/>
          <w:szCs w:val="28"/>
          <w:lang w:val="pl-PL"/>
        </w:rPr>
        <w:t>6.</w:t>
      </w:r>
      <w:r>
        <w:rPr>
          <w:rFonts w:ascii="Garamond" w:hAnsi="Garamond"/>
          <w:sz w:val="28"/>
          <w:szCs w:val="28"/>
          <w:lang w:val="pl-PL"/>
        </w:rPr>
        <w:t xml:space="preserve"> Bude-li smluvené divadelní představení znemožněno z důvodu vyšší moci bez </w:t>
        <w:br/>
        <w:t xml:space="preserve">zavinění souboru a obou smluvních stran, které smluvní strany nemohly </w:t>
        <w:br/>
        <w:t xml:space="preserve">předvídat - (např. přírodní katastrofy, požár, úmrtí, úraz, výjimečná pracovní </w:t>
        <w:br/>
        <w:t xml:space="preserve">povinost jednoho z účinkujících, nemoc umělce, apod.), nikoli však nepříznivé </w:t>
        <w:br/>
        <w:t xml:space="preserve">počasí, </w:t>
      </w:r>
      <w:r>
        <w:rPr>
          <w:rFonts w:ascii="Garamond" w:hAnsi="Garamond"/>
          <w:b/>
          <w:sz w:val="28"/>
          <w:szCs w:val="28"/>
          <w:lang w:val="pl-PL"/>
        </w:rPr>
        <w:t xml:space="preserve">malý zájem o vstupenky </w:t>
      </w:r>
      <w:r>
        <w:rPr>
          <w:rFonts w:ascii="Garamond" w:hAnsi="Garamond"/>
          <w:sz w:val="28"/>
          <w:szCs w:val="28"/>
          <w:lang w:val="pl-PL"/>
        </w:rPr>
        <w:t xml:space="preserve">a další skutečnosti, které jsou součástí </w:t>
        <w:br/>
        <w:t xml:space="preserve">podnikatelského rizika, mají obě strany právo od smlouvy odstoupit bez dalších </w:t>
        <w:br/>
        <w:t xml:space="preserve">nároků. Odstoupení se však musí stát písemně a musí být neprodleně doručeno </w:t>
        <w:br/>
        <w:t xml:space="preserve">druhé straně. Soubor-umělec je povinen o těchto skutečnostech, pokud </w:t>
        <w:br/>
        <w:t xml:space="preserve">nastanou, neprodleně písemně informovat DK.  </w:t>
      </w:r>
    </w:p>
    <w:p>
      <w:pPr>
        <w:pStyle w:val="BodyText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b/>
          <w:sz w:val="28"/>
          <w:szCs w:val="28"/>
          <w:lang w:val="pl-PL"/>
        </w:rPr>
        <w:t>7.</w:t>
      </w:r>
      <w:r>
        <w:rPr>
          <w:rFonts w:ascii="Garamond" w:hAnsi="Garamond"/>
          <w:sz w:val="28"/>
          <w:szCs w:val="28"/>
          <w:lang w:val="pl-PL"/>
        </w:rPr>
        <w:t xml:space="preserve"> Dostaví-li se soubor-umělec na vystoupení podle této smlouvy a pořadatel </w:t>
        <w:br/>
        <w:t xml:space="preserve">nedodrží sjednané smluvní podmínky, může soubor-umělec odmítnout </w:t>
        <w:br/>
        <w:t xml:space="preserve">vystoupení s tím, že pořadatel bude v tomto případě povinen zaplatit plnou </w:t>
        <w:br/>
        <w:t xml:space="preserve">cenu představení včetně dohodnutých nákladů. V ostatních případech porušení </w:t>
        <w:br/>
        <w:t xml:space="preserve">smluvních podmínek, postupují smluvní strany podle závazných právních </w:t>
        <w:br/>
        <w:t xml:space="preserve">předpisů. </w:t>
      </w:r>
    </w:p>
    <w:p>
      <w:pPr>
        <w:pStyle w:val="BodyText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b/>
          <w:sz w:val="28"/>
          <w:szCs w:val="28"/>
          <w:lang w:val="pl-PL"/>
        </w:rPr>
        <w:t>8.</w:t>
      </w:r>
      <w:r>
        <w:rPr>
          <w:rFonts w:ascii="Garamond" w:hAnsi="Garamond"/>
          <w:sz w:val="28"/>
          <w:szCs w:val="28"/>
          <w:lang w:val="pl-PL"/>
        </w:rPr>
        <w:t xml:space="preserve"> DK zajistí, pokud není dohodnuto jinak, příchod souboru umělce tak, aby byl schopen začít své vystoupení ve sjednanou hodinu. </w:t>
      </w:r>
    </w:p>
    <w:p>
      <w:pPr>
        <w:pStyle w:val="BodyText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b/>
          <w:sz w:val="28"/>
          <w:szCs w:val="28"/>
          <w:lang w:val="pl-PL"/>
        </w:rPr>
        <w:t>9</w:t>
      </w:r>
      <w:r>
        <w:rPr>
          <w:rFonts w:ascii="Garamond" w:hAnsi="Garamond"/>
          <w:sz w:val="28"/>
          <w:szCs w:val="28"/>
          <w:lang w:val="pl-PL"/>
        </w:rPr>
        <w:t xml:space="preserve">. Pořadatel zaručí, aby bylo představení technicky a organizačně dobře </w:t>
        <w:br/>
        <w:t xml:space="preserve">připraveno včetně technického personálu a dalších požadavků, vyplývajících ze </w:t>
        <w:br/>
        <w:t xml:space="preserve">zvláštního ujednání této smlouvy, zákoníku práce a obecně závazných právních </w:t>
        <w:br/>
        <w:t xml:space="preserve">předpisů (např. min. 20°C teplota v sále a dalších prostorách divadla podle </w:t>
        <w:br/>
        <w:t xml:space="preserve">technických norem apod.) </w:t>
      </w:r>
    </w:p>
    <w:p>
      <w:pPr>
        <w:pStyle w:val="BodyText"/>
        <w:rPr>
          <w:rFonts w:ascii="Garamond" w:hAnsi="Garamond"/>
          <w:sz w:val="28"/>
          <w:szCs w:val="28"/>
          <w:lang w:val="pl-PL"/>
        </w:rPr>
      </w:pPr>
      <w:r>
        <w:rPr>
          <w:rFonts w:ascii="Garamond" w:hAnsi="Garamond"/>
          <w:b/>
          <w:sz w:val="28"/>
          <w:szCs w:val="28"/>
          <w:lang w:val="pl-PL"/>
        </w:rPr>
        <w:t>10.</w:t>
      </w:r>
      <w:r>
        <w:rPr>
          <w:rFonts w:ascii="Garamond" w:hAnsi="Garamond"/>
          <w:sz w:val="28"/>
          <w:szCs w:val="28"/>
          <w:lang w:val="pl-PL"/>
        </w:rPr>
        <w:t xml:space="preserve"> Pořadatel zodpovídá za případné úrazy a majetkové škody, vzniklé v </w:t>
        <w:br/>
        <w:t xml:space="preserve">souvislosti s vystoupením, pokud nebyly průkazně zaviněny účinkujícími a jejich </w:t>
        <w:br/>
        <w:t xml:space="preserve">doprovodem. </w:t>
      </w:r>
    </w:p>
    <w:p>
      <w:pPr>
        <w:pStyle w:val="BodyText"/>
        <w:rPr>
          <w:rFonts w:ascii="Garamond" w:hAnsi="Garamond" w:cs="Liberation Mono"/>
          <w:sz w:val="28"/>
          <w:szCs w:val="28"/>
          <w:lang w:val="pl-PL"/>
        </w:rPr>
      </w:pPr>
      <w:r>
        <w:rPr>
          <w:rFonts w:ascii="Garamond" w:hAnsi="Garamond"/>
          <w:b/>
          <w:sz w:val="28"/>
          <w:szCs w:val="28"/>
          <w:lang w:val="pl-PL"/>
        </w:rPr>
        <w:t>11.</w:t>
      </w:r>
      <w:r>
        <w:rPr>
          <w:rFonts w:ascii="Garamond" w:hAnsi="Garamond"/>
          <w:sz w:val="28"/>
          <w:szCs w:val="28"/>
          <w:lang w:val="pl-PL"/>
        </w:rPr>
        <w:t xml:space="preserve"> DK zprostředkovatel nezodpovídá za případné úrazy umělců nebo pomocného personálu, způsobené </w:t>
      </w:r>
      <w:r>
        <w:rPr>
          <w:rFonts w:cs="Liberation Mono" w:ascii="Garamond" w:hAnsi="Garamond"/>
          <w:sz w:val="28"/>
          <w:szCs w:val="28"/>
          <w:lang w:val="pl-PL"/>
        </w:rPr>
        <w:t xml:space="preserve">během cesty nebo na místě vystoupení. </w:t>
      </w:r>
    </w:p>
    <w:p>
      <w:pPr>
        <w:pStyle w:val="Normal"/>
        <w:rPr>
          <w:rFonts w:ascii="Garamond" w:hAnsi="Garamond" w:cs="Liberation Mono"/>
          <w:b/>
          <w:sz w:val="28"/>
          <w:szCs w:val="28"/>
        </w:rPr>
      </w:pPr>
      <w:r>
        <w:rPr>
          <w:rFonts w:cs="Liberation Mono" w:ascii="Garamond" w:hAnsi="Garamond"/>
          <w:b/>
          <w:sz w:val="28"/>
          <w:szCs w:val="28"/>
        </w:rPr>
        <w:t>12.</w:t>
      </w:r>
      <w:r>
        <w:rPr>
          <w:rFonts w:cs="Liberation Mono" w:ascii="Garamond" w:hAnsi="Garamond"/>
          <w:sz w:val="28"/>
          <w:szCs w:val="28"/>
        </w:rPr>
        <w:t xml:space="preserve"> Pořadatel zaplatí autorské poplatky s držiteli práv. DILIA, divadelní, literární, audiovizuální agentura, z.s a také druhému držiteli autorských poplatků a to DK</w:t>
      </w:r>
    </w:p>
    <w:p>
      <w:pPr>
        <w:pStyle w:val="BodyText"/>
        <w:rPr>
          <w:rFonts w:ascii="Garamond" w:hAnsi="Garamond"/>
          <w:sz w:val="28"/>
          <w:szCs w:val="28"/>
          <w:lang w:val="cs-CZ"/>
        </w:rPr>
      </w:pPr>
      <w:r>
        <w:rPr>
          <w:rFonts w:ascii="Garamond" w:hAnsi="Garamond"/>
          <w:b/>
          <w:sz w:val="28"/>
          <w:szCs w:val="28"/>
          <w:lang w:val="cs-CZ"/>
        </w:rPr>
        <w:t>13.</w:t>
      </w:r>
      <w:r>
        <w:rPr>
          <w:rFonts w:ascii="Garamond" w:hAnsi="Garamond"/>
          <w:sz w:val="28"/>
          <w:szCs w:val="28"/>
          <w:lang w:val="cs-CZ"/>
        </w:rPr>
        <w:t xml:space="preserve"> Pořadatel zajistí, aby bez předchozího souhlasu souboru-umělce, nebyly </w:t>
        <w:br/>
        <w:t xml:space="preserve">pořizovány obrazové či zvukové záznamy uměleckých výkonů nebo prováděny </w:t>
        <w:br/>
        <w:t xml:space="preserve">jejich přenosy s výjimkou pořadů povolených zákonem. Totéž platí o </w:t>
        <w:br/>
        <w:t xml:space="preserve">fotografování. </w:t>
      </w:r>
    </w:p>
    <w:p>
      <w:pPr>
        <w:pStyle w:val="BodyText"/>
        <w:rPr>
          <w:rFonts w:ascii="Garamond" w:hAnsi="Garamond"/>
          <w:sz w:val="28"/>
          <w:szCs w:val="28"/>
          <w:lang w:val="cs-CZ"/>
        </w:rPr>
      </w:pPr>
      <w:r>
        <w:rPr>
          <w:rFonts w:ascii="Garamond" w:hAnsi="Garamond"/>
          <w:b/>
          <w:sz w:val="28"/>
          <w:szCs w:val="28"/>
          <w:lang w:val="cs-CZ"/>
        </w:rPr>
        <w:t>14.</w:t>
      </w:r>
      <w:r>
        <w:rPr>
          <w:rFonts w:ascii="Garamond" w:hAnsi="Garamond"/>
          <w:sz w:val="28"/>
          <w:szCs w:val="28"/>
          <w:lang w:val="cs-CZ"/>
        </w:rPr>
        <w:t xml:space="preserve"> Bude-li se pořadatelem objednáno několik představení po sobě </w:t>
        <w:br/>
        <w:t xml:space="preserve">jdoucích, zajistí objednavatel na vlastní náklady ubytování pro potřebný </w:t>
        <w:br/>
        <w:t xml:space="preserve">technický a umělecký personál zřizovatele včetně uskladnění kostýmů a rekvizit </w:t>
        <w:br/>
        <w:t xml:space="preserve">k představení. Počet osob bude upřesněn zřizovatelem při podpisu této smlouvy. </w:t>
      </w:r>
    </w:p>
    <w:p>
      <w:pPr>
        <w:pStyle w:val="BodyText"/>
        <w:rPr>
          <w:rFonts w:ascii="Garamond" w:hAnsi="Garamond"/>
          <w:sz w:val="28"/>
          <w:szCs w:val="28"/>
          <w:lang w:val="cs-CZ"/>
        </w:rPr>
      </w:pPr>
      <w:r>
        <w:rPr>
          <w:rFonts w:ascii="Garamond" w:hAnsi="Garamond"/>
          <w:b/>
          <w:sz w:val="28"/>
          <w:szCs w:val="28"/>
          <w:lang w:val="cs-CZ"/>
        </w:rPr>
        <w:t xml:space="preserve">15. </w:t>
      </w:r>
      <w:r>
        <w:rPr>
          <w:rFonts w:ascii="Garamond" w:hAnsi="Garamond"/>
          <w:sz w:val="28"/>
          <w:szCs w:val="28"/>
          <w:lang w:val="cs-CZ"/>
        </w:rPr>
        <w:t xml:space="preserve">Tato smlouva byla sepsána ve dvou vyhotoveních, přičemž každá ze </w:t>
        <w:br/>
        <w:t xml:space="preserve">smluvních stran přebírá po jednom vyhotovení. </w:t>
      </w:r>
    </w:p>
    <w:p>
      <w:pPr>
        <w:pStyle w:val="BodyText"/>
        <w:rPr>
          <w:rFonts w:ascii="Garamond" w:hAnsi="Garamond"/>
          <w:sz w:val="28"/>
          <w:szCs w:val="28"/>
          <w:lang w:val="cs-CZ"/>
        </w:rPr>
      </w:pPr>
      <w:r>
        <w:rPr>
          <w:rFonts w:ascii="Garamond" w:hAnsi="Garamond"/>
          <w:b/>
          <w:sz w:val="28"/>
          <w:szCs w:val="28"/>
          <w:lang w:val="cs-CZ"/>
        </w:rPr>
        <w:t>16.</w:t>
      </w:r>
      <w:r>
        <w:rPr>
          <w:rFonts w:ascii="Garamond" w:hAnsi="Garamond"/>
          <w:sz w:val="28"/>
          <w:szCs w:val="28"/>
          <w:lang w:val="cs-CZ"/>
        </w:rPr>
        <w:t xml:space="preserve"> Účastníci této smlouvy výslovně prohlašují, že tato smlouva byla sepsána na základě jejich svobodné a pravé vůle a na důkaz toho připojují níže své </w:t>
        <w:br/>
        <w:t xml:space="preserve">vlastnoruční podpisy. 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Ve městě Ostrava dne: </w:t>
      </w:r>
      <w:r>
        <w:rPr>
          <w:rFonts w:ascii="Garamond" w:hAnsi="Garamond"/>
          <w:b/>
          <w:sz w:val="28"/>
          <w:szCs w:val="28"/>
        </w:rPr>
        <w:t>9. 6. 2025</w:t>
      </w:r>
      <w:r>
        <w:rPr>
          <w:rFonts w:ascii="Garamond" w:hAnsi="Garamond"/>
          <w:b/>
          <w:sz w:val="28"/>
          <w:szCs w:val="28"/>
        </w:rPr>
        <w:t xml:space="preserve">             Ve městě </w:t>
      </w:r>
      <w:r>
        <w:rPr>
          <w:rFonts w:ascii="Garamond" w:hAnsi="Garamond"/>
          <w:b/>
          <w:sz w:val="28"/>
          <w:szCs w:val="28"/>
        </w:rPr>
        <w:t>Jaroměř dne: 30. 5. 2025</w:t>
      </w:r>
    </w:p>
    <w:p>
      <w:pPr>
        <w:pStyle w:val="Normal"/>
        <w:rPr>
          <w:rFonts w:ascii="Garamond" w:hAnsi="Garamond"/>
          <w:b/>
          <w:sz w:val="28"/>
          <w:szCs w:val="28"/>
        </w:rPr>
      </w:pPr>
      <w:r>
        <mc:AlternateContent>
          <mc:Choice Requires="wps">
            <w:drawing>
              <wp:anchor behindDoc="0" distT="0" distB="28575" distL="0" distR="28575" simplePos="0" locked="0" layoutInCell="1" allowOverlap="1" relativeHeight="2" wp14:anchorId="4CEB6031">
                <wp:simplePos x="0" y="0"/>
                <wp:positionH relativeFrom="column">
                  <wp:posOffset>819150</wp:posOffset>
                </wp:positionH>
                <wp:positionV relativeFrom="paragraph">
                  <wp:posOffset>626110</wp:posOffset>
                </wp:positionV>
                <wp:extent cx="390525" cy="295275"/>
                <wp:effectExtent l="6985" t="6985" r="5715" b="5715"/>
                <wp:wrapNone/>
                <wp:docPr id="1" name="Obdélník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600" cy="29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3" path="m0,0l-2147483645,0l-2147483645,-2147483646l0,-2147483646xe" fillcolor="white" stroked="t" o:allowincell="f" style="position:absolute;margin-left:64.5pt;margin-top:49.3pt;width:30.7pt;height:23.2pt;mso-wrap-style:none;v-text-anchor:middle" wp14:anchorId="4CEB6031">
                <v:fill o:detectmouseclick="t" type="solid" color2="black"/>
                <v:stroke color="white" weight="12600" joinstyle="miter" endcap="flat"/>
                <w10:wrap type="none"/>
              </v:rect>
            </w:pict>
          </mc:Fallback>
        </mc:AlternateContent>
      </w:r>
      <w:r>
        <w:rPr>
          <w:rFonts w:ascii="Garamond" w:hAnsi="Garamond"/>
          <w:b/>
          <w:sz w:val="28"/>
          <w:szCs w:val="28"/>
        </w:rPr>
        <w:t xml:space="preserve">Zřizovatel:            </w:t>
      </w:r>
      <w:r>
        <w:rPr>
          <w:rFonts w:ascii="Garamond" w:hAnsi="Garamond"/>
          <w:b/>
          <w:sz w:val="28"/>
          <w:szCs w:val="28"/>
        </w:rPr>
        <w:t>xxx</w:t>
      </w:r>
      <w:r>
        <w:rPr>
          <w:rFonts w:ascii="Garamond" w:hAnsi="Garamond"/>
          <w:b/>
          <w:sz w:val="28"/>
          <w:szCs w:val="28"/>
        </w:rPr>
        <w:t xml:space="preserve">                                 Pořadatel:            </w:t>
      </w:r>
      <w:r>
        <w:rPr>
          <w:rFonts w:ascii="Garamond" w:hAnsi="Garamond"/>
          <w:b/>
          <w:sz w:val="28"/>
          <w:szCs w:val="28"/>
        </w:rPr>
        <w:t>xxx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2240" w:h="15840"/>
      <w:pgMar w:left="1440" w:right="1440" w:gutter="0" w:header="0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86337153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86337153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95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54b8"/>
    <w:pPr>
      <w:widowControl/>
      <w:bidi w:val="0"/>
      <w:spacing w:lineRule="auto" w:line="259" w:before="0" w:after="160"/>
      <w:jc w:val="left"/>
    </w:pPr>
    <w:rPr>
      <w:rFonts w:ascii="Aptos" w:hAnsi="Aptos" w:eastAsia="Aptos" w:cs=""/>
      <w:color w:val="auto"/>
      <w:kern w:val="0"/>
      <w:sz w:val="22"/>
      <w:szCs w:val="22"/>
      <w:lang w:val="cs-CZ" w:eastAsia="en-US" w:bidi="ar-SA"/>
      <w14:ligatures w14:val="none"/>
    </w:rPr>
  </w:style>
  <w:style w:type="paragraph" w:styleId="Heading1">
    <w:name w:val="heading 1"/>
    <w:basedOn w:val="Normal"/>
    <w:next w:val="Normal"/>
    <w:link w:val="Nadpis1Char"/>
    <w:uiPriority w:val="9"/>
    <w:qFormat/>
    <w:rsid w:val="005f1e2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5f1e2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5f1e2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5f1e2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  <w:kern w:val="2"/>
      <w14:ligatures w14:val="standardContextual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5f1e2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  <w:kern w:val="2"/>
      <w14:ligatures w14:val="standardContextual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5f1e2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  <w:kern w:val="2"/>
      <w14:ligatures w14:val="standardContextual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5f1e2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  <w:kern w:val="2"/>
      <w14:ligatures w14:val="standardContextual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5f1e2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  <w:kern w:val="2"/>
      <w14:ligatures w14:val="standardContextual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5f1e2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5f1e2f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5f1e2f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5f1e2f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5f1e2f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dpis5Char" w:customStyle="1">
    <w:name w:val="Nadpis 5 Char"/>
    <w:basedOn w:val="DefaultParagraphFont"/>
    <w:uiPriority w:val="9"/>
    <w:semiHidden/>
    <w:qFormat/>
    <w:rsid w:val="005f1e2f"/>
    <w:rPr>
      <w:rFonts w:eastAsia="" w:cs="" w:cstheme="majorBidi" w:eastAsiaTheme="majorEastAsia"/>
      <w:color w:themeColor="accent1" w:themeShade="bf" w:val="0F4761"/>
    </w:rPr>
  </w:style>
  <w:style w:type="character" w:styleId="Nadpis6Char" w:customStyle="1">
    <w:name w:val="Nadpis 6 Char"/>
    <w:basedOn w:val="DefaultParagraphFont"/>
    <w:uiPriority w:val="9"/>
    <w:semiHidden/>
    <w:qFormat/>
    <w:rsid w:val="005f1e2f"/>
    <w:rPr>
      <w:rFonts w:eastAsia="" w:cs="" w:cstheme="majorBidi" w:eastAsiaTheme="majorEastAsia"/>
      <w:i/>
      <w:iCs/>
      <w:color w:themeColor="text1" w:themeTint="a6" w:val="595959"/>
    </w:rPr>
  </w:style>
  <w:style w:type="character" w:styleId="Nadpis7Char" w:customStyle="1">
    <w:name w:val="Nadpis 7 Char"/>
    <w:basedOn w:val="DefaultParagraphFont"/>
    <w:uiPriority w:val="9"/>
    <w:semiHidden/>
    <w:qFormat/>
    <w:rsid w:val="005f1e2f"/>
    <w:rPr>
      <w:rFonts w:eastAsia="" w:cs="" w:cstheme="majorBidi" w:eastAsiaTheme="majorEastAsia"/>
      <w:color w:themeColor="text1" w:themeTint="a6" w:val="595959"/>
    </w:rPr>
  </w:style>
  <w:style w:type="character" w:styleId="Nadpis8Char" w:customStyle="1">
    <w:name w:val="Nadpis 8 Char"/>
    <w:basedOn w:val="DefaultParagraphFont"/>
    <w:uiPriority w:val="9"/>
    <w:semiHidden/>
    <w:qFormat/>
    <w:rsid w:val="005f1e2f"/>
    <w:rPr>
      <w:rFonts w:eastAsia="" w:cs="" w:cstheme="majorBidi" w:eastAsiaTheme="majorEastAsia"/>
      <w:i/>
      <w:iCs/>
      <w:color w:themeColor="text1" w:themeTint="d8" w:val="272727"/>
    </w:rPr>
  </w:style>
  <w:style w:type="character" w:styleId="Nadpis9Char" w:customStyle="1">
    <w:name w:val="Nadpis 9 Char"/>
    <w:basedOn w:val="DefaultParagraphFont"/>
    <w:uiPriority w:val="9"/>
    <w:semiHidden/>
    <w:qFormat/>
    <w:rsid w:val="005f1e2f"/>
    <w:rPr>
      <w:rFonts w:eastAsia="" w:cs="" w:cstheme="majorBidi" w:eastAsiaTheme="majorEastAsia"/>
      <w:color w:themeColor="text1" w:themeTint="d8" w:val="272727"/>
    </w:rPr>
  </w:style>
  <w:style w:type="character" w:styleId="NzevChar" w:customStyle="1">
    <w:name w:val="Název Char"/>
    <w:basedOn w:val="DefaultParagraphFont"/>
    <w:uiPriority w:val="10"/>
    <w:qFormat/>
    <w:rsid w:val="005f1e2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5f1e2f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5f1e2f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f1e2f"/>
    <w:rPr>
      <w:i/>
      <w:iCs/>
      <w:color w:themeColor="accent1" w:themeShade="bf" w:val="0F4761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5f1e2f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5f1e2f"/>
    <w:rPr>
      <w:b/>
      <w:bCs/>
      <w:smallCaps/>
      <w:color w:themeColor="accent1" w:themeShade="bf" w:val="0F4761"/>
      <w:spacing w:val="5"/>
    </w:rPr>
  </w:style>
  <w:style w:type="character" w:styleId="ZkladntextChar" w:customStyle="1">
    <w:name w:val="Základní text Char"/>
    <w:basedOn w:val="DefaultParagraphFont"/>
    <w:qFormat/>
    <w:rsid w:val="009a54b8"/>
    <w:rPr>
      <w:rFonts w:ascii="Liberation Serif" w:hAnsi="Liberation Serif" w:eastAsia="Arial Unicode MS" w:cs="Lucida Sans"/>
      <w:kern w:val="0"/>
      <w:sz w:val="24"/>
      <w:szCs w:val="24"/>
      <w:lang w:val="en-US" w:eastAsia="zh-CN" w:bidi="hi-IN"/>
      <w14:ligatures w14:val="none"/>
    </w:rPr>
  </w:style>
  <w:style w:type="character" w:styleId="ZpatChar" w:customStyle="1">
    <w:name w:val="Zápatí Char"/>
    <w:basedOn w:val="DefaultParagraphFont"/>
    <w:uiPriority w:val="99"/>
    <w:qFormat/>
    <w:rsid w:val="009a54b8"/>
    <w:rPr>
      <w:kern w:val="0"/>
      <w14:ligatures w14:val="non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rsid w:val="009a54b8"/>
    <w:pPr>
      <w:widowControl w:val="false"/>
      <w:suppressAutoHyphens w:val="true"/>
      <w:spacing w:lineRule="auto" w:line="240" w:before="0" w:after="283"/>
    </w:pPr>
    <w:rPr>
      <w:rFonts w:ascii="Liberation Serif" w:hAnsi="Liberation Serif" w:eastAsia="Arial Unicode MS" w:cs="Lucida Sans"/>
      <w:sz w:val="24"/>
      <w:szCs w:val="24"/>
      <w:lang w:val="en-US" w:eastAsia="zh-CN" w:bidi="hi-IN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NzevChar"/>
    <w:uiPriority w:val="10"/>
    <w:qFormat/>
    <w:rsid w:val="005f1e2f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PodnadpisChar"/>
    <w:uiPriority w:val="11"/>
    <w:qFormat/>
    <w:rsid w:val="005f1e2f"/>
    <w:pPr/>
    <w:rPr>
      <w:rFonts w:eastAsia="" w:cs="" w:cstheme="majorBidi" w:eastAsiaTheme="majorEastAsia"/>
      <w:color w:themeColor="text1" w:themeTint="a6" w:val="595959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tChar"/>
    <w:uiPriority w:val="29"/>
    <w:qFormat/>
    <w:rsid w:val="005f1e2f"/>
    <w:pPr>
      <w:spacing w:before="160" w:after="160"/>
      <w:jc w:val="center"/>
    </w:pPr>
    <w:rPr>
      <w:i/>
      <w:iCs/>
      <w:color w:themeColor="text1" w:themeTint="bf" w:val="404040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5f1e2f"/>
    <w:pPr>
      <w:spacing w:before="0" w:after="160"/>
      <w:ind w:left="720"/>
      <w:contextualSpacing/>
    </w:pPr>
    <w:rPr>
      <w:kern w:val="2"/>
      <w14:ligatures w14:val="standardContextual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5f1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  <w:kern w:val="2"/>
      <w14:ligatures w14:val="standardContextual"/>
    </w:rPr>
  </w:style>
  <w:style w:type="paragraph" w:styleId="Zhlavazpat">
    <w:name w:val="Záhlaví a zápatí"/>
    <w:basedOn w:val="Normal"/>
    <w:qFormat/>
    <w:pPr/>
    <w:rPr/>
  </w:style>
  <w:style w:type="paragraph" w:styleId="Footer">
    <w:name w:val="footer"/>
    <w:basedOn w:val="Normal"/>
    <w:link w:val="ZpatChar"/>
    <w:uiPriority w:val="99"/>
    <w:unhideWhenUsed/>
    <w:rsid w:val="009a54b8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LibreOffice/25.2.3.2$Windows_X86_64 LibreOffice_project/bbb074479178df812d175f709636b368952c2ce3</Application>
  <AppVersion>15.0000</AppVersion>
  <Pages>4</Pages>
  <Words>678</Words>
  <Characters>4163</Characters>
  <CharactersWithSpaces>4915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2025-05-25T22:48:00Z</dcterms:created>
  <dc:creator>Jakub Vašek</dc:creator>
  <dc:description/>
  <dc:language>cs-CZ</dc:language>
  <cp:lastModifiedBy/>
  <dcterms:modified xsi:type="dcterms:W3CDTF">2025-06-09T07:41:53Z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