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SMLOU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VA </w:t>
      </w:r>
    </w:p>
    <w:p w14:paraId="66B2822E" w14:textId="1BDBB180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r w:rsidR="00D5457F" w:rsidRPr="00B21B39">
        <w:rPr>
          <w:bCs/>
          <w:i/>
          <w:iCs/>
          <w:color w:val="000000"/>
          <w:sz w:val="20"/>
          <w:szCs w:val="20"/>
        </w:rPr>
        <w:t>ID: EDIH</w:t>
      </w:r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22F20433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</w:t>
            </w:r>
            <w:r w:rsidR="008F53B8">
              <w:rPr>
                <w:color w:val="000000"/>
              </w:rPr>
              <w:t xml:space="preserve"> EUR</w:t>
            </w:r>
            <w:r w:rsidRPr="00DC542A">
              <w:rPr>
                <w:color w:val="000000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37FD47E5" w:rsidR="008F53B8" w:rsidRPr="0034486D" w:rsidRDefault="00D5457F" w:rsidP="008F53B8">
            <w:pPr>
              <w:pStyle w:val="Zkladntext"/>
              <w:rPr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0BB97864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654C3F43" w14:textId="2B5FA212" w:rsidR="008C2106" w:rsidRPr="008C2106" w:rsidRDefault="008C2106" w:rsidP="008C2106">
            <w:pPr>
              <w:pStyle w:val="Zkladntex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C21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doc. Ing. Josef Černohorský, Ph.D., děkanem Fakulty </w:t>
            </w:r>
            <w:proofErr w:type="spellStart"/>
            <w:r w:rsidRPr="008C2106">
              <w:rPr>
                <w:rFonts w:ascii="Arial" w:hAnsi="Arial" w:cs="Arial"/>
                <w:color w:val="000000" w:themeColor="text1"/>
                <w:sz w:val="22"/>
                <w:szCs w:val="22"/>
              </w:rPr>
              <w:t>mechatroniky</w:t>
            </w:r>
            <w:proofErr w:type="spellEnd"/>
            <w:r w:rsidRPr="008C2106">
              <w:rPr>
                <w:rFonts w:ascii="Arial" w:hAnsi="Arial" w:cs="Arial"/>
                <w:color w:val="000000" w:themeColor="text1"/>
                <w:sz w:val="22"/>
                <w:szCs w:val="22"/>
              </w:rPr>
              <w:t>, informatiky a mezioborových studií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7FA1419B" w:rsidR="00FB5329" w:rsidRPr="00DC542A" w:rsidRDefault="00D5457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ACBB" w14:textId="6F071F95" w:rsidR="00343EC4" w:rsidRPr="008048A0" w:rsidRDefault="00D5457F" w:rsidP="00343EC4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  <w:proofErr w:type="spellEnd"/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3FF00F8F" w:rsidR="00FB5329" w:rsidRPr="00DC542A" w:rsidRDefault="00D5457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6738C25D" w:rsidR="008136D3" w:rsidRPr="00343EC4" w:rsidRDefault="00343EC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343EC4">
              <w:rPr>
                <w:b/>
                <w:sz w:val="20"/>
                <w:szCs w:val="20"/>
              </w:rPr>
              <w:t>GOODPED, s.r.o.</w:t>
            </w:r>
          </w:p>
        </w:tc>
      </w:tr>
      <w:tr w:rsidR="00AE52AE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32D04D1E" w:rsidR="00AE52AE" w:rsidRPr="00343EC4" w:rsidRDefault="00343EC4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343EC4">
              <w:rPr>
                <w:rFonts w:eastAsiaTheme="minorHAnsi"/>
                <w:lang w:eastAsia="en-US"/>
                <w14:ligatures w14:val="standardContextual"/>
              </w:rPr>
              <w:t>Pod Hřištěm 93, 25167 Pyšely – Zaječice</w:t>
            </w:r>
            <w:r w:rsidR="008C2106" w:rsidRPr="00343EC4">
              <w:rPr>
                <w:color w:val="000000" w:themeColor="text1"/>
              </w:rPr>
              <w:t xml:space="preserve">, </w:t>
            </w:r>
          </w:p>
        </w:tc>
      </w:tr>
      <w:tr w:rsidR="00AE52AE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4736CBAA" w:rsidR="00AE52AE" w:rsidRPr="00343EC4" w:rsidRDefault="00343EC4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343EC4">
              <w:rPr>
                <w:color w:val="000000"/>
              </w:rPr>
              <w:t>09607731</w:t>
            </w:r>
          </w:p>
        </w:tc>
      </w:tr>
      <w:tr w:rsidR="00AE52AE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0031D14B" w:rsidR="00AE52AE" w:rsidRPr="00343EC4" w:rsidRDefault="008C2106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343EC4">
              <w:rPr>
                <w:color w:val="000000" w:themeColor="text1"/>
              </w:rPr>
              <w:t>CZ</w:t>
            </w:r>
            <w:r w:rsidR="00343EC4" w:rsidRPr="00343EC4">
              <w:rPr>
                <w:color w:val="000000"/>
              </w:rPr>
              <w:t>09607731</w:t>
            </w:r>
          </w:p>
        </w:tc>
      </w:tr>
      <w:tr w:rsidR="00AE52AE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594F9FBD" w:rsidR="00AE52AE" w:rsidRPr="00343EC4" w:rsidRDefault="00D5457F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</w:t>
            </w:r>
            <w:proofErr w:type="spellEnd"/>
          </w:p>
        </w:tc>
      </w:tr>
      <w:tr w:rsidR="00AE52AE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77E65B9D" w:rsidR="00AE52AE" w:rsidRPr="00343EC4" w:rsidRDefault="00343EC4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343EC4">
              <w:rPr>
                <w:rFonts w:eastAsiaTheme="minorHAnsi"/>
                <w:lang w:eastAsia="en-US"/>
                <w14:ligatures w14:val="standardContextual"/>
              </w:rPr>
              <w:t>Miroslav Špaček</w:t>
            </w:r>
            <w:r w:rsidR="008C2106" w:rsidRPr="00343EC4">
              <w:rPr>
                <w:color w:val="000000" w:themeColor="text1"/>
              </w:rPr>
              <w:t>, jednatelem</w:t>
            </w:r>
          </w:p>
        </w:tc>
      </w:tr>
      <w:tr w:rsidR="00AE52AE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66D21E97" w:rsidR="00AE52AE" w:rsidRPr="00343EC4" w:rsidRDefault="00D5457F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rFonts w:eastAsiaTheme="minorHAnsi"/>
                <w:lang w:eastAsia="en-US"/>
                <w14:ligatures w14:val="standardContextual"/>
              </w:rPr>
              <w:t>xxx</w:t>
            </w:r>
            <w:proofErr w:type="spellEnd"/>
          </w:p>
        </w:tc>
      </w:tr>
      <w:tr w:rsidR="00AE52AE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445D8D3C" w:rsidR="00AE52AE" w:rsidRPr="008136D3" w:rsidRDefault="00D5457F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lastRenderedPageBreak/>
              <w:t>xxx</w:t>
            </w:r>
            <w:proofErr w:type="spellEnd"/>
          </w:p>
        </w:tc>
      </w:tr>
      <w:tr w:rsidR="00AE52AE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18098CE5" w14:textId="77777777" w:rsidR="00343EC4" w:rsidRPr="00E37BC4" w:rsidRDefault="00343EC4" w:rsidP="00343EC4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nalýza elektronických zařízení, rizikové analýzy a spolehlivostní predikce 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 xml:space="preserve">Analýza elektronických zařízení, rizikové analýzy a spolehlivostní predikce </w:t>
      </w:r>
      <w:r>
        <w:rPr>
          <w:color w:val="000000" w:themeColor="text1"/>
        </w:rPr>
        <w:fldChar w:fldCharType="end"/>
      </w:r>
    </w:p>
    <w:p w14:paraId="05252AEC" w14:textId="0B64FAEB" w:rsidR="00AE52AE" w:rsidRPr="00343EC4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34486D">
        <w:t>XXX</w:t>
      </w:r>
    </w:p>
    <w:p w14:paraId="7DEC55AE" w14:textId="599DCE87" w:rsidR="00AE52AE" w:rsidRPr="00343EC4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343EC4">
        <w:t xml:space="preserve">Výstup: </w:t>
      </w:r>
      <w:r w:rsidRPr="00343EC4">
        <w:tab/>
      </w:r>
      <w:r w:rsidRPr="00343EC4">
        <w:tab/>
      </w:r>
      <w:r w:rsidR="0034486D">
        <w:t>XXX</w:t>
      </w:r>
      <w:r w:rsidRPr="00343EC4">
        <w:t xml:space="preserve">.   </w:t>
      </w:r>
    </w:p>
    <w:p w14:paraId="6E9FEC05" w14:textId="308E6D8C" w:rsidR="00AE52AE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343EC4">
        <w:t>Časová kapacita:</w:t>
      </w:r>
      <w:r w:rsidRPr="00343EC4">
        <w:tab/>
      </w:r>
      <w:r w:rsidR="00343EC4" w:rsidRPr="00343EC4">
        <w:rPr>
          <w:color w:val="000000" w:themeColor="text1"/>
        </w:rPr>
        <w:t>10</w:t>
      </w:r>
      <w:r w:rsidRPr="00343EC4">
        <w:rPr>
          <w:color w:val="000000" w:themeColor="text1"/>
        </w:rPr>
        <w:t>0</w:t>
      </w:r>
      <w:r w:rsidRPr="00343EC4">
        <w:t xml:space="preserve"> hod.</w:t>
      </w:r>
    </w:p>
    <w:p w14:paraId="630D4F93" w14:textId="77777777" w:rsidR="00343EC4" w:rsidRPr="00343EC4" w:rsidRDefault="00343EC4" w:rsidP="00343EC4">
      <w:pPr>
        <w:pStyle w:val="Zkladntext"/>
        <w:rPr>
          <w:lang w:val="cs-CZ" w:eastAsia="cs-CZ"/>
        </w:rPr>
      </w:pPr>
    </w:p>
    <w:p w14:paraId="651B8A7B" w14:textId="3399DBB5" w:rsidR="00343EC4" w:rsidRPr="00343EC4" w:rsidRDefault="00343EC4" w:rsidP="00390AE8">
      <w:pPr>
        <w:pStyle w:val="Nadpis2"/>
        <w:numPr>
          <w:ilvl w:val="1"/>
          <w:numId w:val="10"/>
        </w:numPr>
        <w:ind w:left="709"/>
      </w:pPr>
      <w:r w:rsidRPr="00343EC4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v oblasti elektromobility, bateriových zdrojů napájení a alternativních zdrojů energie"/>
            </w:textInput>
          </w:ffData>
        </w:fldChar>
      </w:r>
      <w:r w:rsidRPr="00343EC4">
        <w:rPr>
          <w:color w:val="000000" w:themeColor="text1"/>
        </w:rPr>
        <w:instrText xml:space="preserve"> FORMTEXT </w:instrText>
      </w:r>
      <w:r w:rsidRPr="00343EC4">
        <w:rPr>
          <w:color w:val="000000" w:themeColor="text1"/>
        </w:rPr>
      </w:r>
      <w:r w:rsidRPr="00343EC4">
        <w:rPr>
          <w:color w:val="000000" w:themeColor="text1"/>
        </w:rPr>
        <w:fldChar w:fldCharType="separate"/>
      </w:r>
      <w:r w:rsidRPr="00343EC4">
        <w:rPr>
          <w:noProof/>
          <w:color w:val="000000" w:themeColor="text1"/>
        </w:rPr>
        <w:t>Poradenství v oblasti elektromobility, bateriových zdrojů napájení a alternativních zdrojů energie</w:t>
      </w:r>
      <w:r w:rsidRPr="00343EC4">
        <w:rPr>
          <w:color w:val="000000" w:themeColor="text1"/>
        </w:rPr>
        <w:fldChar w:fldCharType="end"/>
      </w:r>
    </w:p>
    <w:p w14:paraId="40F09961" w14:textId="6004586E" w:rsidR="00343EC4" w:rsidRPr="00343EC4" w:rsidRDefault="00343EC4" w:rsidP="00343EC4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>
        <w:tab/>
      </w:r>
      <w:r w:rsidR="0034486D">
        <w:t>XXX</w:t>
      </w:r>
      <w:r w:rsidRPr="00343EC4">
        <w:t>.</w:t>
      </w:r>
    </w:p>
    <w:p w14:paraId="6938F39E" w14:textId="77777777" w:rsidR="00343EC4" w:rsidRPr="00343EC4" w:rsidRDefault="00343EC4" w:rsidP="00343EC4">
      <w:pPr>
        <w:pStyle w:val="Zkladntext"/>
        <w:rPr>
          <w:lang w:val="cs-CZ" w:eastAsia="cs-CZ"/>
        </w:rPr>
      </w:pPr>
    </w:p>
    <w:p w14:paraId="48E6E098" w14:textId="27310EB5" w:rsidR="00343EC4" w:rsidRPr="00D3358C" w:rsidRDefault="00343EC4" w:rsidP="00343EC4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343EC4">
        <w:t xml:space="preserve">Výstup: </w:t>
      </w:r>
      <w:r w:rsidRPr="00343EC4">
        <w:tab/>
      </w:r>
      <w:r w:rsidR="0034486D">
        <w:t>XXX</w:t>
      </w:r>
      <w:r w:rsidRPr="00343EC4">
        <w:t>.</w:t>
      </w:r>
      <w:r w:rsidRPr="00CA484A">
        <w:t xml:space="preserve">    </w:t>
      </w:r>
    </w:p>
    <w:p w14:paraId="5C430C25" w14:textId="77777777" w:rsidR="00343EC4" w:rsidRPr="00E37BC4" w:rsidRDefault="00343EC4" w:rsidP="00343EC4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>
        <w:rPr>
          <w:color w:val="000000" w:themeColor="text1"/>
        </w:rPr>
        <w:t>100</w:t>
      </w:r>
      <w:r w:rsidRPr="00E37BC4">
        <w:t xml:space="preserve"> hod.</w:t>
      </w:r>
    </w:p>
    <w:p w14:paraId="0154C830" w14:textId="77777777" w:rsidR="00343EC4" w:rsidRPr="00343EC4" w:rsidRDefault="00343EC4" w:rsidP="00343EC4">
      <w:pPr>
        <w:pStyle w:val="Zkladntext"/>
        <w:rPr>
          <w:lang w:val="cs-CZ" w:eastAsia="cs-CZ"/>
        </w:rPr>
      </w:pPr>
    </w:p>
    <w:p w14:paraId="04AB0A09" w14:textId="32B0E4B0" w:rsidR="00F94EB5" w:rsidRPr="00343EC4" w:rsidRDefault="00AE52AE" w:rsidP="00F94EB5">
      <w:pPr>
        <w:pStyle w:val="Nadpis2"/>
        <w:numPr>
          <w:ilvl w:val="1"/>
          <w:numId w:val="10"/>
        </w:numPr>
        <w:ind w:left="709"/>
      </w:pPr>
      <w:r w:rsidRPr="003017D0">
        <w:t xml:space="preserve"> </w:t>
      </w:r>
      <w:r w:rsidR="00F94EB5" w:rsidRPr="00F94EB5">
        <w:rPr>
          <w:color w:val="000000" w:themeColor="text1"/>
        </w:rPr>
        <w:t>Poradenství k analýze dat, modelování, simulaci, ML a AI zpracování</w:t>
      </w:r>
    </w:p>
    <w:p w14:paraId="30ACA17C" w14:textId="17E72961" w:rsidR="00F94EB5" w:rsidRPr="00343EC4" w:rsidRDefault="00F94EB5" w:rsidP="00F94EB5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>
        <w:tab/>
      </w:r>
      <w:r w:rsidR="0034486D">
        <w:t>XXX</w:t>
      </w:r>
    </w:p>
    <w:p w14:paraId="69BBDDF2" w14:textId="77777777" w:rsidR="00F94EB5" w:rsidRPr="00343EC4" w:rsidRDefault="00F94EB5" w:rsidP="00F94EB5">
      <w:pPr>
        <w:pStyle w:val="Zkladntext"/>
        <w:rPr>
          <w:lang w:val="cs-CZ" w:eastAsia="cs-CZ"/>
        </w:rPr>
      </w:pPr>
    </w:p>
    <w:p w14:paraId="673E8D30" w14:textId="547051B9" w:rsidR="00F94EB5" w:rsidRPr="00D3358C" w:rsidRDefault="00F94EB5" w:rsidP="00F94EB5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343EC4">
        <w:t xml:space="preserve">Výstup: </w:t>
      </w:r>
      <w:r w:rsidRPr="00343EC4">
        <w:tab/>
      </w:r>
      <w:r w:rsidR="0034486D">
        <w:t>XXX</w:t>
      </w:r>
      <w:r w:rsidRPr="00F94EB5">
        <w:t>.</w:t>
      </w:r>
      <w:r w:rsidRPr="00CA484A">
        <w:t xml:space="preserve">        </w:t>
      </w:r>
    </w:p>
    <w:p w14:paraId="65BB6970" w14:textId="6EEB39E9" w:rsidR="00F94EB5" w:rsidRPr="00E37BC4" w:rsidRDefault="00F94EB5" w:rsidP="00F94EB5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>
        <w:rPr>
          <w:color w:val="000000" w:themeColor="text1"/>
        </w:rPr>
        <w:t>40</w:t>
      </w:r>
      <w:r w:rsidRPr="00E37BC4">
        <w:t xml:space="preserve"> hod.</w:t>
      </w:r>
    </w:p>
    <w:p w14:paraId="082E66BE" w14:textId="61C8E951" w:rsidR="00AE52AE" w:rsidRPr="003017D0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</w:p>
    <w:p w14:paraId="75EE7A51" w14:textId="77777777" w:rsidR="00AE52AE" w:rsidRDefault="00AE52AE" w:rsidP="00AE52AE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lastRenderedPageBreak/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343EC4" w:rsidRPr="00E37BC4" w14:paraId="2A1B55D2" w14:textId="77777777" w:rsidTr="00DD3B49">
        <w:tc>
          <w:tcPr>
            <w:tcW w:w="2188" w:type="dxa"/>
          </w:tcPr>
          <w:p w14:paraId="2C2167EF" w14:textId="58470FFF" w:rsidR="00343EC4" w:rsidRPr="00343EC4" w:rsidRDefault="00343EC4" w:rsidP="00343EC4">
            <w:r w:rsidRPr="00343EC4">
              <w:t xml:space="preserve">Ad. 2.1. </w:t>
            </w:r>
            <w:r w:rsidRPr="00343EC4">
              <w:rPr>
                <w:color w:val="000000" w:themeColor="text1"/>
              </w:rPr>
              <w:t>Analýza elektronických zařízení, rizikové analýzy a spolehlivostní predikce</w:t>
            </w:r>
          </w:p>
        </w:tc>
        <w:tc>
          <w:tcPr>
            <w:tcW w:w="2172" w:type="dxa"/>
          </w:tcPr>
          <w:p w14:paraId="189CFD3D" w14:textId="7573E1E7" w:rsidR="00343EC4" w:rsidRPr="003017D0" w:rsidRDefault="00343EC4" w:rsidP="00343EC4">
            <w:pPr>
              <w:jc w:val="center"/>
            </w:pPr>
            <w:r>
              <w:rPr>
                <w:color w:val="000000" w:themeColor="text1"/>
              </w:rPr>
              <w:t>100</w:t>
            </w:r>
            <w:r w:rsidRPr="00E37BC4">
              <w:t xml:space="preserve"> hod.</w:t>
            </w:r>
          </w:p>
        </w:tc>
        <w:tc>
          <w:tcPr>
            <w:tcW w:w="2173" w:type="dxa"/>
          </w:tcPr>
          <w:p w14:paraId="59ABD697" w14:textId="0CE05C33" w:rsidR="00343EC4" w:rsidRPr="00E37BC4" w:rsidRDefault="00343EC4" w:rsidP="00343EC4">
            <w:pPr>
              <w:jc w:val="center"/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305438FF" w14:textId="1C1E2F5F" w:rsidR="00343EC4" w:rsidRPr="00E37BC4" w:rsidRDefault="00343EC4" w:rsidP="00343EC4">
            <w:pPr>
              <w:jc w:val="center"/>
            </w:pPr>
            <w:r>
              <w:rPr>
                <w:color w:val="000000" w:themeColor="text1"/>
              </w:rPr>
              <w:t xml:space="preserve"> 9 091,- EUR</w:t>
            </w:r>
          </w:p>
        </w:tc>
      </w:tr>
      <w:tr w:rsidR="00343EC4" w:rsidRPr="00E37BC4" w14:paraId="5A0CBBF2" w14:textId="77777777" w:rsidTr="00DD3B49">
        <w:tc>
          <w:tcPr>
            <w:tcW w:w="2188" w:type="dxa"/>
          </w:tcPr>
          <w:p w14:paraId="3ACABB34" w14:textId="393D9708" w:rsidR="00343EC4" w:rsidRPr="00343EC4" w:rsidRDefault="00343EC4" w:rsidP="00343EC4">
            <w:r w:rsidRPr="00343EC4">
              <w:t xml:space="preserve">Ad. 2.2. </w:t>
            </w:r>
            <w:r w:rsidRPr="00343EC4">
              <w:rPr>
                <w:color w:val="000000" w:themeColor="text1"/>
              </w:rPr>
              <w:t xml:space="preserve">Poradenství v oblasti </w:t>
            </w:r>
            <w:proofErr w:type="spellStart"/>
            <w:r w:rsidRPr="00343EC4">
              <w:rPr>
                <w:color w:val="000000" w:themeColor="text1"/>
              </w:rPr>
              <w:t>elektromobility</w:t>
            </w:r>
            <w:proofErr w:type="spellEnd"/>
            <w:r w:rsidRPr="00343EC4">
              <w:rPr>
                <w:color w:val="000000" w:themeColor="text1"/>
              </w:rPr>
              <w:t>, bateriových zdrojů napájení a alternativních zdrojů energie</w:t>
            </w:r>
          </w:p>
        </w:tc>
        <w:tc>
          <w:tcPr>
            <w:tcW w:w="2172" w:type="dxa"/>
          </w:tcPr>
          <w:p w14:paraId="0E7C9BC0" w14:textId="0EE25769" w:rsidR="00343EC4" w:rsidRPr="00BB7E42" w:rsidRDefault="00343EC4" w:rsidP="00343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Pr="00E37BC4">
              <w:t xml:space="preserve"> hod.</w:t>
            </w:r>
          </w:p>
        </w:tc>
        <w:tc>
          <w:tcPr>
            <w:tcW w:w="2173" w:type="dxa"/>
          </w:tcPr>
          <w:p w14:paraId="5D6FD0C4" w14:textId="1C4018EF" w:rsidR="00343EC4" w:rsidRPr="00BB7E42" w:rsidRDefault="00343EC4" w:rsidP="00343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25A8DC00" w14:textId="62094EBB" w:rsidR="00343EC4" w:rsidRPr="00BB7E42" w:rsidRDefault="00343EC4" w:rsidP="00343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9 091,- EUR</w:t>
            </w:r>
          </w:p>
        </w:tc>
      </w:tr>
      <w:tr w:rsidR="00343EC4" w:rsidRPr="00E37BC4" w14:paraId="7A54D297" w14:textId="77777777" w:rsidTr="00DD3B49">
        <w:tc>
          <w:tcPr>
            <w:tcW w:w="2188" w:type="dxa"/>
          </w:tcPr>
          <w:p w14:paraId="03CB9F5A" w14:textId="6159B22E" w:rsidR="00343EC4" w:rsidRPr="00343EC4" w:rsidRDefault="00F94EB5" w:rsidP="00343EC4">
            <w:r w:rsidRPr="00343EC4">
              <w:t>Ad. 2.</w:t>
            </w:r>
            <w:r>
              <w:t>3</w:t>
            </w:r>
            <w:r w:rsidRPr="00343EC4">
              <w:t xml:space="preserve">. </w:t>
            </w:r>
            <w:r w:rsidRPr="00F94EB5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35AD01A2" w14:textId="69133D42" w:rsidR="00343EC4" w:rsidRDefault="00F94EB5" w:rsidP="00343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hod</w:t>
            </w:r>
          </w:p>
        </w:tc>
        <w:tc>
          <w:tcPr>
            <w:tcW w:w="2173" w:type="dxa"/>
          </w:tcPr>
          <w:p w14:paraId="492477B2" w14:textId="649A0A9A" w:rsidR="00343EC4" w:rsidRDefault="00F94EB5" w:rsidP="00343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1710CB52" w14:textId="15EAD43B" w:rsidR="00343EC4" w:rsidRDefault="00F94EB5" w:rsidP="00343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3 636,40 EUR</w:t>
            </w:r>
          </w:p>
        </w:tc>
      </w:tr>
      <w:tr w:rsidR="00343EC4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343EC4" w:rsidRPr="00E37BC4" w:rsidRDefault="00343EC4" w:rsidP="00343EC4">
            <w:pPr>
              <w:jc w:val="left"/>
            </w:pPr>
            <w:r w:rsidRPr="00E37BC4">
              <w:t>CELKOVÁ HODNOTA SLUŽBY</w:t>
            </w:r>
          </w:p>
        </w:tc>
        <w:tc>
          <w:tcPr>
            <w:tcW w:w="2167" w:type="dxa"/>
          </w:tcPr>
          <w:p w14:paraId="4FE52333" w14:textId="7FCAB028" w:rsidR="00343EC4" w:rsidRPr="00BB7E42" w:rsidRDefault="00F94EB5" w:rsidP="00343EC4">
            <w:pPr>
              <w:jc w:val="center"/>
            </w:pPr>
            <w:r w:rsidRPr="00F94EB5">
              <w:rPr>
                <w:color w:val="000000" w:themeColor="text1"/>
              </w:rPr>
              <w:t xml:space="preserve">21 818,40 </w:t>
            </w:r>
            <w:r w:rsidR="00343EC4" w:rsidRPr="00F94EB5">
              <w:rPr>
                <w:color w:val="000000" w:themeColor="text1"/>
              </w:rPr>
              <w:t>EUR</w:t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343EC4" w:rsidRPr="00E37BC4" w14:paraId="34C7CF4B" w14:textId="77777777" w:rsidTr="00DD3B49">
        <w:tc>
          <w:tcPr>
            <w:tcW w:w="2187" w:type="dxa"/>
          </w:tcPr>
          <w:p w14:paraId="3975E8E5" w14:textId="1DC5DCF2" w:rsidR="00343EC4" w:rsidRPr="00343EC4" w:rsidRDefault="00343EC4" w:rsidP="00343EC4">
            <w:r w:rsidRPr="00343EC4">
              <w:lastRenderedPageBreak/>
              <w:t xml:space="preserve">Ad. 2.1. </w:t>
            </w:r>
            <w:r w:rsidRPr="00343EC4">
              <w:rPr>
                <w:color w:val="000000" w:themeColor="text1"/>
              </w:rPr>
              <w:t>Analýza elektronických zařízení, rizikové analýzy a spolehlivostní predikce</w:t>
            </w:r>
          </w:p>
        </w:tc>
        <w:tc>
          <w:tcPr>
            <w:tcW w:w="2172" w:type="dxa"/>
          </w:tcPr>
          <w:p w14:paraId="7B7474C0" w14:textId="5974B811" w:rsidR="00343EC4" w:rsidRPr="00343EC4" w:rsidRDefault="00343EC4" w:rsidP="00343EC4">
            <w:pPr>
              <w:jc w:val="center"/>
            </w:pPr>
            <w:r w:rsidRPr="00343EC4">
              <w:rPr>
                <w:color w:val="000000" w:themeColor="text1"/>
              </w:rPr>
              <w:t>100</w:t>
            </w:r>
            <w:r w:rsidRPr="00343EC4">
              <w:t xml:space="preserve"> hod.</w:t>
            </w:r>
          </w:p>
        </w:tc>
        <w:tc>
          <w:tcPr>
            <w:tcW w:w="2173" w:type="dxa"/>
          </w:tcPr>
          <w:p w14:paraId="3DAFE89B" w14:textId="6AB020D4" w:rsidR="00343EC4" w:rsidRPr="00343EC4" w:rsidRDefault="00343EC4" w:rsidP="00343EC4">
            <w:pPr>
              <w:jc w:val="center"/>
            </w:pPr>
            <w:r w:rsidRPr="00343EC4">
              <w:rPr>
                <w:color w:val="000000" w:themeColor="text1"/>
              </w:rPr>
              <w:t>15,00 EUR</w:t>
            </w:r>
          </w:p>
        </w:tc>
        <w:tc>
          <w:tcPr>
            <w:tcW w:w="2168" w:type="dxa"/>
          </w:tcPr>
          <w:p w14:paraId="207B49B8" w14:textId="485B0B3A" w:rsidR="00343EC4" w:rsidRPr="00343EC4" w:rsidRDefault="00343EC4" w:rsidP="00343EC4">
            <w:pPr>
              <w:jc w:val="center"/>
            </w:pPr>
            <w:r w:rsidRPr="00343EC4">
              <w:rPr>
                <w:color w:val="000000" w:themeColor="text1"/>
              </w:rPr>
              <w:t>1500,00 EUR</w:t>
            </w:r>
          </w:p>
        </w:tc>
      </w:tr>
      <w:tr w:rsidR="00343EC4" w:rsidRPr="00E37BC4" w14:paraId="748B41F5" w14:textId="77777777" w:rsidTr="00DD3B49">
        <w:tc>
          <w:tcPr>
            <w:tcW w:w="2187" w:type="dxa"/>
          </w:tcPr>
          <w:p w14:paraId="7068339B" w14:textId="67CA8C75" w:rsidR="00343EC4" w:rsidRPr="00343EC4" w:rsidRDefault="00343EC4" w:rsidP="00343EC4">
            <w:r w:rsidRPr="00343EC4">
              <w:t xml:space="preserve">Ad. 2.1. </w:t>
            </w:r>
            <w:r w:rsidRPr="00343EC4">
              <w:rPr>
                <w:color w:val="000000" w:themeColor="text1"/>
              </w:rPr>
              <w:t xml:space="preserve">Poradenství v oblasti </w:t>
            </w:r>
            <w:proofErr w:type="spellStart"/>
            <w:r w:rsidRPr="00343EC4">
              <w:rPr>
                <w:color w:val="000000" w:themeColor="text1"/>
              </w:rPr>
              <w:t>elektromobility</w:t>
            </w:r>
            <w:proofErr w:type="spellEnd"/>
            <w:r w:rsidRPr="00343EC4">
              <w:rPr>
                <w:color w:val="000000" w:themeColor="text1"/>
              </w:rPr>
              <w:t>, bateriových zdrojů napájení a alternativních zdrojů energie</w:t>
            </w:r>
          </w:p>
        </w:tc>
        <w:tc>
          <w:tcPr>
            <w:tcW w:w="2172" w:type="dxa"/>
          </w:tcPr>
          <w:p w14:paraId="6890A676" w14:textId="4A5EFB6B" w:rsidR="00343EC4" w:rsidRPr="00343EC4" w:rsidRDefault="00343EC4" w:rsidP="00343EC4">
            <w:pPr>
              <w:jc w:val="center"/>
            </w:pPr>
            <w:r>
              <w:rPr>
                <w:color w:val="000000" w:themeColor="text1"/>
              </w:rPr>
              <w:t>10</w:t>
            </w:r>
            <w:r w:rsidRPr="00343EC4">
              <w:rPr>
                <w:color w:val="000000" w:themeColor="text1"/>
              </w:rPr>
              <w:t>0</w:t>
            </w:r>
            <w:r w:rsidRPr="00343EC4">
              <w:t xml:space="preserve"> hod.</w:t>
            </w:r>
          </w:p>
        </w:tc>
        <w:tc>
          <w:tcPr>
            <w:tcW w:w="2173" w:type="dxa"/>
          </w:tcPr>
          <w:p w14:paraId="104EDEF4" w14:textId="764F6264" w:rsidR="00343EC4" w:rsidRPr="00343EC4" w:rsidRDefault="00343EC4" w:rsidP="00343EC4">
            <w:pPr>
              <w:jc w:val="center"/>
            </w:pPr>
            <w:r w:rsidRPr="00343EC4">
              <w:rPr>
                <w:color w:val="000000" w:themeColor="text1"/>
              </w:rPr>
              <w:t>0,00 EUR</w:t>
            </w:r>
          </w:p>
        </w:tc>
        <w:tc>
          <w:tcPr>
            <w:tcW w:w="2168" w:type="dxa"/>
          </w:tcPr>
          <w:p w14:paraId="3CCBE133" w14:textId="5E7E987A" w:rsidR="00343EC4" w:rsidRPr="00343EC4" w:rsidRDefault="00343EC4" w:rsidP="00343EC4">
            <w:pPr>
              <w:jc w:val="center"/>
            </w:pPr>
            <w:r w:rsidRPr="00343EC4">
              <w:rPr>
                <w:color w:val="000000" w:themeColor="text1"/>
              </w:rPr>
              <w:t>0,00 EUR</w:t>
            </w:r>
          </w:p>
        </w:tc>
      </w:tr>
      <w:tr w:rsidR="00F94EB5" w:rsidRPr="00E37BC4" w14:paraId="2EE3A980" w14:textId="77777777" w:rsidTr="00DD3B49">
        <w:tc>
          <w:tcPr>
            <w:tcW w:w="2187" w:type="dxa"/>
          </w:tcPr>
          <w:p w14:paraId="3FCAD461" w14:textId="6EEA550F" w:rsidR="00F94EB5" w:rsidRPr="00343EC4" w:rsidRDefault="00F94EB5" w:rsidP="00F94EB5">
            <w:r w:rsidRPr="00343EC4">
              <w:t>Ad. 2.</w:t>
            </w:r>
            <w:r>
              <w:t>3</w:t>
            </w:r>
            <w:r w:rsidRPr="00343EC4">
              <w:t xml:space="preserve">. </w:t>
            </w:r>
            <w:r w:rsidRPr="00F94EB5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63425F22" w14:textId="765EA945" w:rsidR="00F94EB5" w:rsidRDefault="00F94EB5" w:rsidP="00F94E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hod.</w:t>
            </w:r>
          </w:p>
        </w:tc>
        <w:tc>
          <w:tcPr>
            <w:tcW w:w="2173" w:type="dxa"/>
          </w:tcPr>
          <w:p w14:paraId="044889A6" w14:textId="4A34523B" w:rsidR="00F94EB5" w:rsidRPr="00343EC4" w:rsidRDefault="00F94EB5" w:rsidP="00F94EB5">
            <w:pPr>
              <w:jc w:val="center"/>
              <w:rPr>
                <w:color w:val="000000" w:themeColor="text1"/>
              </w:rPr>
            </w:pPr>
            <w:r w:rsidRPr="00343EC4">
              <w:rPr>
                <w:color w:val="000000" w:themeColor="text1"/>
              </w:rPr>
              <w:t>0,00 EUR</w:t>
            </w:r>
          </w:p>
        </w:tc>
        <w:tc>
          <w:tcPr>
            <w:tcW w:w="2168" w:type="dxa"/>
          </w:tcPr>
          <w:p w14:paraId="6DD5672A" w14:textId="54438C82" w:rsidR="00F94EB5" w:rsidRPr="00343EC4" w:rsidRDefault="00F94EB5" w:rsidP="00F94EB5">
            <w:pPr>
              <w:jc w:val="center"/>
              <w:rPr>
                <w:color w:val="000000" w:themeColor="text1"/>
              </w:rPr>
            </w:pPr>
            <w:r w:rsidRPr="00343EC4">
              <w:rPr>
                <w:color w:val="000000" w:themeColor="text1"/>
              </w:rPr>
              <w:t>0,00 EUR</w:t>
            </w:r>
          </w:p>
        </w:tc>
      </w:tr>
      <w:tr w:rsidR="00F94EB5" w:rsidRPr="00E37BC4" w14:paraId="3A74612A" w14:textId="77777777" w:rsidTr="00DD3B49">
        <w:tc>
          <w:tcPr>
            <w:tcW w:w="6532" w:type="dxa"/>
            <w:gridSpan w:val="3"/>
          </w:tcPr>
          <w:p w14:paraId="0F18DFC0" w14:textId="64DEFF63" w:rsidR="00F94EB5" w:rsidRPr="00E37BC4" w:rsidRDefault="00F94EB5" w:rsidP="00F94EB5">
            <w:pPr>
              <w:jc w:val="left"/>
            </w:pPr>
            <w:r w:rsidRPr="00E37BC4">
              <w:t>CELKOVÁ CENA SLUŽBY HRAZENÁ PŘÍJEMCEM</w:t>
            </w:r>
          </w:p>
        </w:tc>
        <w:tc>
          <w:tcPr>
            <w:tcW w:w="2168" w:type="dxa"/>
          </w:tcPr>
          <w:p w14:paraId="484C8418" w14:textId="02722024" w:rsidR="00F94EB5" w:rsidRPr="00BB7E42" w:rsidRDefault="00F94EB5" w:rsidP="00F94EB5">
            <w:pPr>
              <w:jc w:val="center"/>
            </w:pPr>
            <w:r w:rsidRPr="00F94EB5">
              <w:rPr>
                <w:color w:val="000000" w:themeColor="text1"/>
              </w:rPr>
              <w:t>1 500,- EUR</w:t>
            </w:r>
          </w:p>
        </w:tc>
      </w:tr>
    </w:tbl>
    <w:p w14:paraId="3C8A124D" w14:textId="77777777" w:rsidR="001B1E6B" w:rsidRPr="001B1E6B" w:rsidRDefault="001B1E6B" w:rsidP="001B1E6B"/>
    <w:p w14:paraId="5BA9B36A" w14:textId="063F6B8F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F94EB5">
        <w:rPr>
          <w:color w:val="000000" w:themeColor="text1"/>
        </w:rPr>
        <w:t>1 500,-</w:t>
      </w:r>
      <w:r w:rsidR="00343EC4">
        <w:rPr>
          <w:color w:val="000000" w:themeColor="text1"/>
        </w:rPr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F94EB5">
        <w:rPr>
          <w:color w:val="000000" w:themeColor="text1"/>
        </w:rPr>
        <w:t>4 581,86</w:t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</w:t>
      </w:r>
      <w:proofErr w:type="spellStart"/>
      <w:r w:rsidR="009F41C6">
        <w:rPr>
          <w:color w:val="000000"/>
        </w:rPr>
        <w:t>minimis</w:t>
      </w:r>
      <w:proofErr w:type="spellEnd"/>
      <w:r w:rsidR="009F41C6">
        <w:rPr>
          <w:color w:val="000000"/>
        </w:rPr>
        <w:t xml:space="preserve">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</w:t>
      </w:r>
      <w:proofErr w:type="spellStart"/>
      <w:r w:rsidR="00CE70D2">
        <w:rPr>
          <w:color w:val="000000"/>
        </w:rPr>
        <w:t>minimis</w:t>
      </w:r>
      <w:proofErr w:type="spellEnd"/>
      <w:r w:rsidR="00CE70D2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AE52AE" w:rsidRPr="002A64EF" w14:paraId="4C8E50A0" w14:textId="77777777" w:rsidTr="00EB6CA2">
        <w:tc>
          <w:tcPr>
            <w:tcW w:w="2185" w:type="dxa"/>
            <w:vAlign w:val="center"/>
          </w:tcPr>
          <w:p w14:paraId="3B183345" w14:textId="546B187C" w:rsidR="00AE52AE" w:rsidRPr="00F94EB5" w:rsidRDefault="00F94EB5" w:rsidP="00AE52AE">
            <w:pPr>
              <w:jc w:val="center"/>
              <w:rPr>
                <w:color w:val="FF0000"/>
              </w:rPr>
            </w:pPr>
            <w:r w:rsidRPr="00F94EB5">
              <w:rPr>
                <w:color w:val="000000" w:themeColor="text1"/>
              </w:rPr>
              <w:t>21 818,40</w:t>
            </w:r>
            <w:r w:rsidR="00AE52AE" w:rsidRPr="00F94EB5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2A739F55" w14:textId="082194C2" w:rsidR="00AE52AE" w:rsidRPr="00F94EB5" w:rsidRDefault="00F94EB5" w:rsidP="00AE52AE">
            <w:pPr>
              <w:jc w:val="center"/>
              <w:rPr>
                <w:color w:val="FF0000"/>
              </w:rPr>
            </w:pPr>
            <w:r w:rsidRPr="00F94EB5">
              <w:rPr>
                <w:color w:val="000000" w:themeColor="text1"/>
              </w:rPr>
              <w:t>1 500</w:t>
            </w:r>
            <w:r w:rsidR="00AE52AE" w:rsidRPr="00F94EB5">
              <w:rPr>
                <w:color w:val="000000" w:themeColor="text1"/>
              </w:rPr>
              <w:t>,- EUR</w:t>
            </w:r>
          </w:p>
        </w:tc>
        <w:tc>
          <w:tcPr>
            <w:tcW w:w="2173" w:type="dxa"/>
          </w:tcPr>
          <w:p w14:paraId="30B43B60" w14:textId="1FDCA298" w:rsidR="00AE52AE" w:rsidRPr="00F94EB5" w:rsidRDefault="00F94EB5" w:rsidP="00AE52AE">
            <w:pPr>
              <w:jc w:val="center"/>
              <w:rPr>
                <w:color w:val="FF0000"/>
              </w:rPr>
            </w:pPr>
            <w:r w:rsidRPr="00F94EB5">
              <w:rPr>
                <w:color w:val="000000" w:themeColor="text1"/>
              </w:rPr>
              <w:t>20 318,40</w:t>
            </w:r>
            <w:r w:rsidR="00AE52AE" w:rsidRPr="00F94EB5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0D568DE5" w14:textId="42FE096F" w:rsidR="00AE52AE" w:rsidRPr="00F94EB5" w:rsidRDefault="00F94EB5" w:rsidP="00AE52AE">
            <w:pPr>
              <w:jc w:val="center"/>
              <w:rPr>
                <w:color w:val="FF0000"/>
              </w:rPr>
            </w:pPr>
            <w:r w:rsidRPr="00F94EB5">
              <w:rPr>
                <w:color w:val="000000" w:themeColor="text1"/>
              </w:rPr>
              <w:t>10 159,20</w:t>
            </w:r>
            <w:r w:rsidR="00AE52AE" w:rsidRPr="00F94EB5">
              <w:rPr>
                <w:color w:val="000000" w:themeColor="text1"/>
              </w:rPr>
              <w:t xml:space="preserve"> EUR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4909855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 xml:space="preserve">ny hrazené Příjemcem, výše veřejných prostředků a výše </w:t>
      </w:r>
      <w:r w:rsidR="006C0846">
        <w:lastRenderedPageBreak/>
        <w:t>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 xml:space="preserve">v registru de </w:t>
      </w:r>
      <w:proofErr w:type="spellStart"/>
      <w:r w:rsidR="00D2045F">
        <w:rPr>
          <w:color w:val="000000" w:themeColor="text1"/>
        </w:rPr>
        <w:t>minimis</w:t>
      </w:r>
      <w:proofErr w:type="spellEnd"/>
      <w:r w:rsidR="00D2045F">
        <w:rPr>
          <w:color w:val="000000" w:themeColor="text1"/>
        </w:rPr>
        <w:t>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v registru, kdy v případě poskytnutí služeb ve vyšším rozsahu než je předpokládaná časová kapacita sjednaná v čl. 2 této smlouvy, dojde současně k navýšení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, kterou je následně nutné evidovat v registru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jako nově poskytnutou podporu, a to na základě právního aktu, kterým je dodatek k této smlouvě. V případě poskytnutí služeb v nižším </w:t>
      </w:r>
      <w:r w:rsidR="00D5457F">
        <w:rPr>
          <w:color w:val="000000" w:themeColor="text1"/>
        </w:rPr>
        <w:t>rozsahu,</w:t>
      </w:r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</w:t>
      </w:r>
      <w:proofErr w:type="spellStart"/>
      <w:r w:rsidR="00900D68">
        <w:rPr>
          <w:color w:val="000000" w:themeColor="text1"/>
        </w:rPr>
        <w:t>minimis</w:t>
      </w:r>
      <w:proofErr w:type="spellEnd"/>
      <w:r w:rsidR="00900D68">
        <w:rPr>
          <w:color w:val="000000" w:themeColor="text1"/>
        </w:rPr>
        <w:t xml:space="preserve">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13123D89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AE52AE">
        <w:rPr>
          <w:color w:val="000000" w:themeColor="text1"/>
        </w:rPr>
        <w:t>1</w:t>
      </w:r>
      <w:r w:rsidR="00F94EB5">
        <w:rPr>
          <w:color w:val="000000" w:themeColor="text1"/>
        </w:rPr>
        <w:t>5</w:t>
      </w:r>
      <w:r w:rsidR="00AE52AE">
        <w:rPr>
          <w:color w:val="000000" w:themeColor="text1"/>
        </w:rPr>
        <w:t>.</w:t>
      </w:r>
      <w:r w:rsidR="00F94EB5">
        <w:rPr>
          <w:color w:val="000000" w:themeColor="text1"/>
        </w:rPr>
        <w:t>5</w:t>
      </w:r>
      <w:r w:rsidR="00AE52AE">
        <w:rPr>
          <w:color w:val="000000" w:themeColor="text1"/>
        </w:rPr>
        <w:t>.2025</w:t>
      </w:r>
      <w:r w:rsidRPr="00401139">
        <w:rPr>
          <w:color w:val="000000" w:themeColor="text1"/>
        </w:rPr>
        <w:t xml:space="preserve">     do  </w:t>
      </w:r>
      <w:r w:rsidR="00C95C8C">
        <w:rPr>
          <w:color w:val="000000" w:themeColor="text1"/>
        </w:rPr>
        <w:t>31.</w:t>
      </w:r>
      <w:r w:rsidR="00343EC4">
        <w:rPr>
          <w:color w:val="000000" w:themeColor="text1"/>
        </w:rPr>
        <w:t>8</w:t>
      </w:r>
      <w:r w:rsidR="00AE52AE">
        <w:rPr>
          <w:color w:val="000000" w:themeColor="text1"/>
        </w:rPr>
        <w:t>.202</w:t>
      </w:r>
      <w:r w:rsidR="00C95C8C">
        <w:rPr>
          <w:color w:val="000000" w:themeColor="text1"/>
        </w:rPr>
        <w:t>5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76E56CB1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343EC4" w:rsidRPr="00343EC4">
        <w:rPr>
          <w:rFonts w:eastAsiaTheme="minorHAnsi"/>
          <w:lang w:eastAsia="en-US"/>
          <w14:ligatures w14:val="standardContextual"/>
        </w:rPr>
        <w:t>Pod Hřištěm 93, 25167 Pyšely – Zaječice, Česká republika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5CF30C40" w14:textId="6884488F" w:rsidR="0074795E" w:rsidRPr="00C84C17" w:rsidRDefault="008B5C4F" w:rsidP="0074795E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74795E">
        <w:rPr>
          <w:color w:val="000000" w:themeColor="text1"/>
        </w:rPr>
        <w:t>poskytnout potřebná data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lastRenderedPageBreak/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</w:t>
      </w: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lastRenderedPageBreak/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7F9804B7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E5D22BA" w14:textId="19F1C40D" w:rsidR="006B7781" w:rsidRDefault="006B7781" w:rsidP="00CB74F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74795E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795E">
        <w:rPr>
          <w:bCs/>
          <w:color w:val="000000"/>
        </w:rPr>
        <w:instrText xml:space="preserve"> FORMTEXT </w:instrText>
      </w:r>
      <w:r w:rsidRPr="0074795E">
        <w:rPr>
          <w:bCs/>
          <w:color w:val="000000"/>
        </w:rPr>
      </w:r>
      <w:r w:rsidRPr="0074795E">
        <w:rPr>
          <w:bCs/>
          <w:color w:val="000000"/>
        </w:rPr>
        <w:fldChar w:fldCharType="separate"/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74795E">
        <w:rPr>
          <w:bCs/>
          <w:color w:val="000000"/>
        </w:rPr>
        <w:fldChar w:fldCharType="end"/>
      </w:r>
      <w:r w:rsidRPr="006B7781">
        <w:t xml:space="preserve"> 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r w:rsidR="00D5457F" w:rsidRPr="006B7781">
        <w:t>anonymizuje</w:t>
      </w:r>
      <w:r w:rsidRPr="006B7781">
        <w:t xml:space="preserve"> a nebudou ve smyslu zákona o registru smluv zveřejněny. Poskytovatel nenese žádnou odpovědnost za zveřejnění takto neoznačených údajů.</w:t>
      </w:r>
    </w:p>
    <w:p w14:paraId="718235DC" w14:textId="453FCB0F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r w:rsidR="00D5457F" w:rsidRPr="000F54EA">
        <w:rPr>
          <w:rFonts w:ascii="Arial" w:hAnsi="Arial" w:cs="Arial"/>
          <w:sz w:val="22"/>
          <w:szCs w:val="22"/>
          <w:lang w:val="cs-CZ"/>
        </w:rPr>
        <w:t>neplatným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r w:rsidR="00D5457F" w:rsidRPr="000F54EA">
        <w:rPr>
          <w:rFonts w:ascii="Arial" w:hAnsi="Arial" w:cs="Arial"/>
          <w:sz w:val="22"/>
          <w:szCs w:val="22"/>
          <w:lang w:val="cs-CZ"/>
        </w:rPr>
        <w:t>neúčinným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r w:rsidR="00D5457F" w:rsidRPr="000F54EA">
        <w:rPr>
          <w:rFonts w:ascii="Arial" w:hAnsi="Arial" w:cs="Arial"/>
          <w:sz w:val="22"/>
          <w:szCs w:val="22"/>
          <w:lang w:val="cs-CZ"/>
        </w:rPr>
        <w:t>neaplikovatelným</w:t>
      </w:r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r w:rsidR="00D5457F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r w:rsidR="00D5457F" w:rsidRPr="000F54EA">
        <w:rPr>
          <w:rFonts w:ascii="Arial" w:hAnsi="Arial" w:cs="Arial"/>
          <w:sz w:val="22"/>
          <w:szCs w:val="22"/>
          <w:lang w:val="cs-CZ"/>
        </w:rPr>
        <w:t>uvedených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r w:rsidR="00D5457F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r w:rsidR="00D5457F" w:rsidRPr="000F54EA">
        <w:rPr>
          <w:rFonts w:ascii="Arial" w:hAnsi="Arial" w:cs="Arial"/>
          <w:sz w:val="22"/>
          <w:szCs w:val="22"/>
          <w:lang w:val="cs-CZ"/>
        </w:rPr>
        <w:t>jiným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1F757A8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>89a</w:t>
      </w:r>
      <w:proofErr w:type="gramEnd"/>
      <w:r w:rsidRPr="00B142D5">
        <w:rPr>
          <w:rFonts w:ascii="Arial" w:hAnsi="Arial" w:cs="Arial"/>
          <w:sz w:val="22"/>
          <w:szCs w:val="22"/>
          <w:lang w:val="cs-CZ"/>
        </w:rPr>
        <w:t xml:space="preserve"> zákona č. 99/1963 Sb., občanský soudní řád, ve znění pozdějších předpisů, se za místně příslušný soud k projednávání sporů z této smlouvy prohlašuje obecný </w:t>
      </w:r>
      <w:r w:rsidR="00D5457F"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D5457F">
        <w:rPr>
          <w:rFonts w:ascii="Arial" w:hAnsi="Arial" w:cs="Arial"/>
          <w:sz w:val="22"/>
          <w:szCs w:val="22"/>
          <w:lang w:val="cs-CZ"/>
        </w:rPr>
        <w:t>Poskytovatele</w:t>
      </w:r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 xml:space="preserve">estné prohlášení žadatele o podporu v režimu de </w:t>
      </w:r>
      <w:proofErr w:type="spellStart"/>
      <w:r w:rsidRPr="00606A65">
        <w:rPr>
          <w:rFonts w:ascii="Arial" w:hAnsi="Arial" w:cs="Arial"/>
          <w:sz w:val="22"/>
          <w:szCs w:val="22"/>
          <w:lang w:val="cs-CZ"/>
        </w:rPr>
        <w:t>minimis</w:t>
      </w:r>
      <w:proofErr w:type="spellEnd"/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BBAE3EE" w14:textId="0BD256A8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32ADABD5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0A0D63">
              <w:rPr>
                <w:sz w:val="24"/>
                <w:szCs w:val="24"/>
              </w:rPr>
              <w:t>5.6.2025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49D4205B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</w:t>
            </w:r>
            <w:r w:rsidR="007239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43EC4">
              <w:rPr>
                <w:sz w:val="24"/>
                <w:szCs w:val="24"/>
              </w:rPr>
              <w:t>Miroslav Špaček</w:t>
            </w:r>
          </w:p>
          <w:p w14:paraId="487D8459" w14:textId="13E72064" w:rsidR="008B5C4F" w:rsidRPr="00503DFE" w:rsidRDefault="008B5C4F" w:rsidP="0074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5457F">
              <w:rPr>
                <w:sz w:val="24"/>
                <w:szCs w:val="24"/>
              </w:rPr>
              <w:t>Funkce: jednatel</w:t>
            </w:r>
          </w:p>
          <w:p w14:paraId="22519891" w14:textId="77777777" w:rsidR="007239F1" w:rsidRDefault="007239F1" w:rsidP="00B50C17">
            <w:pPr>
              <w:jc w:val="center"/>
              <w:rPr>
                <w:sz w:val="24"/>
                <w:szCs w:val="24"/>
              </w:rPr>
            </w:pPr>
          </w:p>
          <w:p w14:paraId="778DF7BB" w14:textId="77777777" w:rsidR="007239F1" w:rsidRDefault="007239F1" w:rsidP="00B50C17">
            <w:pPr>
              <w:jc w:val="center"/>
              <w:rPr>
                <w:sz w:val="24"/>
                <w:szCs w:val="24"/>
              </w:rPr>
            </w:pPr>
          </w:p>
          <w:p w14:paraId="062253E1" w14:textId="77777777" w:rsidR="007239F1" w:rsidRDefault="007239F1" w:rsidP="00B50C17">
            <w:pPr>
              <w:jc w:val="center"/>
              <w:rPr>
                <w:sz w:val="24"/>
                <w:szCs w:val="24"/>
              </w:rPr>
            </w:pPr>
          </w:p>
          <w:p w14:paraId="124B1BA2" w14:textId="0FD44332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7239F1">
              <w:rPr>
                <w:sz w:val="24"/>
                <w:szCs w:val="24"/>
              </w:rPr>
              <w:t> </w:t>
            </w:r>
            <w:r w:rsidR="00D5457F">
              <w:rPr>
                <w:sz w:val="24"/>
                <w:szCs w:val="24"/>
              </w:rPr>
              <w:t>Pyšely – Zaječice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0A0D63">
              <w:rPr>
                <w:sz w:val="24"/>
                <w:szCs w:val="24"/>
              </w:rPr>
              <w:t>2.6.2025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1F815043" w14:textId="77777777" w:rsidR="00C95C8C" w:rsidRDefault="006B7781" w:rsidP="00C95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="00C95C8C">
              <w:rPr>
                <w:color w:val="000000" w:themeColor="text1"/>
              </w:rPr>
              <w:t>doc. Ing. Josef Černohorský, </w:t>
            </w:r>
            <w:proofErr w:type="spellStart"/>
            <w:proofErr w:type="gramStart"/>
            <w:r w:rsidR="00C95C8C">
              <w:rPr>
                <w:color w:val="000000" w:themeColor="text1"/>
              </w:rPr>
              <w:t>Ph.D</w:t>
            </w:r>
            <w:proofErr w:type="spellEnd"/>
            <w:proofErr w:type="gramEnd"/>
          </w:p>
          <w:p w14:paraId="66EAF66C" w14:textId="3EF0DD1A" w:rsidR="006B7781" w:rsidRDefault="006B7781" w:rsidP="006B7781">
            <w:pPr>
              <w:rPr>
                <w:sz w:val="24"/>
                <w:szCs w:val="24"/>
              </w:rPr>
            </w:pPr>
          </w:p>
          <w:p w14:paraId="5EFC698B" w14:textId="03D68794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5457F">
              <w:rPr>
                <w:sz w:val="24"/>
                <w:szCs w:val="24"/>
              </w:rPr>
              <w:t>Funkce děkan</w:t>
            </w:r>
            <w:r w:rsidR="00C95C8C">
              <w:rPr>
                <w:color w:val="000000" w:themeColor="text1"/>
              </w:rPr>
              <w:t xml:space="preserve"> Fakulty </w:t>
            </w:r>
            <w:proofErr w:type="spellStart"/>
            <w:r w:rsidR="00C95C8C">
              <w:rPr>
                <w:color w:val="000000" w:themeColor="text1"/>
              </w:rPr>
              <w:t>mechatroniky</w:t>
            </w:r>
            <w:proofErr w:type="spellEnd"/>
            <w:r w:rsidR="00C95C8C">
              <w:rPr>
                <w:color w:val="000000" w:themeColor="text1"/>
              </w:rPr>
              <w:t>, informatiky a mezioborových studií</w:t>
            </w: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2114267F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0A0D63">
              <w:rPr>
                <w:sz w:val="24"/>
                <w:szCs w:val="24"/>
              </w:rPr>
              <w:t>3.6.2025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D6EEC" w14:textId="77777777" w:rsidR="002E69E0" w:rsidRDefault="002E69E0" w:rsidP="00DC542A">
      <w:pPr>
        <w:spacing w:line="240" w:lineRule="auto"/>
      </w:pPr>
      <w:r>
        <w:separator/>
      </w:r>
    </w:p>
  </w:endnote>
  <w:endnote w:type="continuationSeparator" w:id="0">
    <w:p w14:paraId="3777F611" w14:textId="77777777" w:rsidR="002E69E0" w:rsidRDefault="002E69E0" w:rsidP="00DC542A">
      <w:pPr>
        <w:spacing w:line="240" w:lineRule="auto"/>
      </w:pPr>
      <w:r>
        <w:continuationSeparator/>
      </w:r>
    </w:p>
  </w:endnote>
  <w:endnote w:type="continuationNotice" w:id="1">
    <w:p w14:paraId="616C558E" w14:textId="77777777" w:rsidR="002E69E0" w:rsidRDefault="002E69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FAF4" w14:textId="77777777" w:rsidR="002E69E0" w:rsidRDefault="002E69E0" w:rsidP="00DC542A">
      <w:pPr>
        <w:spacing w:line="240" w:lineRule="auto"/>
      </w:pPr>
      <w:r>
        <w:separator/>
      </w:r>
    </w:p>
  </w:footnote>
  <w:footnote w:type="continuationSeparator" w:id="0">
    <w:p w14:paraId="1FC466AB" w14:textId="77777777" w:rsidR="002E69E0" w:rsidRDefault="002E69E0" w:rsidP="00DC542A">
      <w:pPr>
        <w:spacing w:line="240" w:lineRule="auto"/>
      </w:pPr>
      <w:r>
        <w:continuationSeparator/>
      </w:r>
    </w:p>
  </w:footnote>
  <w:footnote w:type="continuationNotice" w:id="1">
    <w:p w14:paraId="3781671A" w14:textId="77777777" w:rsidR="002E69E0" w:rsidRDefault="002E69E0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3CF614CD" w:rsidR="00606ED4" w:rsidRDefault="00606ED4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6C519141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C9D">
          <w:rPr>
            <w:noProof/>
          </w:rPr>
          <w:t>5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0B76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3136"/>
    <w:rsid w:val="00084506"/>
    <w:rsid w:val="0008707C"/>
    <w:rsid w:val="00090A1A"/>
    <w:rsid w:val="00091366"/>
    <w:rsid w:val="00095CE0"/>
    <w:rsid w:val="0009754E"/>
    <w:rsid w:val="000A0D63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1DA3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0B23"/>
    <w:rsid w:val="0024617F"/>
    <w:rsid w:val="00251D98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5E9E"/>
    <w:rsid w:val="002A6381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E69E0"/>
    <w:rsid w:val="002F48DE"/>
    <w:rsid w:val="003017D0"/>
    <w:rsid w:val="0030334C"/>
    <w:rsid w:val="00306819"/>
    <w:rsid w:val="00306CB9"/>
    <w:rsid w:val="00310D54"/>
    <w:rsid w:val="00321DAC"/>
    <w:rsid w:val="00322822"/>
    <w:rsid w:val="00325D92"/>
    <w:rsid w:val="00333D42"/>
    <w:rsid w:val="003358BD"/>
    <w:rsid w:val="00335E1F"/>
    <w:rsid w:val="00336C49"/>
    <w:rsid w:val="0034344E"/>
    <w:rsid w:val="00343EC4"/>
    <w:rsid w:val="0034486D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410E"/>
    <w:rsid w:val="00387CB3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1261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4E66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22F3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6FC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0C87"/>
    <w:rsid w:val="005C269B"/>
    <w:rsid w:val="005C74A0"/>
    <w:rsid w:val="005D0683"/>
    <w:rsid w:val="005D4ED1"/>
    <w:rsid w:val="005D4F0B"/>
    <w:rsid w:val="005F0214"/>
    <w:rsid w:val="005F1E12"/>
    <w:rsid w:val="00606A65"/>
    <w:rsid w:val="00606ED4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977EF"/>
    <w:rsid w:val="006A0E19"/>
    <w:rsid w:val="006A4101"/>
    <w:rsid w:val="006A439C"/>
    <w:rsid w:val="006A7477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645D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F37"/>
    <w:rsid w:val="007239F1"/>
    <w:rsid w:val="00727A51"/>
    <w:rsid w:val="00740837"/>
    <w:rsid w:val="00742F10"/>
    <w:rsid w:val="00745929"/>
    <w:rsid w:val="00746F86"/>
    <w:rsid w:val="0074795E"/>
    <w:rsid w:val="00750918"/>
    <w:rsid w:val="00750F49"/>
    <w:rsid w:val="0075525B"/>
    <w:rsid w:val="00760B13"/>
    <w:rsid w:val="00762511"/>
    <w:rsid w:val="00763F8C"/>
    <w:rsid w:val="00764B3D"/>
    <w:rsid w:val="0076717E"/>
    <w:rsid w:val="00767DF0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61909"/>
    <w:rsid w:val="00870283"/>
    <w:rsid w:val="00871844"/>
    <w:rsid w:val="00874ADE"/>
    <w:rsid w:val="008768D7"/>
    <w:rsid w:val="008904F8"/>
    <w:rsid w:val="00890673"/>
    <w:rsid w:val="008914A8"/>
    <w:rsid w:val="008918E0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106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8F53B8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C3999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BF5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2214"/>
    <w:rsid w:val="00A97155"/>
    <w:rsid w:val="00AB2A77"/>
    <w:rsid w:val="00AB47BF"/>
    <w:rsid w:val="00AC301A"/>
    <w:rsid w:val="00AC4584"/>
    <w:rsid w:val="00AE320C"/>
    <w:rsid w:val="00AE43DB"/>
    <w:rsid w:val="00AE4F93"/>
    <w:rsid w:val="00AE52AE"/>
    <w:rsid w:val="00AF0C01"/>
    <w:rsid w:val="00AF120D"/>
    <w:rsid w:val="00AF1832"/>
    <w:rsid w:val="00AF533A"/>
    <w:rsid w:val="00AF7C87"/>
    <w:rsid w:val="00B00E85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5C8C"/>
    <w:rsid w:val="00C977CA"/>
    <w:rsid w:val="00CA373A"/>
    <w:rsid w:val="00CA428F"/>
    <w:rsid w:val="00CA4B6E"/>
    <w:rsid w:val="00CB03C4"/>
    <w:rsid w:val="00CB22D9"/>
    <w:rsid w:val="00CB35C4"/>
    <w:rsid w:val="00CB53A3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0DF6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457F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CB"/>
    <w:rsid w:val="00E206DD"/>
    <w:rsid w:val="00E2088C"/>
    <w:rsid w:val="00E23E70"/>
    <w:rsid w:val="00E26684"/>
    <w:rsid w:val="00E26B18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1A78"/>
    <w:rsid w:val="00E72105"/>
    <w:rsid w:val="00E80015"/>
    <w:rsid w:val="00E811CC"/>
    <w:rsid w:val="00E877F7"/>
    <w:rsid w:val="00E94FAD"/>
    <w:rsid w:val="00E96F7D"/>
    <w:rsid w:val="00EA1592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5C8C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4AF6"/>
    <w:rsid w:val="00F06E77"/>
    <w:rsid w:val="00F14AE8"/>
    <w:rsid w:val="00F2075C"/>
    <w:rsid w:val="00F2075D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63A"/>
    <w:rsid w:val="00F659B6"/>
    <w:rsid w:val="00F6657C"/>
    <w:rsid w:val="00F71156"/>
    <w:rsid w:val="00F71599"/>
    <w:rsid w:val="00F71A29"/>
    <w:rsid w:val="00F747DC"/>
    <w:rsid w:val="00F94082"/>
    <w:rsid w:val="00F94EB5"/>
    <w:rsid w:val="00F974C9"/>
    <w:rsid w:val="00FA0168"/>
    <w:rsid w:val="00FA180D"/>
    <w:rsid w:val="00FA306F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098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6e0fb9b0-b993-473a-b020-0e26f7bcde7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1966F-956F-4EBE-BF9A-E4F74499D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DE277-4C13-46CD-9278-5FE105A6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2565</Words>
  <Characters>15137</Characters>
  <Application>Microsoft Office Word</Application>
  <DocSecurity>4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2025-06-06T10:56:00Z</dcterms:created>
  <dcterms:modified xsi:type="dcterms:W3CDTF">2025-06-06T10:56:00Z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