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29" w:rsidRDefault="00C87F29">
      <w:pPr>
        <w:spacing w:before="120" w:after="120"/>
        <w:rPr>
          <w:b/>
          <w:sz w:val="28"/>
          <w:szCs w:val="28"/>
        </w:rPr>
      </w:pPr>
    </w:p>
    <w:p w:rsidR="00C87F29" w:rsidRDefault="000849BB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LICENČNÍ A PODLICENČNÍ SMLOUVA</w:t>
      </w:r>
    </w:p>
    <w:p w:rsidR="00C87F29" w:rsidRDefault="00C87F29">
      <w:pPr>
        <w:spacing w:before="120" w:after="120"/>
        <w:jc w:val="both"/>
        <w:rPr>
          <w:b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0849BB">
      <w:pPr>
        <w:rPr>
          <w:sz w:val="22"/>
          <w:szCs w:val="22"/>
        </w:rPr>
      </w:pPr>
      <w:r>
        <w:rPr>
          <w:b/>
          <w:sz w:val="22"/>
          <w:szCs w:val="22"/>
        </w:rPr>
        <w:t>Národní filmový archiv</w:t>
      </w:r>
      <w:r>
        <w:rPr>
          <w:sz w:val="22"/>
          <w:szCs w:val="22"/>
        </w:rPr>
        <w:t>, příspěvková organizace</w:t>
      </w:r>
    </w:p>
    <w:p w:rsidR="00C87F29" w:rsidRDefault="000849BB">
      <w:pPr>
        <w:rPr>
          <w:sz w:val="22"/>
          <w:szCs w:val="22"/>
        </w:rPr>
      </w:pPr>
      <w:r>
        <w:rPr>
          <w:sz w:val="22"/>
          <w:szCs w:val="22"/>
        </w:rPr>
        <w:t>nepodléhající zápisu do obchodního rejstříku, zřízená Ministerstvem kultury ČR, zřizovací listina č. j. MK 13526/2013 OMA ve znění pozdějších změn a doplňků  </w:t>
      </w:r>
      <w:r>
        <w:rPr>
          <w:sz w:val="22"/>
          <w:szCs w:val="22"/>
        </w:rPr>
        <w:br/>
        <w:t>se sídlem Závišova 502/5, Nusle, 140 00, Praha 4</w:t>
      </w:r>
    </w:p>
    <w:p w:rsidR="00C87F29" w:rsidRDefault="000849BB">
      <w:pPr>
        <w:rPr>
          <w:b/>
          <w:sz w:val="22"/>
          <w:szCs w:val="22"/>
        </w:rPr>
      </w:pPr>
      <w:r>
        <w:rPr>
          <w:sz w:val="22"/>
          <w:szCs w:val="22"/>
        </w:rPr>
        <w:t>IČ: 000 57 266,</w:t>
      </w:r>
      <w:r>
        <w:rPr>
          <w:sz w:val="22"/>
          <w:szCs w:val="22"/>
        </w:rPr>
        <w:br/>
        <w:t>DIČ: CZ 000 57 266</w:t>
      </w:r>
      <w:r>
        <w:rPr>
          <w:sz w:val="22"/>
          <w:szCs w:val="22"/>
        </w:rPr>
        <w:br/>
        <w:t>Bankovní spoj</w:t>
      </w:r>
      <w:r>
        <w:rPr>
          <w:sz w:val="22"/>
          <w:szCs w:val="22"/>
        </w:rPr>
        <w:t>ení: Česká národní banka, Na Příkopě 28, 115 03 Praha 1</w:t>
      </w:r>
      <w:r>
        <w:rPr>
          <w:sz w:val="22"/>
          <w:szCs w:val="22"/>
        </w:rPr>
        <w:br/>
        <w:t>Č.ú.: 83337011/0710</w:t>
      </w:r>
      <w:r>
        <w:rPr>
          <w:sz w:val="22"/>
          <w:szCs w:val="22"/>
        </w:rPr>
        <w:br/>
        <w:t>zastoupený PhDr. Michalem Bregantem, generálním ředitelem</w:t>
      </w:r>
      <w:r>
        <w:rPr>
          <w:sz w:val="22"/>
          <w:szCs w:val="22"/>
        </w:rPr>
        <w:br/>
        <w:t xml:space="preserve">(dále jen </w:t>
      </w:r>
      <w:r>
        <w:rPr>
          <w:b/>
          <w:sz w:val="22"/>
          <w:szCs w:val="22"/>
        </w:rPr>
        <w:t>„NFA</w:t>
      </w:r>
      <w:r>
        <w:rPr>
          <w:sz w:val="22"/>
          <w:szCs w:val="22"/>
        </w:rPr>
        <w:t>“)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LoglineProduction, s.r.o.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highlight w:val="white"/>
        </w:rPr>
        <w:t>Štítného 1233/34, 130 00 Praha 3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IČO: 24842559 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DIČ: CZ24842559 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</w:t>
      </w:r>
      <w:r>
        <w:rPr>
          <w:color w:val="000000"/>
          <w:sz w:val="22"/>
          <w:szCs w:val="22"/>
        </w:rPr>
        <w:t xml:space="preserve"> Petrem Erbenem, producentem, na základě plné moci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zapsaná v obchodním rejstříku vedeném pod sp. zn. C 179471 vedenou u Městského soudu v Praze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(dále jen </w:t>
      </w:r>
      <w:r>
        <w:rPr>
          <w:b/>
          <w:color w:val="000000"/>
          <w:sz w:val="22"/>
          <w:szCs w:val="22"/>
        </w:rPr>
        <w:t>„Nabyvatel“</w:t>
      </w:r>
      <w:r>
        <w:rPr>
          <w:color w:val="000000"/>
          <w:sz w:val="22"/>
          <w:szCs w:val="22"/>
        </w:rPr>
        <w:t>)</w:t>
      </w:r>
    </w:p>
    <w:p w:rsidR="00C87F29" w:rsidRDefault="00C87F29">
      <w:pPr>
        <w:rPr>
          <w:sz w:val="22"/>
          <w:szCs w:val="22"/>
        </w:rPr>
      </w:pPr>
    </w:p>
    <w:p w:rsidR="00C87F29" w:rsidRDefault="000849BB">
      <w:pPr>
        <w:jc w:val="both"/>
        <w:rPr>
          <w:sz w:val="22"/>
          <w:szCs w:val="22"/>
        </w:rPr>
      </w:pPr>
      <w:r>
        <w:rPr>
          <w:sz w:val="22"/>
          <w:szCs w:val="22"/>
        </w:rPr>
        <w:t>uzavírají v souladu s příslušnými ustanoveními zák. č. 89/2012 Sb., občanský zákoník, resp. zák. č. 121/2000 Sb. o právu autorském, o právech souvisejících s právem autorským a o změně některých zákonů, ve znění pozdějších předpisů (autorský zákon), zák. č</w:t>
      </w:r>
      <w:r>
        <w:rPr>
          <w:sz w:val="22"/>
          <w:szCs w:val="22"/>
        </w:rPr>
        <w:t>. 496/2012 Sb., o audiovizuálních dílech a podpoře kinematografie a o změně některých zákonů (zákon o audiovizi), tuto</w:t>
      </w:r>
    </w:p>
    <w:p w:rsidR="00C87F29" w:rsidRDefault="00C87F29"/>
    <w:p w:rsidR="00C87F29" w:rsidRDefault="000849BB">
      <w:pPr>
        <w:jc w:val="center"/>
        <w:rPr>
          <w:b/>
        </w:rPr>
      </w:pPr>
      <w:r>
        <w:rPr>
          <w:b/>
        </w:rPr>
        <w:t>Licenční a podlicenční smlouvu</w:t>
      </w:r>
    </w:p>
    <w:p w:rsidR="00C87F29" w:rsidRDefault="00C87F29">
      <w:pPr>
        <w:jc w:val="center"/>
        <w:rPr>
          <w:b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strany; Předmět smlouvy; Definice některých pojmů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color w:val="000000"/>
          <w:sz w:val="22"/>
          <w:szCs w:val="22"/>
        </w:rPr>
        <w:t>NFA je právnickou osobou ve formě příspěvkové organizace plně způsobilou k právnímu jednání, právům a povinnostem, plnící úlohu specializovaného archivu pro audiovizuální archiválie a zaměřenou mimo jiné na budování, ochranu, restaurování, vědecké zpracová</w:t>
      </w:r>
      <w:r>
        <w:rPr>
          <w:color w:val="000000"/>
          <w:sz w:val="22"/>
          <w:szCs w:val="22"/>
        </w:rPr>
        <w:t>ní a zpřístupňování národního filmového dědictví, resp. audiovizuálních archiválií, jakož i na všestranné šíření filmové kultury ve spolupráci s českými i zahraničními filmovými a kulturními institucemi. NFA svědčí dle zák. č. 496/2012 Sb., zákona o audiov</w:t>
      </w:r>
      <w:r>
        <w:rPr>
          <w:color w:val="000000"/>
          <w:sz w:val="22"/>
          <w:szCs w:val="22"/>
        </w:rPr>
        <w:t>izi, a rovněž dle dalších relevantních právních předpisů, a dále na základě licenčních a jiných smluv uzavřených s příslušnými nositeli práv právo udělovat svolení k užití touto smlouvou specifikovaných nehmotných statků.  NFA rovněž setrvale činí značné i</w:t>
      </w:r>
      <w:r>
        <w:rPr>
          <w:color w:val="000000"/>
          <w:sz w:val="22"/>
          <w:szCs w:val="22"/>
        </w:rPr>
        <w:t xml:space="preserve">nvestice související s odbornou správou a údržbou zvukově obrazových záznamů, resp. jejich hmotných nosičů. NFA mimo jiné náleží právo udělovat podlicence k užití určitých audiovizuálních a audiovizuálně užitých děl na základě Smlouvy o poskytnutí licence </w:t>
      </w:r>
      <w:r>
        <w:rPr>
          <w:color w:val="000000"/>
          <w:sz w:val="22"/>
          <w:szCs w:val="22"/>
        </w:rPr>
        <w:t xml:space="preserve">k užití audiovizuálních děl a děl audiovizuálně užitých uzavřené dne </w:t>
      </w:r>
      <w:r>
        <w:rPr>
          <w:sz w:val="22"/>
          <w:szCs w:val="22"/>
        </w:rPr>
        <w:t xml:space="preserve">21.12.2017 </w:t>
      </w:r>
      <w:r>
        <w:rPr>
          <w:color w:val="000000"/>
          <w:sz w:val="22"/>
          <w:szCs w:val="22"/>
        </w:rPr>
        <w:t>mezi NFA a DILIA, divadelní, literární, audiovizuální agenturou, z.s. (dále jen „</w:t>
      </w:r>
      <w:r>
        <w:rPr>
          <w:b/>
          <w:color w:val="000000"/>
          <w:sz w:val="22"/>
          <w:szCs w:val="22"/>
        </w:rPr>
        <w:t>Smlouva s DILIA</w:t>
      </w:r>
      <w:r>
        <w:rPr>
          <w:color w:val="000000"/>
          <w:sz w:val="22"/>
          <w:szCs w:val="22"/>
        </w:rPr>
        <w:t>“). NFA má zájem udělit touto smlouvou za dále uvedených podmínek Nabyvateli sou</w:t>
      </w:r>
      <w:r>
        <w:rPr>
          <w:color w:val="000000"/>
          <w:sz w:val="22"/>
          <w:szCs w:val="22"/>
        </w:rPr>
        <w:t>hlas s užitím níže specifikovaných předmětů ochrany.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Nabyvatel má zájem získat touto smlouvou za dále uvedených podmínek od NFA souhlas s užitím předmětů ochrany touto smlouvou vymezených.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Předmětem této smlouvy je závazek NFA spočívající v poskytnutí oprávnění užít předměty ochrany vymezené touto smlouvou Nabyvateli v rozsahu této smlouvy a závazek Nabyvatele spočívající v zaplacení odměny NFA za řádné splnění závazků z této smlouvy vyplýva</w:t>
      </w:r>
      <w:r>
        <w:rPr>
          <w:color w:val="000000"/>
          <w:sz w:val="22"/>
          <w:szCs w:val="22"/>
        </w:rPr>
        <w:t>jících.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Definice některých smluvních pojmů: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color w:val="000000"/>
          <w:sz w:val="22"/>
          <w:szCs w:val="22"/>
          <w:shd w:val="clear" w:color="auto" w:fill="CCCCCC"/>
        </w:rPr>
        <w:t>„</w:t>
      </w: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  <w:color w:val="000000"/>
          <w:sz w:val="22"/>
          <w:szCs w:val="22"/>
          <w:shd w:val="clear" w:color="auto" w:fill="CCCCCC"/>
        </w:rPr>
      </w:pP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color w:val="222222"/>
          <w:sz w:val="22"/>
          <w:szCs w:val="22"/>
          <w:shd w:val="clear" w:color="auto" w:fill="CCCCCC"/>
        </w:rPr>
        <w:t>XX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C87F29">
      <w:pPr>
        <w:jc w:val="both"/>
        <w:rPr>
          <w:sz w:val="22"/>
          <w:szCs w:val="22"/>
          <w:shd w:val="clear" w:color="auto" w:fill="CCCCCC"/>
        </w:rPr>
      </w:pPr>
    </w:p>
    <w:p w:rsidR="00C87F29" w:rsidRDefault="000849B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color w:val="000000"/>
          <w:sz w:val="22"/>
          <w:szCs w:val="22"/>
          <w:shd w:val="clear" w:color="auto" w:fill="CCCCCC"/>
        </w:rPr>
        <w:t>„</w:t>
      </w: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</w:p>
    <w:p w:rsidR="00C87F29" w:rsidRDefault="000849B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C87F29">
      <w:pPr>
        <w:jc w:val="both"/>
        <w:rPr>
          <w:sz w:val="22"/>
          <w:szCs w:val="22"/>
          <w:shd w:val="clear" w:color="auto" w:fill="CCCCCC"/>
        </w:rPr>
      </w:pPr>
    </w:p>
    <w:p w:rsidR="00C87F29" w:rsidRDefault="000849BB">
      <w:pPr>
        <w:numPr>
          <w:ilvl w:val="1"/>
          <w:numId w:val="6"/>
        </w:numPr>
        <w:jc w:val="both"/>
        <w:rPr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C87F29">
      <w:pPr>
        <w:ind w:left="1080"/>
        <w:jc w:val="both"/>
        <w:rPr>
          <w:sz w:val="22"/>
          <w:szCs w:val="22"/>
          <w:shd w:val="clear" w:color="auto" w:fill="CCCCCC"/>
        </w:rPr>
      </w:pPr>
    </w:p>
    <w:p w:rsidR="00C87F29" w:rsidRDefault="000849BB">
      <w:pPr>
        <w:numPr>
          <w:ilvl w:val="1"/>
          <w:numId w:val="6"/>
        </w:numPr>
        <w:jc w:val="both"/>
        <w:rPr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III. 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Licence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NFA touto smlouvou poskytuje Nabyvateli </w:t>
      </w:r>
      <w:r>
        <w:rPr>
          <w:b/>
          <w:color w:val="000000"/>
          <w:sz w:val="22"/>
          <w:szCs w:val="22"/>
          <w:u w:val="single"/>
        </w:rPr>
        <w:t>Souhlas s užitím ZOZ</w:t>
      </w:r>
      <w:r>
        <w:rPr>
          <w:color w:val="000000"/>
          <w:sz w:val="22"/>
          <w:szCs w:val="22"/>
        </w:rPr>
        <w:t xml:space="preserve"> v níže uvedeném rozsahu: 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k těmto způsobům užití</w:t>
      </w:r>
      <w:r>
        <w:rPr>
          <w:sz w:val="22"/>
          <w:szCs w:val="22"/>
        </w:rPr>
        <w:t>:</w:t>
      </w:r>
    </w:p>
    <w:p w:rsidR="00C87F29" w:rsidRDefault="000849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20" w:hanging="2"/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v tomto časovém rozsahu</w:t>
      </w:r>
      <w:r>
        <w:rPr>
          <w:sz w:val="22"/>
          <w:szCs w:val="22"/>
        </w:rPr>
        <w:t>:</w:t>
      </w:r>
      <w:r>
        <w:rPr>
          <w:color w:val="222222"/>
          <w:sz w:val="22"/>
          <w:szCs w:val="22"/>
          <w:highlight w:val="white"/>
        </w:rPr>
        <w:t xml:space="preserve"> </w:t>
      </w:r>
      <w:r>
        <w:rPr>
          <w:color w:val="222222"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na tomto území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  <w:shd w:val="clear" w:color="auto" w:fill="CCCCCC"/>
        </w:rPr>
      </w:pPr>
      <w:r>
        <w:rPr>
          <w:sz w:val="22"/>
          <w:szCs w:val="22"/>
          <w:u w:val="single"/>
          <w:shd w:val="clear" w:color="auto" w:fill="CCCCCC"/>
        </w:rPr>
        <w:t>XX</w:t>
      </w:r>
      <w:r>
        <w:rPr>
          <w:sz w:val="22"/>
          <w:szCs w:val="22"/>
          <w:shd w:val="clear" w:color="auto" w:fill="CCCCCC"/>
        </w:rPr>
        <w:t>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NFA touto smlouvou poskytuje Nabyvateli </w:t>
      </w:r>
      <w:r>
        <w:rPr>
          <w:b/>
          <w:color w:val="000000"/>
          <w:sz w:val="22"/>
          <w:szCs w:val="22"/>
          <w:u w:val="single"/>
        </w:rPr>
        <w:t>Souhlas s užitím Autorských děl</w:t>
      </w:r>
      <w:r>
        <w:rPr>
          <w:color w:val="000000"/>
          <w:sz w:val="22"/>
          <w:szCs w:val="22"/>
        </w:rPr>
        <w:t xml:space="preserve"> v níže uvedeném rozsahu: 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k těmto způsobům užití</w:t>
      </w:r>
      <w:r>
        <w:rPr>
          <w:sz w:val="22"/>
          <w:szCs w:val="22"/>
        </w:rPr>
        <w:t>:</w:t>
      </w:r>
    </w:p>
    <w:p w:rsidR="00C87F29" w:rsidRDefault="000849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20" w:hanging="2"/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shd w:val="clear" w:color="auto" w:fill="CCCCCC"/>
        </w:rPr>
      </w:pP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 tomto časovém rozsahu</w:t>
      </w:r>
      <w:r>
        <w:rPr>
          <w:sz w:val="22"/>
          <w:szCs w:val="22"/>
        </w:rPr>
        <w:t>:</w:t>
      </w:r>
      <w:r>
        <w:rPr>
          <w:color w:val="222222"/>
          <w:sz w:val="22"/>
          <w:szCs w:val="22"/>
          <w:highlight w:val="white"/>
        </w:rPr>
        <w:t xml:space="preserve"> </w:t>
      </w:r>
      <w:r>
        <w:rPr>
          <w:color w:val="222222"/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na tomto území</w:t>
      </w:r>
      <w:r>
        <w:rPr>
          <w:sz w:val="22"/>
          <w:szCs w:val="22"/>
        </w:rPr>
        <w:t>:</w:t>
      </w:r>
      <w:r>
        <w:rPr>
          <w:sz w:val="22"/>
          <w:szCs w:val="22"/>
          <w:shd w:val="clear" w:color="auto" w:fill="CCCCCC"/>
        </w:rPr>
        <w:t>XX</w:t>
      </w:r>
    </w:p>
    <w:p w:rsidR="00C87F29" w:rsidRDefault="000849BB">
      <w:pPr>
        <w:numPr>
          <w:ilvl w:val="0"/>
          <w:numId w:val="10"/>
        </w:numPr>
        <w:jc w:val="both"/>
        <w:rPr>
          <w:sz w:val="22"/>
          <w:szCs w:val="22"/>
          <w:shd w:val="clear" w:color="auto" w:fill="CCCCCC"/>
        </w:rPr>
      </w:pPr>
      <w:r>
        <w:rPr>
          <w:sz w:val="22"/>
          <w:szCs w:val="22"/>
          <w:u w:val="single"/>
          <w:shd w:val="clear" w:color="auto" w:fill="CCCCCC"/>
        </w:rPr>
        <w:t>XX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  <w:highlight w:val="yellow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Nabyvatel </w:t>
      </w:r>
      <w:r>
        <w:rPr>
          <w:sz w:val="22"/>
          <w:szCs w:val="22"/>
          <w:shd w:val="clear" w:color="auto" w:fill="CCCCCC"/>
        </w:rPr>
        <w:t>XX</w:t>
      </w:r>
      <w:r>
        <w:rPr>
          <w:color w:val="000000"/>
          <w:sz w:val="22"/>
          <w:szCs w:val="22"/>
        </w:rPr>
        <w:t xml:space="preserve"> oprávněn provádět jakékoliv změny, úpravy, doplnění, spojení nebo jiné zásahy do ZOZ/Autorských děl, ledaže k tomu NFA udělí výslovný písemný souhlas. Nabyvatel se dále zavazuje že, ani ve vlastních Filmech nebudou prováděny žádné úpravy nebo střihy včetn</w:t>
      </w:r>
      <w:r>
        <w:rPr>
          <w:color w:val="000000"/>
          <w:sz w:val="22"/>
          <w:szCs w:val="22"/>
        </w:rPr>
        <w:t>ě přerušení Filmů reklamou, ledaže k tomu v konkrétním případě získá výslovné svolení od NFA. Nabyvatel se zavazuje, že bude provádět veškeré činnosti a úkony související s využitím svolení dle této smlouvy takovým způsobem, aby nebyla ohrožena práva a opr</w:t>
      </w:r>
      <w:r>
        <w:rPr>
          <w:color w:val="000000"/>
          <w:sz w:val="22"/>
          <w:szCs w:val="22"/>
        </w:rPr>
        <w:t xml:space="preserve">ávněné zájmy jakýchkoliv nositelů práv duševního vlastnictví k Filmům, ZOZ a Autorským dílům. 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je povinen souhlasy udělené touto smlouvou využít. Případné nevyužití těchto souhlasů Nabyvatelem nemá žádný vliv na výši smluvní odměny pro NFA dle č</w:t>
      </w:r>
      <w:r>
        <w:rPr>
          <w:color w:val="000000"/>
          <w:sz w:val="22"/>
          <w:szCs w:val="22"/>
        </w:rPr>
        <w:t>l. IV.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Nabyvatel </w:t>
      </w:r>
      <w:r>
        <w:rPr>
          <w:sz w:val="22"/>
          <w:szCs w:val="22"/>
          <w:shd w:val="clear" w:color="auto" w:fill="CCCCCC"/>
        </w:rPr>
        <w:t>XX</w:t>
      </w:r>
      <w:r>
        <w:rPr>
          <w:color w:val="000000"/>
          <w:sz w:val="22"/>
          <w:szCs w:val="22"/>
        </w:rPr>
        <w:t xml:space="preserve"> oprávněn užít ZOZ/Autorská díla ve větším rozsahu (včetně rozsahu územního), než uvedeném v této smlouvě a je povinen učinit veškerá technická, organizační a další potřebná opatření, která lze po něm rozumně požadovat, aby znemožnil už</w:t>
      </w:r>
      <w:r>
        <w:rPr>
          <w:color w:val="000000"/>
          <w:sz w:val="22"/>
          <w:szCs w:val="22"/>
        </w:rPr>
        <w:t xml:space="preserve">ití či zpřístupnění ZOZ/Autorských děl nad tento rámec jakýmikoliv třetími osobami. 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bere na vědomí, že na základě této smlouvy nezískává práva k užití žádných dalších statků duševního vlastnictví, než těch, o kterých je tak výslovně řečeno v té</w:t>
      </w:r>
      <w:r>
        <w:rPr>
          <w:color w:val="000000"/>
          <w:sz w:val="22"/>
          <w:szCs w:val="22"/>
        </w:rPr>
        <w:t>to smlouvě. V případě žádosti NFA je Nabyvatel povinen bez zbytečného odkladu NFA předložit kopie všech relevantních dokumentů prokazujících, že Nabyvatel řádně vypořádal všechna práva duševního vlastnictví související s užíváním Filmů.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vyloučení všec</w:t>
      </w:r>
      <w:r>
        <w:rPr>
          <w:color w:val="000000"/>
          <w:sz w:val="22"/>
          <w:szCs w:val="22"/>
        </w:rPr>
        <w:t>h pochybností smluvní strany uvádějí, že součástí svolení a licencí dle této smlouvy není užití ZOZ/Autorských děl ani jejich částí pro účely merchandisingu, reklamy, tzv. remaku Filmu, dále v podobě tzv. příbalů ke spotřebnímu zboží včetně periodických či</w:t>
      </w:r>
      <w:r>
        <w:rPr>
          <w:color w:val="000000"/>
          <w:sz w:val="22"/>
          <w:szCs w:val="22"/>
        </w:rPr>
        <w:t xml:space="preserve"> neperiodických tiskovin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zařazení ZOZ/Autorských děl do střihových pořadů či jiných nových audiovizuálních děl, ani užití ZOZ/Autorských děl v rámci takových nových audiovizuálních děl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Nehledě na výše uvedené se však smluvní strany dohodly, že Nabyvatel j</w:t>
      </w:r>
      <w:r>
        <w:rPr>
          <w:color w:val="000000"/>
          <w:sz w:val="22"/>
          <w:szCs w:val="22"/>
        </w:rPr>
        <w:t>e oprávněn užívat části ZOZ/Autorských děl při užívání částí Filmů za účelem propagace Filmů a ZOZ v souvislosti s využitím licencí a svolení dle této smlouvy, a to v libovolných médiích, za předpokladu, že stopáž využité části Filmu v každém jednotlivém p</w:t>
      </w:r>
      <w:r>
        <w:rPr>
          <w:color w:val="000000"/>
          <w:sz w:val="22"/>
          <w:szCs w:val="22"/>
        </w:rPr>
        <w:t>řípadě nepřesáhne 3 minuty. Odměna pro NFA za toto svolení je již součástí celkové odměny dle čl. IV.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  <w:highlight w:val="white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Nabyvatel zaručuje, že jím dle této smlouvy užívané Filmy obsahující ZOZ/Autorská díla definovaná touto smlouvou budou vždy </w:t>
      </w:r>
      <w:r>
        <w:rPr>
          <w:sz w:val="22"/>
          <w:szCs w:val="22"/>
          <w:highlight w:val="white"/>
        </w:rPr>
        <w:t xml:space="preserve">uvedeny s </w:t>
      </w:r>
      <w:r>
        <w:rPr>
          <w:color w:val="000000"/>
          <w:sz w:val="22"/>
          <w:szCs w:val="22"/>
          <w:highlight w:val="white"/>
        </w:rPr>
        <w:t xml:space="preserve">logem NFA, </w:t>
      </w:r>
      <w:r>
        <w:rPr>
          <w:sz w:val="22"/>
          <w:szCs w:val="22"/>
          <w:highlight w:val="white"/>
        </w:rPr>
        <w:t>které NFA dodá v odpovědných křivkách a bude nedominantní součástí obrazu v levém dolním rohu projekce po dobu 5 sekund.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lastRenderedPageBreak/>
        <w:t>Nab</w:t>
      </w:r>
      <w:r>
        <w:rPr>
          <w:color w:val="000000"/>
          <w:sz w:val="22"/>
          <w:szCs w:val="22"/>
          <w:highlight w:val="white"/>
        </w:rPr>
        <w:t>y</w:t>
      </w:r>
      <w:r>
        <w:rPr>
          <w:sz w:val="22"/>
          <w:szCs w:val="22"/>
          <w:highlight w:val="white"/>
        </w:rPr>
        <w:t xml:space="preserve">vatel </w:t>
      </w:r>
      <w:r>
        <w:rPr>
          <w:sz w:val="22"/>
          <w:szCs w:val="22"/>
          <w:shd w:val="clear" w:color="auto" w:fill="CCCCCC"/>
        </w:rPr>
        <w:t>XX</w:t>
      </w:r>
      <w:r>
        <w:rPr>
          <w:sz w:val="22"/>
          <w:szCs w:val="22"/>
          <w:highlight w:val="white"/>
        </w:rPr>
        <w:t xml:space="preserve"> oprávněn všechna či některá práva získaná touto smlouvou převádět, jakož ani udělovat podlicence třetím osobám</w:t>
      </w:r>
      <w:r>
        <w:rPr>
          <w:sz w:val="22"/>
          <w:szCs w:val="22"/>
          <w:highlight w:val="white"/>
        </w:rPr>
        <w:t xml:space="preserve"> </w:t>
      </w:r>
      <w:r>
        <w:rPr>
          <w:sz w:val="21"/>
          <w:szCs w:val="21"/>
          <w:highlight w:val="white"/>
        </w:rPr>
        <w:t>s výjimkou ČNB, pro kterou Nabyvatel, jakožto zakázkový výrobce ZOZ pořizuje.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je povinen bezodkladně oznámit NFA jakékoliv porušení práva k ZOZ/Autorskému dílu, o kterém se dozví.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je zásadně při užití Filmů povinen dbát dobrého jména a pověsti NFA a přispívat k jejich ochraně.</w:t>
      </w:r>
    </w:p>
    <w:p w:rsidR="00C87F29" w:rsidRDefault="00C87F29">
      <w:pPr>
        <w:rPr>
          <w:sz w:val="22"/>
          <w:szCs w:val="22"/>
        </w:rPr>
      </w:pPr>
    </w:p>
    <w:p w:rsidR="00C87F29" w:rsidRDefault="000849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NFA výslovně prohlašuje, že v poskytnutí licence v rozsahu specifikovaném touto smlouvou mu nebrání žádná právní ani faktická překážka. Smluvní str</w:t>
      </w:r>
      <w:r>
        <w:rPr>
          <w:color w:val="000000"/>
          <w:sz w:val="22"/>
          <w:szCs w:val="22"/>
        </w:rPr>
        <w:t>any však berou na vědomí, že v případě, že Filmy specifikované touto smlouvou obsahují Autorská díla, jejichž autoři nebo jiní vykonavatelé předmětných autorských práv nejsou zastupováni DILIA (dále jen „</w:t>
      </w:r>
      <w:r>
        <w:rPr>
          <w:b/>
          <w:color w:val="000000"/>
          <w:sz w:val="22"/>
          <w:szCs w:val="22"/>
        </w:rPr>
        <w:t>osiřelá díla</w:t>
      </w:r>
      <w:r>
        <w:rPr>
          <w:color w:val="000000"/>
          <w:sz w:val="22"/>
          <w:szCs w:val="22"/>
        </w:rPr>
        <w:t>“), nemůže NFA Nabyvateli ve vztahu k ta</w:t>
      </w:r>
      <w:r>
        <w:rPr>
          <w:color w:val="000000"/>
          <w:sz w:val="22"/>
          <w:szCs w:val="22"/>
        </w:rPr>
        <w:t>kovým osiřelým dílům platně udělit Souhlas s užitím Autorských děl; NFA však prohlašuje, že ve Smlouvě s DILIA se s DILIA, divadelní, literární, audiovizuální agenturou, o.s. (dále jen „</w:t>
      </w:r>
      <w:r>
        <w:rPr>
          <w:b/>
          <w:color w:val="000000"/>
          <w:sz w:val="22"/>
          <w:szCs w:val="22"/>
        </w:rPr>
        <w:t>agentura DILIA</w:t>
      </w:r>
      <w:r>
        <w:rPr>
          <w:color w:val="000000"/>
          <w:sz w:val="22"/>
          <w:szCs w:val="22"/>
        </w:rPr>
        <w:t>“) dohodl tak, že odpovídající část odměny za užití osiř</w:t>
      </w:r>
      <w:r>
        <w:rPr>
          <w:color w:val="000000"/>
          <w:sz w:val="22"/>
          <w:szCs w:val="22"/>
        </w:rPr>
        <w:t>elých děl bude placena na účet agentury DILIA a agentura DILIA je povinna ve vztahu k takovým osiřelým dílům vynaložit veškeré úsilí k tomu, aby dohledala nositele práv k osiřelým dílům a uzavřela s nimi odpovídající smlouvu o zastupování, resp. s nimi vyp</w:t>
      </w:r>
      <w:r>
        <w:rPr>
          <w:color w:val="000000"/>
          <w:sz w:val="22"/>
          <w:szCs w:val="22"/>
        </w:rPr>
        <w:t>ořádala již uskutečněné užití jejich osiřelých děl a zaplatila jim odměnu. S ohledem na skutečnosti uvedené v předešlé větě se NFA s Nabyvatelem dohodl tak, že pokud mu Nabyvatel zaplatí odměnu za užití určitého Filmu, který obsahuje jedno či více osiřelýc</w:t>
      </w:r>
      <w:r>
        <w:rPr>
          <w:color w:val="000000"/>
          <w:sz w:val="22"/>
          <w:szCs w:val="22"/>
        </w:rPr>
        <w:t>h děl, bude odpovídající část takové odměny dle dohody mezi NFA a agenturou DILIA uhrazena na účet agentury DILIA s tím, že agentura DILIA vynaloží veškeré úsilí pro to, aby byla z této části odměny vypořádána práva příslušných autorů osiřelých děl. NFA se</w:t>
      </w:r>
      <w:r>
        <w:rPr>
          <w:color w:val="000000"/>
          <w:sz w:val="22"/>
          <w:szCs w:val="22"/>
        </w:rPr>
        <w:t xml:space="preserve"> s agenturou DILIA dále dohodl tak, že pokud se agentuře DILIA nepodaří vypořádat práva k určitému osiřelému dílu do 36 </w:t>
      </w:r>
      <w:r>
        <w:t xml:space="preserve">     </w:t>
      </w:r>
      <w:r>
        <w:rPr>
          <w:color w:val="000000"/>
          <w:sz w:val="22"/>
          <w:szCs w:val="22"/>
        </w:rPr>
        <w:t>měsíců od zaplacení odměny za užití takového osiřelého díla na účet agentury DILIA, vrátí takovou odměnu agentura DILIA na bankovní</w:t>
      </w:r>
      <w:r>
        <w:rPr>
          <w:color w:val="000000"/>
          <w:sz w:val="22"/>
          <w:szCs w:val="22"/>
        </w:rPr>
        <w:t xml:space="preserve"> účet NFA do 31. 1. kalendářního roku následujícího po kalendářním roce, ve kterém uplynulo 36 </w:t>
      </w:r>
      <w:r>
        <w:t xml:space="preserve">     </w:t>
      </w:r>
      <w:r>
        <w:rPr>
          <w:color w:val="000000"/>
          <w:sz w:val="22"/>
          <w:szCs w:val="22"/>
        </w:rPr>
        <w:t>měsíců od zaplacení odměny ze strany NFA, s tím, že agentura DILIA je oprávněna strhnout si z této odměny 20 % + DPH jakožto náhradu nákladů za vynaložené ú</w:t>
      </w:r>
      <w:r>
        <w:rPr>
          <w:color w:val="000000"/>
          <w:sz w:val="22"/>
          <w:szCs w:val="22"/>
        </w:rPr>
        <w:t>silí za účelem výše uvedeného vyplacení odměn za užití osiřelých děl. NFA se s Nabyvatelem dohodl tak, že pakliže mu agentura DILIA vrátí část odměny za užití osiřelého díla ve výši uvedené v předešlé větě, pak i NFA takovou část odměny vrátí Nabyvateli s </w:t>
      </w:r>
      <w:r>
        <w:rPr>
          <w:color w:val="000000"/>
          <w:sz w:val="22"/>
          <w:szCs w:val="22"/>
        </w:rPr>
        <w:t>tím, že rovněž NFA je oprávněn si z této zbylé části odměny strhnout náhradu svých reálně vynaložených interních i externích administrativních a transakčních nákladů; pokud by reálná výše uvedených nákladů NFA byla rovna či vyšší, než zbylá část odměny vrá</w:t>
      </w:r>
      <w:r>
        <w:rPr>
          <w:color w:val="000000"/>
          <w:sz w:val="22"/>
          <w:szCs w:val="22"/>
        </w:rPr>
        <w:t>cená od agentury DILIA, je NFA oprávněn ponechat si celou tuto zbylou část odměny.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Odměna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se zavazuje zaplatit NFA za užití každé započaté minuty Filmu dle podmínek této smlouvy následující odměnu: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XX</w:t>
      </w:r>
    </w:p>
    <w:p w:rsidR="00C87F29" w:rsidRDefault="00C87F29">
      <w:pPr>
        <w:shd w:val="clear" w:color="auto" w:fill="FFFFFF"/>
        <w:rPr>
          <w:rFonts w:ascii="Arial" w:eastAsia="Arial" w:hAnsi="Arial" w:cs="Arial"/>
          <w:color w:val="2222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Celková výše odměny za užití všech Filmů a ZOZ dle této smlouvy tedy souhrnně činí </w:t>
      </w:r>
      <w:r>
        <w:rPr>
          <w:b/>
          <w:color w:val="000000"/>
          <w:sz w:val="22"/>
          <w:szCs w:val="22"/>
        </w:rPr>
        <w:t xml:space="preserve">– </w:t>
      </w:r>
      <w:r>
        <w:rPr>
          <w:b/>
          <w:color w:val="222222"/>
          <w:sz w:val="22"/>
          <w:szCs w:val="22"/>
        </w:rPr>
        <w:t>72 000 Kč</w:t>
      </w:r>
      <w:r>
        <w:rPr>
          <w:color w:val="000000"/>
          <w:sz w:val="22"/>
          <w:szCs w:val="22"/>
        </w:rPr>
        <w:t xml:space="preserve"> (sedmdesát dva tisíc korun českých).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Odměna stanovená v odst. 1 tohoto článku bude Nabyvatelem NFA uhrazena na č.ú. uvedeném v záhlaví smlouvy na základě běžné </w:t>
      </w:r>
      <w:r>
        <w:rPr>
          <w:color w:val="000000"/>
          <w:sz w:val="22"/>
          <w:szCs w:val="22"/>
        </w:rPr>
        <w:t>faktury se všemi zákonnými náležitostmi daňového dokladu, s čtrnáctidenní lhůtou splatnosti vystavené NFA na základě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případě prodlení Nabyvatele s úhradou odměny dle ustanovení této smlouvy se Nabyvatel zavazuje uhradit NFA úrok z prodlení</w:t>
      </w:r>
      <w:r>
        <w:rPr>
          <w:color w:val="000000"/>
          <w:sz w:val="22"/>
          <w:szCs w:val="22"/>
        </w:rPr>
        <w:t xml:space="preserve"> ve výši </w:t>
      </w:r>
      <w:r>
        <w:rPr>
          <w:sz w:val="22"/>
          <w:szCs w:val="22"/>
          <w:shd w:val="clear" w:color="auto" w:fill="CCCCCC"/>
        </w:rPr>
        <w:t>XX</w:t>
      </w:r>
      <w:r>
        <w:rPr>
          <w:color w:val="000000"/>
          <w:sz w:val="22"/>
          <w:szCs w:val="22"/>
        </w:rPr>
        <w:t xml:space="preserve"> za každý celý den prodlení. 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prodlení Nabyvatele s úhradou kterékoliv části odměny ve lhůtě splatnosti, je NFA oprávněn s okamžitým účinkem odstoupit od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</w:t>
      </w:r>
    </w:p>
    <w:p w:rsidR="00C87F29" w:rsidRDefault="000849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Mlčenlivost</w:t>
      </w:r>
    </w:p>
    <w:p w:rsidR="00C87F29" w:rsidRDefault="00C87F29">
      <w:pPr>
        <w:jc w:val="center"/>
        <w:rPr>
          <w:b/>
          <w:sz w:val="22"/>
          <w:szCs w:val="22"/>
        </w:rPr>
      </w:pPr>
    </w:p>
    <w:p w:rsidR="00C87F29" w:rsidRDefault="000849BB">
      <w:pPr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Nabyvatel prohlašuje, že si je vědom skutečnosti, že veškeré údaje, které se dozví v rámci této smlouvy, a které nejsou veřejně dostupné, tvoří ve smyslu § 504 zákona č. 89/2012 Sb., občanského zákoníku v platném znění předmět obchodního tajemství NFA. Za </w:t>
      </w:r>
      <w:r>
        <w:rPr>
          <w:sz w:val="22"/>
          <w:szCs w:val="22"/>
        </w:rPr>
        <w:t>informace, tvořící obchodní tajemství, se například považují:</w:t>
      </w:r>
    </w:p>
    <w:p w:rsidR="00C87F29" w:rsidRDefault="000849B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informace týkající se současné pozice NFA na trhu + vnitřního uspořádání NFA, </w:t>
      </w:r>
    </w:p>
    <w:p w:rsidR="00C87F29" w:rsidRDefault="000849B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informace o edičním plánu, marketingových plánech a připravovaných kampaních NFA,</w:t>
      </w:r>
    </w:p>
    <w:p w:rsidR="00C87F29" w:rsidRDefault="000849B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informace o nových produktech a s</w:t>
      </w:r>
      <w:r>
        <w:rPr>
          <w:sz w:val="22"/>
          <w:szCs w:val="22"/>
        </w:rPr>
        <w:t xml:space="preserve">lužbách NFA. 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Nabyvatel se zavazuje toto obchodní tajemství zachovávat v naprosté tajnosti a po skončení spolupráce či kdykoliv na pokyn NFA ihned a bez výjimky vrátit NFA </w:t>
      </w:r>
      <w:r>
        <w:rPr>
          <w:sz w:val="22"/>
          <w:szCs w:val="22"/>
        </w:rPr>
        <w:t>jakékoli</w:t>
      </w:r>
      <w:r>
        <w:rPr>
          <w:color w:val="000000"/>
          <w:sz w:val="22"/>
          <w:szCs w:val="22"/>
        </w:rPr>
        <w:t xml:space="preserve"> a všechny dokumenty toto tajemství obsahující a nedopustit, aby toto obchodní tajemství bylo kdykoli po podpisu této smlouvy prozrazeno jakékoliv nepovolané osobě. Tento závazek trvá pro Nabyvatele i po ukončení platnosti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se zavaz</w:t>
      </w:r>
      <w:r>
        <w:rPr>
          <w:color w:val="000000"/>
          <w:sz w:val="22"/>
          <w:szCs w:val="22"/>
        </w:rPr>
        <w:t>uje toto obchodní tajemství nikdy nevyužít žádným způsobem, přímo ani nepřímo, ve svůj prospěch či jinak, než v zájmu NFA a v souladu s jeho instrukcemi a pokyny.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se zavazuje, že jakékoli podklady (včetně grafických vyobrazení, log, ochranných z</w:t>
      </w:r>
      <w:r>
        <w:rPr>
          <w:color w:val="000000"/>
          <w:sz w:val="22"/>
          <w:szCs w:val="22"/>
        </w:rPr>
        <w:t>námek atd.) získané od NFA či jím pověřené třetí osoby využije výlučně pro účely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pokuty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případě, že Nabyvatel překročí sjednaný rozsah svolení k užití ZOZ/Autorských děl (např. rozsah věcný, časový, územní apod.) uvedený v čl. III. odst. 1 nebo odst. 2, je povinen za každý jednotlivý případ takového porušení uhradit NFA smluvní pokutu ve vý</w:t>
      </w:r>
      <w:r>
        <w:rPr>
          <w:color w:val="000000"/>
          <w:sz w:val="22"/>
          <w:szCs w:val="22"/>
        </w:rPr>
        <w:t>ši 2000 EUR, a dále náhradu škody v plné výši.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porušení všech ostatních ustanovení této smlouvy, než která jsou uvedena v předešlém odst. 1 tohoto čl. VI. a v čl. III. odst. 3 (např. za nedovolené přerušení Filmu reklamou, za zkrácení závěrečných titul</w:t>
      </w:r>
      <w:r>
        <w:rPr>
          <w:color w:val="000000"/>
          <w:sz w:val="22"/>
          <w:szCs w:val="22"/>
        </w:rPr>
        <w:t>ků Filmu atd.), se Nabyvatel zavazuje uhradit NFA smluvní pokutu ve výši 1000 EUR za každý jednotlivý případ takového porušení, a dále náhradu škody v plné výši.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Každá smluvní pokuta je splatná do 7 dnů od odeslání výzvy k jejímu zaplacení Nabyvateli.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případě, kdy bude smluvní pokuta snížená soudem, zůstává zachováno právo na náhradu škody ve výši, v jaké škoda převyšuje částku určenou soudem jako přiměřenou, a to bez jakéhokoliv dalšího omezení.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VII.</w:t>
      </w:r>
    </w:p>
    <w:p w:rsidR="00C87F29" w:rsidRDefault="000849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 xml:space="preserve">Tato smlouva se řídí právním řádem České republiky, zejména relevantními ustanoveními občanského zákoníku, autorského zákona a souvisejících právních předpisů. V případě, že dojde </w:t>
      </w:r>
      <w:r>
        <w:rPr>
          <w:color w:val="000000"/>
          <w:sz w:val="22"/>
          <w:szCs w:val="22"/>
        </w:rPr>
        <w:lastRenderedPageBreak/>
        <w:t>ke vzniku sporu v souvislosti s výkladem nebo plněním této smlouvy, který se</w:t>
      </w:r>
      <w:r>
        <w:rPr>
          <w:color w:val="000000"/>
          <w:sz w:val="22"/>
          <w:szCs w:val="22"/>
        </w:rPr>
        <w:t xml:space="preserve"> nepodaří vyřešit smírnou cestou, bude takový spor řešen věcně příslušným soudem, jehož místní příslušnost bude určena dle sídla NFA. 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Nabyvatel bere na vědomí a souhlasí s tím, že originál nebo stejnopis této Licenční a podlicenční smlouvy může být kdyko</w:t>
      </w:r>
      <w:r>
        <w:rPr>
          <w:color w:val="000000"/>
          <w:sz w:val="22"/>
          <w:szCs w:val="22"/>
        </w:rPr>
        <w:t>liv za účinnosti i po skončení této smlouvy předán agentuře DILIA.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vypovědět či od ní odstoupit pouze za podmínek stanovených v obecně závazných předpisech nebo v této smlouvě.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byla sepsána ve dvou vyhotoveních s platností originálu, z nichž každý z účastníků přijímá po jednom.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Účastníci se zavazují, že v případě sporů o obsah a plnění této smlouvy vynaloží veškeré úsilí, které lze spravedlivě požadovat, k tomu, aby</w:t>
      </w:r>
      <w:r>
        <w:rPr>
          <w:color w:val="000000"/>
          <w:sz w:val="22"/>
          <w:szCs w:val="22"/>
        </w:rPr>
        <w:t xml:space="preserve"> tyto spory byly vyřešeny smírnou cestou, zejména aby byly odstraněny okolnosti vedoucí ke vzniku práva od smlouvy odstoupit nebo způsobující její neplatnost.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by se v důsledku změny právních předpisů nebo jiných důvodů stala některá ujednání této sm</w:t>
      </w:r>
      <w:r>
        <w:rPr>
          <w:color w:val="000000"/>
          <w:sz w:val="22"/>
          <w:szCs w:val="22"/>
        </w:rPr>
        <w:t>louvy neplatnými nebo neúčinnými, budou tato ustanovení uvedena do souladu s právními normami a účastníci prohlašují, že smlouva je ve zbývajících ustanoveních platná, neodporuje-li to jejímu účelu nebo nejedná-li se o ustanovení, která oddělit nelze. Ukáž</w:t>
      </w:r>
      <w:r>
        <w:rPr>
          <w:color w:val="000000"/>
          <w:sz w:val="22"/>
          <w:szCs w:val="22"/>
        </w:rPr>
        <w:t>e-li se některé z ustanovení této smlouvy zdánlivým (nicotným), posoudí se vliv této vady na ostatní ustanovení smlouvy obdobně podle § 576 občanského zákoníku.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je možné změnit pouze písemnou formou (za kterou se pro tento účel nepovažuje for</w:t>
      </w:r>
      <w:r>
        <w:rPr>
          <w:color w:val="000000"/>
          <w:sz w:val="22"/>
          <w:szCs w:val="22"/>
        </w:rPr>
        <w:t>ma elektronické komunikace), přičemž podpisy zástupců obou stran musí být na téže listině.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Obě smluvní strany prohlašují, že jim jakékoli závazky vůči třetím osobám nebrání v uzavření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obsahuje úplné ujednání o předmětu smlouvy </w:t>
      </w:r>
      <w:r>
        <w:rPr>
          <w:color w:val="000000"/>
          <w:sz w:val="22"/>
          <w:szCs w:val="22"/>
        </w:rPr>
        <w:t xml:space="preserve">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</w:t>
      </w:r>
      <w:r>
        <w:rPr>
          <w:color w:val="000000"/>
          <w:sz w:val="22"/>
          <w:szCs w:val="22"/>
        </w:rPr>
        <w:t>výslovnými ustanoveními této smlouvy a nezakládá žádný závazek žádné ze stran.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</w:t>
      </w:r>
      <w:r>
        <w:rPr>
          <w:color w:val="000000"/>
          <w:sz w:val="22"/>
          <w:szCs w:val="22"/>
        </w:rPr>
        <w:t>edaže je ve smlouvě výslovně sjednáno jinak. Vedle shora uvedeného si strany potvrzují, že si nejsou vědomy žádných dosud mezi nimi zavedených obchodních zvyklostí či praxe.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Odpověď strany této smlouvy, podle § 1740 odst. 3 občanského zákoníku, s dodatkem</w:t>
      </w:r>
      <w:r>
        <w:rPr>
          <w:color w:val="000000"/>
          <w:sz w:val="22"/>
          <w:szCs w:val="22"/>
        </w:rPr>
        <w:t xml:space="preserve"> nebo odchylkou, není přijetím nabídky na uzavření této smlouvy, ani když podstatně nemění podmínky nabídky.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výslovně potvrzují, že základní podmínky této smlouvy jsou výsledkem jednání stran a každá ze stran měla příležitost ovlivnit obsah základn</w:t>
      </w:r>
      <w:r>
        <w:rPr>
          <w:color w:val="000000"/>
          <w:sz w:val="22"/>
          <w:szCs w:val="22"/>
        </w:rPr>
        <w:t>ích podmínek této smlouvy.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87F29" w:rsidRDefault="000849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důkaz porozumění a souhlasu s celým obsahem i jednotlivostmi této smlouvy připojují zde smluvní strany své podpisy: </w:t>
      </w:r>
    </w:p>
    <w:p w:rsidR="00C87F29" w:rsidRDefault="00C87F2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:rsidR="00C87F29" w:rsidRDefault="00C87F29">
      <w:pPr>
        <w:ind w:left="360"/>
        <w:jc w:val="both"/>
        <w:rPr>
          <w:sz w:val="22"/>
          <w:szCs w:val="22"/>
        </w:rPr>
      </w:pPr>
    </w:p>
    <w:tbl>
      <w:tblPr>
        <w:tblStyle w:val="a4"/>
        <w:tblW w:w="9286" w:type="dxa"/>
        <w:tblInd w:w="0" w:type="dxa"/>
        <w:tblLayout w:type="fixed"/>
        <w:tblLook w:val="0000"/>
      </w:tblPr>
      <w:tblGrid>
        <w:gridCol w:w="4820"/>
        <w:gridCol w:w="4466"/>
      </w:tblGrid>
      <w:tr w:rsidR="00C87F29">
        <w:trPr>
          <w:cantSplit/>
          <w:tblHeader/>
        </w:trPr>
        <w:tc>
          <w:tcPr>
            <w:tcW w:w="4820" w:type="dxa"/>
          </w:tcPr>
          <w:p w:rsidR="00C87F29" w:rsidRDefault="000849BB">
            <w:pPr>
              <w:ind w:right="1440"/>
              <w:rPr>
                <w:b/>
                <w:highlight w:val="yellow"/>
              </w:rPr>
            </w:pPr>
            <w:r>
              <w:rPr>
                <w:highlight w:val="white"/>
              </w:rPr>
              <w:lastRenderedPageBreak/>
              <w:t>V Praze dne</w:t>
            </w:r>
            <w:r w:rsidR="00F445A0">
              <w:rPr>
                <w:highlight w:val="white"/>
              </w:rPr>
              <w:t xml:space="preserve"> 22.5.2025</w:t>
            </w:r>
            <w:r>
              <w:rPr>
                <w:highlight w:val="yellow"/>
              </w:rPr>
              <w:t>…..</w:t>
            </w:r>
          </w:p>
          <w:p w:rsidR="00C87F29" w:rsidRDefault="00C87F29">
            <w:pPr>
              <w:ind w:right="1440"/>
              <w:rPr>
                <w:b/>
                <w:highlight w:val="white"/>
              </w:rPr>
            </w:pPr>
          </w:p>
          <w:p w:rsidR="00C87F29" w:rsidRDefault="000849BB">
            <w:pPr>
              <w:ind w:right="14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NFA:</w:t>
            </w:r>
          </w:p>
          <w:p w:rsidR="00C87F29" w:rsidRDefault="00C87F29">
            <w:pPr>
              <w:ind w:right="1440"/>
              <w:rPr>
                <w:highlight w:val="white"/>
              </w:rPr>
            </w:pPr>
          </w:p>
          <w:p w:rsidR="00C87F29" w:rsidRDefault="00C87F29">
            <w:pPr>
              <w:ind w:right="1440"/>
              <w:rPr>
                <w:highlight w:val="white"/>
              </w:rPr>
            </w:pPr>
          </w:p>
          <w:p w:rsidR="00C87F29" w:rsidRDefault="00C87F29">
            <w:pPr>
              <w:ind w:right="1440"/>
              <w:rPr>
                <w:highlight w:val="white"/>
              </w:rPr>
            </w:pPr>
          </w:p>
          <w:p w:rsidR="00C87F29" w:rsidRDefault="000849BB">
            <w:pPr>
              <w:ind w:right="1440"/>
              <w:rPr>
                <w:highlight w:val="white"/>
              </w:rPr>
            </w:pPr>
            <w:r>
              <w:rPr>
                <w:highlight w:val="white"/>
              </w:rPr>
              <w:t>__________________________</w:t>
            </w:r>
          </w:p>
          <w:p w:rsidR="00C87F29" w:rsidRDefault="000849BB">
            <w:pPr>
              <w:ind w:right="1440"/>
              <w:rPr>
                <w:highlight w:val="white"/>
              </w:rPr>
            </w:pPr>
            <w:r>
              <w:rPr>
                <w:b/>
                <w:highlight w:val="white"/>
              </w:rPr>
              <w:t>Národní filmový archiv</w:t>
            </w:r>
          </w:p>
          <w:p w:rsidR="00C87F29" w:rsidRDefault="000849BB">
            <w:pPr>
              <w:ind w:right="1440"/>
              <w:rPr>
                <w:highlight w:val="white"/>
              </w:rPr>
            </w:pPr>
            <w:r>
              <w:rPr>
                <w:highlight w:val="white"/>
              </w:rPr>
              <w:t xml:space="preserve">PhDr. Michal Bregant, </w:t>
            </w:r>
          </w:p>
          <w:p w:rsidR="00C87F29" w:rsidRDefault="000849BB">
            <w:pPr>
              <w:ind w:right="1440"/>
              <w:rPr>
                <w:highlight w:val="white"/>
              </w:rPr>
            </w:pPr>
            <w:r>
              <w:rPr>
                <w:highlight w:val="white"/>
              </w:rPr>
              <w:t>generální ředitel</w:t>
            </w:r>
          </w:p>
          <w:p w:rsidR="00C87F29" w:rsidRDefault="00C87F29">
            <w:pPr>
              <w:ind w:right="1440"/>
              <w:rPr>
                <w:highlight w:val="white"/>
              </w:rPr>
            </w:pPr>
          </w:p>
        </w:tc>
        <w:tc>
          <w:tcPr>
            <w:tcW w:w="4466" w:type="dxa"/>
          </w:tcPr>
          <w:p w:rsidR="00C87F29" w:rsidRDefault="000849BB">
            <w:pPr>
              <w:ind w:right="1440"/>
              <w:rPr>
                <w:b/>
              </w:rPr>
            </w:pPr>
            <w:r>
              <w:rPr>
                <w:highlight w:val="white"/>
              </w:rPr>
              <w:t xml:space="preserve">V Praze </w:t>
            </w:r>
            <w:r>
              <w:t>dne 2</w:t>
            </w:r>
            <w:r w:rsidR="00F445A0">
              <w:t>7</w:t>
            </w:r>
            <w:r>
              <w:t>.05.2025</w:t>
            </w:r>
          </w:p>
          <w:p w:rsidR="00C87F29" w:rsidRDefault="00C87F29">
            <w:pPr>
              <w:ind w:right="1440"/>
              <w:rPr>
                <w:b/>
                <w:highlight w:val="white"/>
              </w:rPr>
            </w:pPr>
          </w:p>
          <w:p w:rsidR="00C87F29" w:rsidRDefault="000849BB">
            <w:pPr>
              <w:ind w:right="14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Nabyvatel:</w:t>
            </w:r>
          </w:p>
          <w:p w:rsidR="00C87F29" w:rsidRDefault="00C87F29">
            <w:pPr>
              <w:ind w:right="1440"/>
              <w:rPr>
                <w:highlight w:val="white"/>
              </w:rPr>
            </w:pPr>
          </w:p>
          <w:p w:rsidR="00C87F29" w:rsidRDefault="00C87F29">
            <w:pPr>
              <w:ind w:right="1440"/>
              <w:rPr>
                <w:highlight w:val="white"/>
              </w:rPr>
            </w:pPr>
          </w:p>
          <w:p w:rsidR="00C87F29" w:rsidRDefault="00C87F29">
            <w:pPr>
              <w:ind w:right="1440"/>
              <w:rPr>
                <w:highlight w:val="white"/>
              </w:rPr>
            </w:pPr>
          </w:p>
          <w:p w:rsidR="00C87F29" w:rsidRDefault="000849BB">
            <w:pPr>
              <w:ind w:right="1440"/>
              <w:rPr>
                <w:highlight w:val="white"/>
              </w:rPr>
            </w:pPr>
            <w:r>
              <w:rPr>
                <w:highlight w:val="white"/>
              </w:rPr>
              <w:t>_______________________</w:t>
            </w:r>
          </w:p>
          <w:p w:rsidR="00C87F29" w:rsidRDefault="000849BB">
            <w:pPr>
              <w:ind w:right="692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LoglineProduction, s.r.o.</w:t>
            </w:r>
          </w:p>
          <w:p w:rsidR="00C87F29" w:rsidRDefault="000849BB">
            <w:pPr>
              <w:ind w:right="69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MgA. Petr Erben</w:t>
            </w:r>
          </w:p>
          <w:p w:rsidR="00C87F29" w:rsidRDefault="000849BB">
            <w:pPr>
              <w:ind w:right="692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producent, na základě plné moci</w:t>
            </w:r>
          </w:p>
        </w:tc>
      </w:tr>
    </w:tbl>
    <w:p w:rsidR="00C87F29" w:rsidRDefault="00C87F29">
      <w:pPr>
        <w:rPr>
          <w:sz w:val="22"/>
          <w:szCs w:val="22"/>
        </w:rPr>
      </w:pPr>
    </w:p>
    <w:p w:rsidR="00C87F29" w:rsidRDefault="00C87F29"/>
    <w:sectPr w:rsidR="00C87F29" w:rsidSect="00C87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9BB" w:rsidRDefault="000849BB" w:rsidP="00C87F29">
      <w:r>
        <w:separator/>
      </w:r>
    </w:p>
  </w:endnote>
  <w:endnote w:type="continuationSeparator" w:id="1">
    <w:p w:rsidR="000849BB" w:rsidRDefault="000849BB" w:rsidP="00C8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29" w:rsidRDefault="00C87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29" w:rsidRDefault="00084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 w:rsidR="00C87F29"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F445A0">
      <w:rPr>
        <w:b/>
        <w:color w:val="000000"/>
      </w:rPr>
      <w:fldChar w:fldCharType="separate"/>
    </w:r>
    <w:r w:rsidR="00F445A0">
      <w:rPr>
        <w:b/>
        <w:noProof/>
        <w:color w:val="000000"/>
      </w:rPr>
      <w:t>6</w:t>
    </w:r>
    <w:r w:rsidR="00C87F29">
      <w:rPr>
        <w:b/>
        <w:color w:val="000000"/>
      </w:rPr>
      <w:fldChar w:fldCharType="end"/>
    </w:r>
    <w:r>
      <w:rPr>
        <w:color w:val="000000"/>
      </w:rPr>
      <w:t xml:space="preserve"> z </w:t>
    </w:r>
    <w:r w:rsidR="00C87F29"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F445A0">
      <w:rPr>
        <w:b/>
        <w:color w:val="000000"/>
      </w:rPr>
      <w:fldChar w:fldCharType="separate"/>
    </w:r>
    <w:r w:rsidR="00F445A0">
      <w:rPr>
        <w:b/>
        <w:noProof/>
        <w:color w:val="000000"/>
      </w:rPr>
      <w:t>7</w:t>
    </w:r>
    <w:r w:rsidR="00C87F29">
      <w:rPr>
        <w:b/>
        <w:color w:val="000000"/>
      </w:rPr>
      <w:fldChar w:fldCharType="end"/>
    </w:r>
  </w:p>
  <w:p w:rsidR="00C87F29" w:rsidRDefault="00C87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29" w:rsidRDefault="00C87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9BB" w:rsidRDefault="000849BB" w:rsidP="00C87F29">
      <w:r>
        <w:separator/>
      </w:r>
    </w:p>
  </w:footnote>
  <w:footnote w:type="continuationSeparator" w:id="1">
    <w:p w:rsidR="000849BB" w:rsidRDefault="000849BB" w:rsidP="00C87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29" w:rsidRDefault="00C87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29" w:rsidRDefault="00C87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29" w:rsidRDefault="00C87F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33A"/>
    <w:multiLevelType w:val="multilevel"/>
    <w:tmpl w:val="92BCAB1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4804DE"/>
    <w:multiLevelType w:val="multilevel"/>
    <w:tmpl w:val="B6E02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4120F"/>
    <w:multiLevelType w:val="multilevel"/>
    <w:tmpl w:val="20583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A6EFE"/>
    <w:multiLevelType w:val="multilevel"/>
    <w:tmpl w:val="B0D0A05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D9D7821"/>
    <w:multiLevelType w:val="multilevel"/>
    <w:tmpl w:val="D1EA7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9A502DD"/>
    <w:multiLevelType w:val="multilevel"/>
    <w:tmpl w:val="1D104C6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>
    <w:nsid w:val="4E374B5A"/>
    <w:multiLevelType w:val="multilevel"/>
    <w:tmpl w:val="1778974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7">
    <w:nsid w:val="4F941FB5"/>
    <w:multiLevelType w:val="multilevel"/>
    <w:tmpl w:val="35CE8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8">
    <w:nsid w:val="581C7076"/>
    <w:multiLevelType w:val="multilevel"/>
    <w:tmpl w:val="5B7AD94E"/>
    <w:lvl w:ilvl="0">
      <w:start w:val="1"/>
      <w:numFmt w:val="bullet"/>
      <w:lvlText w:val="●"/>
      <w:lvlJc w:val="left"/>
      <w:pPr>
        <w:ind w:left="14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9682832"/>
    <w:multiLevelType w:val="multilevel"/>
    <w:tmpl w:val="92A661CC"/>
    <w:lvl w:ilvl="0">
      <w:start w:val="1"/>
      <w:numFmt w:val="bullet"/>
      <w:lvlText w:val="●"/>
      <w:lvlJc w:val="left"/>
      <w:pPr>
        <w:ind w:left="107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9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1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3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5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7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9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1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38" w:hanging="360"/>
      </w:pPr>
      <w:rPr>
        <w:u w:val="none"/>
      </w:rPr>
    </w:lvl>
  </w:abstractNum>
  <w:abstractNum w:abstractNumId="10">
    <w:nsid w:val="62800881"/>
    <w:multiLevelType w:val="multilevel"/>
    <w:tmpl w:val="E9062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11">
    <w:nsid w:val="6D1B04F7"/>
    <w:multiLevelType w:val="multilevel"/>
    <w:tmpl w:val="2B048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F29"/>
    <w:rsid w:val="000849BB"/>
    <w:rsid w:val="00C87F29"/>
    <w:rsid w:val="00F4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A44"/>
  </w:style>
  <w:style w:type="paragraph" w:styleId="Nadpis1">
    <w:name w:val="heading 1"/>
    <w:basedOn w:val="Normln"/>
    <w:next w:val="Normln"/>
    <w:uiPriority w:val="9"/>
    <w:qFormat/>
    <w:rsid w:val="00FA57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A57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A57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A570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A57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A57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C87F29"/>
  </w:style>
  <w:style w:type="table" w:customStyle="1" w:styleId="TableNormal">
    <w:name w:val="Table Normal"/>
    <w:rsid w:val="00C87F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A570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C87F29"/>
  </w:style>
  <w:style w:type="table" w:customStyle="1" w:styleId="TableNormal0">
    <w:name w:val="Table Normal"/>
    <w:rsid w:val="00C87F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7F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D6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FA5706"/>
  </w:style>
  <w:style w:type="table" w:customStyle="1" w:styleId="TableNormal3">
    <w:name w:val="Table Normal"/>
    <w:rsid w:val="00FA57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FA57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rsid w:val="00FE270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E27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FE270A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FE270A"/>
    <w:rPr>
      <w:rFonts w:ascii="Courier New" w:eastAsia="Times New Roman" w:hAnsi="Courier New" w:cs="Times New Roman"/>
      <w:sz w:val="20"/>
      <w:szCs w:val="20"/>
    </w:rPr>
  </w:style>
  <w:style w:type="character" w:customStyle="1" w:styleId="platne1">
    <w:name w:val="platne1"/>
    <w:rsid w:val="00FE270A"/>
    <w:rPr>
      <w:rFonts w:cs="Times New Roman"/>
    </w:rPr>
  </w:style>
  <w:style w:type="paragraph" w:customStyle="1" w:styleId="Prosttext1">
    <w:name w:val="Prostý text1"/>
    <w:basedOn w:val="Normln"/>
    <w:rsid w:val="00FE270A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270A"/>
    <w:pPr>
      <w:ind w:left="708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FE2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70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270A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customStyle="1" w:styleId="PlainText1">
    <w:name w:val="Plain Text1"/>
    <w:basedOn w:val="Normln"/>
    <w:rsid w:val="00FE270A"/>
    <w:rPr>
      <w:rFonts w:ascii="Courier New" w:hAnsi="Courier New"/>
      <w:sz w:val="20"/>
      <w:szCs w:val="20"/>
    </w:rPr>
  </w:style>
  <w:style w:type="paragraph" w:customStyle="1" w:styleId="Prosttext2">
    <w:name w:val="Prostý text2"/>
    <w:basedOn w:val="Normln"/>
    <w:rsid w:val="003011E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5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5DB"/>
    <w:rPr>
      <w:rFonts w:ascii="Segoe UI" w:eastAsia="Times New Roman" w:hAnsi="Segoe UI" w:cs="Segoe UI"/>
      <w:sz w:val="18"/>
      <w:szCs w:val="18"/>
      <w:lang w:eastAsia="cs-CZ"/>
    </w:rPr>
  </w:style>
  <w:style w:type="paragraph" w:styleId="Podtitul">
    <w:name w:val="Subtitle"/>
    <w:basedOn w:val="normal0"/>
    <w:next w:val="normal0"/>
    <w:rsid w:val="00C87F2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FA57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17E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7E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7EC2"/>
    <w:rPr>
      <w:b/>
      <w:bCs/>
      <w:sz w:val="20"/>
      <w:szCs w:val="20"/>
    </w:rPr>
  </w:style>
  <w:style w:type="table" w:customStyle="1" w:styleId="a0">
    <w:basedOn w:val="TableNormal4"/>
    <w:rsid w:val="00FA57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F42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272D"/>
  </w:style>
  <w:style w:type="paragraph" w:styleId="Revize">
    <w:name w:val="Revision"/>
    <w:hidden/>
    <w:uiPriority w:val="99"/>
    <w:semiHidden/>
    <w:rsid w:val="00677378"/>
  </w:style>
  <w:style w:type="table" w:customStyle="1" w:styleId="a1">
    <w:basedOn w:val="TableNormal3"/>
    <w:rsid w:val="002D65D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C87F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C87F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C87F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0fdbb48Cr49Dd6QIJR0gK6DeQ==">CgMxLjAyCWguMzBqMHpsbDIIaC5namRneHM4AHIhMUlMRmRsek9yVTZjUDZUUUo3ekwtZVE3VU5JZmx5OVQ4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Haklova</dc:creator>
  <cp:lastModifiedBy>Stastna</cp:lastModifiedBy>
  <cp:revision>2</cp:revision>
  <dcterms:created xsi:type="dcterms:W3CDTF">2025-05-15T14:43:00Z</dcterms:created>
  <dcterms:modified xsi:type="dcterms:W3CDTF">2025-06-06T08:44:00Z</dcterms:modified>
</cp:coreProperties>
</file>